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附件4</w:t>
      </w:r>
    </w:p>
    <w:p>
      <w:pPr>
        <w:widowControl/>
        <w:jc w:val="left"/>
        <w:rPr>
          <w:rFonts w:hint="eastAsia" w:ascii="黑体" w:hAnsi="黑体" w:eastAsia="黑体" w:cs="黑体"/>
          <w:szCs w:val="32"/>
        </w:rPr>
      </w:pPr>
    </w:p>
    <w:p>
      <w:pPr>
        <w:widowControl/>
        <w:adjustRightIn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现有职业卫生技术服务机构资质延续</w:t>
      </w:r>
    </w:p>
    <w:p>
      <w:pPr>
        <w:widowControl/>
        <w:adjustRightIn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新旧业务范围转并表</w:t>
      </w:r>
    </w:p>
    <w:p>
      <w:pPr>
        <w:widowControl/>
        <w:adjustRightInd w:val="0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8"/>
        <w:tblW w:w="8499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4137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56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lang w:bidi="ar"/>
              </w:rPr>
              <w:t>业务范围类别</w:t>
            </w: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lang w:bidi="ar"/>
              </w:rPr>
              <w:t>2012年版业务范围</w:t>
            </w:r>
          </w:p>
        </w:tc>
        <w:tc>
          <w:tcPr>
            <w:tcW w:w="27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lang w:bidi="ar"/>
              </w:rPr>
              <w:t>新版业务范围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第一类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业务范围</w:t>
            </w: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煤炭采选业</w:t>
            </w:r>
          </w:p>
        </w:tc>
        <w:tc>
          <w:tcPr>
            <w:tcW w:w="279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采矿业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石油和天然气开采业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金属、非金属矿采选业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化工、石化及医药</w:t>
            </w:r>
          </w:p>
        </w:tc>
        <w:tc>
          <w:tcPr>
            <w:tcW w:w="27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cs="仿宋_GB2312"/>
                <w:sz w:val="24"/>
                <w:shd w:val="clear" w:color="auto" w:fill="FFFFFF"/>
              </w:rPr>
              <w:t>化工、石化及医药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冶金、建材</w:t>
            </w:r>
          </w:p>
        </w:tc>
        <w:tc>
          <w:tcPr>
            <w:tcW w:w="27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冶金、建材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轻工、纺织、烟草加工制造业</w:t>
            </w:r>
          </w:p>
        </w:tc>
        <w:tc>
          <w:tcPr>
            <w:tcW w:w="279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机械制造、电力、纺织、建筑和交通运输等行业领域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机械、设备、电器制造业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工程建筑业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电力、燃气及水的生产和供应业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运输、仓储、科研、农林、公共服务业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5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第二类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业务范围</w:t>
            </w: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</w:rPr>
              <w:t>核电站、大型辐照装置和中、高能加速器</w:t>
            </w:r>
          </w:p>
        </w:tc>
        <w:tc>
          <w:tcPr>
            <w:tcW w:w="2797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核设施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核燃料循环</w:t>
            </w:r>
          </w:p>
        </w:tc>
        <w:tc>
          <w:tcPr>
            <w:tcW w:w="2797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5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413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核技术工业应用</w:t>
            </w:r>
          </w:p>
        </w:tc>
        <w:tc>
          <w:tcPr>
            <w:tcW w:w="279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核技术工业应用</w:t>
            </w:r>
          </w:p>
        </w:tc>
      </w:tr>
    </w:tbl>
    <w:p>
      <w:pPr>
        <w:widowControl/>
        <w:spacing w:line="340" w:lineRule="exact"/>
        <w:jc w:val="left"/>
        <w:textAlignment w:val="center"/>
        <w:rPr>
          <w:rFonts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</w:rPr>
        <w:t>注：现有机构资质延续时满足如下任一要求的，从“</w:t>
      </w:r>
      <w:r>
        <w:rPr>
          <w:rFonts w:ascii="仿宋_GB2312" w:hAnsi="仿宋_GB2312" w:cs="仿宋_GB2312"/>
          <w:sz w:val="24"/>
        </w:rPr>
        <w:t>2012年</w:t>
      </w:r>
      <w:r>
        <w:rPr>
          <w:rFonts w:hint="eastAsia" w:ascii="仿宋_GB2312" w:hAnsi="仿宋_GB2312" w:cs="仿宋_GB2312"/>
          <w:sz w:val="24"/>
        </w:rPr>
        <w:t>版业务范围”直接转并对应的“新版业务范围</w:t>
      </w:r>
      <w:r>
        <w:rPr>
          <w:rFonts w:hint="eastAsia" w:ascii="仿宋_GB2312" w:hAnsi="仿宋_GB2312" w:cs="仿宋_GB2312"/>
          <w:sz w:val="24"/>
          <w:lang w:eastAsia="zh-CN"/>
        </w:rPr>
        <w:t>”</w:t>
      </w:r>
      <w:r>
        <w:rPr>
          <w:rFonts w:hint="eastAsia" w:ascii="仿宋_GB2312" w:hAnsi="仿宋_GB2312" w:cs="仿宋_GB2312"/>
          <w:sz w:val="24"/>
        </w:rPr>
        <w:t>：1.从2017年1月1日至今完成相应行业职业卫生检测或评价项目不少于5项；2.需转并认定为新版业务范围的行业工程技术人员满足相应要求。</w:t>
      </w:r>
    </w:p>
    <w:p>
      <w:pPr>
        <w:ind w:right="560"/>
        <w:jc w:val="right"/>
        <w:rPr>
          <w:rFonts w:hint="eastAsia" w:eastAsia="仿宋_GB231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A31"/>
    <w:rsid w:val="00000EF5"/>
    <w:rsid w:val="00002364"/>
    <w:rsid w:val="00007315"/>
    <w:rsid w:val="00011E08"/>
    <w:rsid w:val="000219CE"/>
    <w:rsid w:val="0005140D"/>
    <w:rsid w:val="00081A2A"/>
    <w:rsid w:val="00086409"/>
    <w:rsid w:val="00097D1C"/>
    <w:rsid w:val="000B4B11"/>
    <w:rsid w:val="001034B3"/>
    <w:rsid w:val="00115210"/>
    <w:rsid w:val="00121BE4"/>
    <w:rsid w:val="00155A42"/>
    <w:rsid w:val="001B2AB5"/>
    <w:rsid w:val="001C28BC"/>
    <w:rsid w:val="001D359F"/>
    <w:rsid w:val="0020483B"/>
    <w:rsid w:val="00251477"/>
    <w:rsid w:val="00273879"/>
    <w:rsid w:val="002A3AF6"/>
    <w:rsid w:val="00307A5A"/>
    <w:rsid w:val="0031240C"/>
    <w:rsid w:val="00313187"/>
    <w:rsid w:val="00372E7E"/>
    <w:rsid w:val="00373883"/>
    <w:rsid w:val="00382FEB"/>
    <w:rsid w:val="003920EB"/>
    <w:rsid w:val="003C629A"/>
    <w:rsid w:val="003E4392"/>
    <w:rsid w:val="003E78DC"/>
    <w:rsid w:val="003F13A4"/>
    <w:rsid w:val="00457DC8"/>
    <w:rsid w:val="00465284"/>
    <w:rsid w:val="0047723C"/>
    <w:rsid w:val="00492D62"/>
    <w:rsid w:val="00493766"/>
    <w:rsid w:val="00495027"/>
    <w:rsid w:val="004A0DFD"/>
    <w:rsid w:val="004A2105"/>
    <w:rsid w:val="004D01DF"/>
    <w:rsid w:val="004E689E"/>
    <w:rsid w:val="00526247"/>
    <w:rsid w:val="00545DD3"/>
    <w:rsid w:val="00553A85"/>
    <w:rsid w:val="00564F9C"/>
    <w:rsid w:val="00566868"/>
    <w:rsid w:val="005878DA"/>
    <w:rsid w:val="00615906"/>
    <w:rsid w:val="0061720E"/>
    <w:rsid w:val="006407AE"/>
    <w:rsid w:val="00646B60"/>
    <w:rsid w:val="00652B0D"/>
    <w:rsid w:val="00661C51"/>
    <w:rsid w:val="006638E3"/>
    <w:rsid w:val="006706FD"/>
    <w:rsid w:val="006A3F6E"/>
    <w:rsid w:val="006C7598"/>
    <w:rsid w:val="00772733"/>
    <w:rsid w:val="007A4254"/>
    <w:rsid w:val="007C3681"/>
    <w:rsid w:val="007D66BE"/>
    <w:rsid w:val="007F0E29"/>
    <w:rsid w:val="00807948"/>
    <w:rsid w:val="00820B45"/>
    <w:rsid w:val="008354DF"/>
    <w:rsid w:val="00836021"/>
    <w:rsid w:val="008737EB"/>
    <w:rsid w:val="008745B4"/>
    <w:rsid w:val="00877120"/>
    <w:rsid w:val="008B3737"/>
    <w:rsid w:val="008E01F6"/>
    <w:rsid w:val="009835A4"/>
    <w:rsid w:val="009A3701"/>
    <w:rsid w:val="009B1342"/>
    <w:rsid w:val="009B644E"/>
    <w:rsid w:val="009C1320"/>
    <w:rsid w:val="009F64D9"/>
    <w:rsid w:val="00A15D50"/>
    <w:rsid w:val="00A162A9"/>
    <w:rsid w:val="00A206CA"/>
    <w:rsid w:val="00A23AF6"/>
    <w:rsid w:val="00A6576C"/>
    <w:rsid w:val="00A733D5"/>
    <w:rsid w:val="00AC7E90"/>
    <w:rsid w:val="00AD06F5"/>
    <w:rsid w:val="00AE6E40"/>
    <w:rsid w:val="00B01ABE"/>
    <w:rsid w:val="00B26083"/>
    <w:rsid w:val="00B42CB1"/>
    <w:rsid w:val="00B93384"/>
    <w:rsid w:val="00BB616D"/>
    <w:rsid w:val="00C01092"/>
    <w:rsid w:val="00C413C8"/>
    <w:rsid w:val="00C43CC2"/>
    <w:rsid w:val="00C44300"/>
    <w:rsid w:val="00C8277D"/>
    <w:rsid w:val="00CA0DFB"/>
    <w:rsid w:val="00CC1042"/>
    <w:rsid w:val="00CD1DDD"/>
    <w:rsid w:val="00CE3DAB"/>
    <w:rsid w:val="00D1638F"/>
    <w:rsid w:val="00D27951"/>
    <w:rsid w:val="00D32330"/>
    <w:rsid w:val="00D43C81"/>
    <w:rsid w:val="00D96A0B"/>
    <w:rsid w:val="00DB5882"/>
    <w:rsid w:val="00DD0A7E"/>
    <w:rsid w:val="00E35FD5"/>
    <w:rsid w:val="00EB2A31"/>
    <w:rsid w:val="00EB3FE1"/>
    <w:rsid w:val="00EC6B6F"/>
    <w:rsid w:val="00EC794D"/>
    <w:rsid w:val="00F242CC"/>
    <w:rsid w:val="00F35BCE"/>
    <w:rsid w:val="00F768BF"/>
    <w:rsid w:val="00F77F8B"/>
    <w:rsid w:val="00F95589"/>
    <w:rsid w:val="00FA0A56"/>
    <w:rsid w:val="00FC0F34"/>
    <w:rsid w:val="00FE2617"/>
    <w:rsid w:val="00FF2642"/>
    <w:rsid w:val="00FF2C60"/>
    <w:rsid w:val="01E62596"/>
    <w:rsid w:val="047312F5"/>
    <w:rsid w:val="05D5575A"/>
    <w:rsid w:val="05EFAE10"/>
    <w:rsid w:val="0A3C5CDA"/>
    <w:rsid w:val="0ABF192D"/>
    <w:rsid w:val="0BA1624D"/>
    <w:rsid w:val="0C0A05E6"/>
    <w:rsid w:val="0D22402E"/>
    <w:rsid w:val="0DCA1D26"/>
    <w:rsid w:val="0E3E11B1"/>
    <w:rsid w:val="0E876879"/>
    <w:rsid w:val="11233F63"/>
    <w:rsid w:val="125C1181"/>
    <w:rsid w:val="12EE6EB3"/>
    <w:rsid w:val="14D7E104"/>
    <w:rsid w:val="1671767F"/>
    <w:rsid w:val="17CC41DB"/>
    <w:rsid w:val="19A23D0B"/>
    <w:rsid w:val="19FA533A"/>
    <w:rsid w:val="1A45357E"/>
    <w:rsid w:val="1AC219DF"/>
    <w:rsid w:val="1BCB00D3"/>
    <w:rsid w:val="1CA43724"/>
    <w:rsid w:val="1E7B5495"/>
    <w:rsid w:val="1EBB44EA"/>
    <w:rsid w:val="1FF070AA"/>
    <w:rsid w:val="20336624"/>
    <w:rsid w:val="21D2787E"/>
    <w:rsid w:val="23096270"/>
    <w:rsid w:val="23A60B0B"/>
    <w:rsid w:val="23D25A87"/>
    <w:rsid w:val="24F6274A"/>
    <w:rsid w:val="255A12BC"/>
    <w:rsid w:val="299E7FA3"/>
    <w:rsid w:val="2A267659"/>
    <w:rsid w:val="2A542E82"/>
    <w:rsid w:val="2CAB4FC3"/>
    <w:rsid w:val="2DD70157"/>
    <w:rsid w:val="2E4C650A"/>
    <w:rsid w:val="2EA86AE0"/>
    <w:rsid w:val="2F517B4D"/>
    <w:rsid w:val="2F8C0984"/>
    <w:rsid w:val="2FED0193"/>
    <w:rsid w:val="30B114A8"/>
    <w:rsid w:val="317B339E"/>
    <w:rsid w:val="352C7F5B"/>
    <w:rsid w:val="357E1E1F"/>
    <w:rsid w:val="367C523E"/>
    <w:rsid w:val="37D26FF1"/>
    <w:rsid w:val="3843339D"/>
    <w:rsid w:val="38BE45BF"/>
    <w:rsid w:val="393822C7"/>
    <w:rsid w:val="399C1EB6"/>
    <w:rsid w:val="39A27875"/>
    <w:rsid w:val="3A49394E"/>
    <w:rsid w:val="3C35186D"/>
    <w:rsid w:val="3E09419D"/>
    <w:rsid w:val="3ED66533"/>
    <w:rsid w:val="3FE1666E"/>
    <w:rsid w:val="43256114"/>
    <w:rsid w:val="43B411C6"/>
    <w:rsid w:val="45EB0535"/>
    <w:rsid w:val="463C4112"/>
    <w:rsid w:val="4693002F"/>
    <w:rsid w:val="47EB1FEA"/>
    <w:rsid w:val="488408F5"/>
    <w:rsid w:val="493C4BF6"/>
    <w:rsid w:val="497150FB"/>
    <w:rsid w:val="49724F5F"/>
    <w:rsid w:val="4A150892"/>
    <w:rsid w:val="4A43321E"/>
    <w:rsid w:val="4BB3556A"/>
    <w:rsid w:val="4C113A0D"/>
    <w:rsid w:val="4C2F9F14"/>
    <w:rsid w:val="4C5E7C6A"/>
    <w:rsid w:val="4D0A53C8"/>
    <w:rsid w:val="4E7047E9"/>
    <w:rsid w:val="4E981E9F"/>
    <w:rsid w:val="4F45101E"/>
    <w:rsid w:val="4F6D663F"/>
    <w:rsid w:val="50A15794"/>
    <w:rsid w:val="51663748"/>
    <w:rsid w:val="52A621BD"/>
    <w:rsid w:val="5313343E"/>
    <w:rsid w:val="55307F64"/>
    <w:rsid w:val="56C73A54"/>
    <w:rsid w:val="57B530B3"/>
    <w:rsid w:val="57B63F91"/>
    <w:rsid w:val="57FF56B5"/>
    <w:rsid w:val="589C25AA"/>
    <w:rsid w:val="58A21BD3"/>
    <w:rsid w:val="59EF4314"/>
    <w:rsid w:val="5ABD4096"/>
    <w:rsid w:val="5B5F2133"/>
    <w:rsid w:val="5DA65795"/>
    <w:rsid w:val="5DDE552F"/>
    <w:rsid w:val="5DFB6C75"/>
    <w:rsid w:val="5EDF0946"/>
    <w:rsid w:val="5FFC4C55"/>
    <w:rsid w:val="61E8255E"/>
    <w:rsid w:val="62847371"/>
    <w:rsid w:val="62E2218B"/>
    <w:rsid w:val="65716EC9"/>
    <w:rsid w:val="66371609"/>
    <w:rsid w:val="66EB4010"/>
    <w:rsid w:val="68040C6D"/>
    <w:rsid w:val="69C35725"/>
    <w:rsid w:val="6ABE579F"/>
    <w:rsid w:val="6DB03E06"/>
    <w:rsid w:val="6DC692C0"/>
    <w:rsid w:val="6DFFC421"/>
    <w:rsid w:val="6F1673D1"/>
    <w:rsid w:val="6F6F172A"/>
    <w:rsid w:val="6FB4149D"/>
    <w:rsid w:val="6FDD55EE"/>
    <w:rsid w:val="701945C6"/>
    <w:rsid w:val="703B3ADC"/>
    <w:rsid w:val="71047356"/>
    <w:rsid w:val="714B19C5"/>
    <w:rsid w:val="72A13895"/>
    <w:rsid w:val="72BE63CD"/>
    <w:rsid w:val="746A1FC5"/>
    <w:rsid w:val="75676F61"/>
    <w:rsid w:val="75847B43"/>
    <w:rsid w:val="764D2997"/>
    <w:rsid w:val="790134B4"/>
    <w:rsid w:val="7AF8481F"/>
    <w:rsid w:val="7CE469C6"/>
    <w:rsid w:val="7DCA3806"/>
    <w:rsid w:val="7F8C5FF1"/>
    <w:rsid w:val="9E7DD373"/>
    <w:rsid w:val="BEBF1A3C"/>
    <w:rsid w:val="D7B7D727"/>
    <w:rsid w:val="DF9D4F26"/>
    <w:rsid w:val="E4F9D0C2"/>
    <w:rsid w:val="F4AF78A9"/>
    <w:rsid w:val="FEA77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Subtitle"/>
    <w:basedOn w:val="1"/>
    <w:next w:val="1"/>
    <w:link w:val="13"/>
    <w:qFormat/>
    <w:uiPriority w:val="0"/>
    <w:pPr>
      <w:spacing w:before="240" w:after="60" w:line="312" w:lineRule="auto"/>
      <w:outlineLvl w:val="1"/>
    </w:pPr>
    <w:rPr>
      <w:rFonts w:ascii="Cambria" w:hAnsi="Cambria" w:eastAsia="楷体_GB2312" w:cs="Times New Roman"/>
      <w:b/>
      <w:bCs/>
      <w:kern w:val="28"/>
      <w:sz w:val="32"/>
      <w:szCs w:val="32"/>
    </w:rPr>
  </w:style>
  <w:style w:type="table" w:styleId="9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3">
    <w:name w:val="副标题 Char"/>
    <w:link w:val="7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116</Pages>
  <Words>67523</Words>
  <Characters>70224</Characters>
  <Lines>17556</Lines>
  <Paragraphs>9839</Paragraphs>
  <TotalTime>0</TotalTime>
  <ScaleCrop>false</ScaleCrop>
  <LinksUpToDate>false</LinksUpToDate>
  <CharactersWithSpaces>127908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2013-07-10T06:15:00Z</dcterms:created>
  <dc:creator>vv</dc:creator>
  <cp:lastModifiedBy>橡皮皮人</cp:lastModifiedBy>
  <cp:lastPrinted>2021-01-21T06:57:00Z</cp:lastPrinted>
  <dcterms:modified xsi:type="dcterms:W3CDTF">2021-01-22T09:16:41Z</dcterms:modified>
  <dc:title>国家卫生健康委员会办公厅文件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