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left"/>
        <w:rPr>
          <w:rFonts w:hint="eastAsia" w:ascii="黑体" w:hAnsi="黑体" w:eastAsia="黑体"/>
          <w:bCs/>
          <w:kern w:val="0"/>
          <w:szCs w:val="32"/>
          <w:shd w:val="clear" w:color="auto" w:fill="FFFFFF"/>
          <w:lang w:bidi="ar"/>
        </w:rPr>
      </w:pPr>
    </w:p>
    <w:p>
      <w:pPr>
        <w:widowControl/>
        <w:spacing w:line="360" w:lineRule="auto"/>
        <w:jc w:val="left"/>
        <w:rPr>
          <w:rFonts w:ascii="黑体" w:hAnsi="黑体" w:eastAsia="黑体"/>
          <w:bCs/>
          <w:kern w:val="0"/>
          <w:szCs w:val="32"/>
          <w:shd w:val="clear" w:color="auto" w:fill="FFFFFF"/>
          <w:lang w:bidi="ar"/>
        </w:rPr>
      </w:pPr>
      <w:r>
        <w:rPr>
          <w:rFonts w:hint="eastAsia" w:ascii="黑体" w:hAnsi="黑体" w:eastAsia="黑体"/>
          <w:bCs/>
          <w:kern w:val="0"/>
          <w:szCs w:val="32"/>
          <w:shd w:val="clear" w:color="auto" w:fill="FFFFFF"/>
          <w:lang w:bidi="ar"/>
        </w:rPr>
        <w:t>附件2</w:t>
      </w:r>
    </w:p>
    <w:p>
      <w:pPr>
        <w:jc w:val="center"/>
        <w:rPr>
          <w:rFonts w:ascii="华文中宋" w:hAnsi="华文中宋" w:eastAsia="华文中宋"/>
          <w:b/>
          <w:sz w:val="36"/>
          <w:szCs w:val="36"/>
        </w:rPr>
      </w:pPr>
      <w:r>
        <w:rPr>
          <w:rFonts w:hint="eastAsia" w:ascii="华文中宋" w:hAnsi="华文中宋" w:eastAsia="华文中宋"/>
          <w:b/>
          <w:sz w:val="44"/>
          <w:szCs w:val="44"/>
        </w:rPr>
        <w:t>职业卫生技术服务机构资质认可技术评审准则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
        <w:gridCol w:w="584"/>
        <w:gridCol w:w="554"/>
        <w:gridCol w:w="1193"/>
        <w:gridCol w:w="1227"/>
        <w:gridCol w:w="5641"/>
        <w:gridCol w:w="834"/>
        <w:gridCol w:w="1005"/>
        <w:gridCol w:w="1017"/>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blHeader/>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评审</w:t>
            </w:r>
          </w:p>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要素</w:t>
            </w: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评审</w:t>
            </w:r>
          </w:p>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项目</w:t>
            </w:r>
          </w:p>
        </w:tc>
        <w:tc>
          <w:tcPr>
            <w:tcW w:w="2974" w:type="dxa"/>
            <w:gridSpan w:val="3"/>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评审内容</w:t>
            </w:r>
          </w:p>
        </w:tc>
        <w:tc>
          <w:tcPr>
            <w:tcW w:w="5641"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评审</w:t>
            </w:r>
            <w:r>
              <w:rPr>
                <w:rFonts w:hint="eastAsia" w:ascii="仿宋_GB2312" w:hAnsi="仿宋_GB2312" w:cs="仿宋_GB2312"/>
                <w:b/>
                <w:sz w:val="21"/>
                <w:szCs w:val="21"/>
              </w:rPr>
              <w:t>方法及要求</w:t>
            </w:r>
          </w:p>
        </w:tc>
        <w:tc>
          <w:tcPr>
            <w:tcW w:w="2856" w:type="dxa"/>
            <w:gridSpan w:val="3"/>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lang w:bidi="ar"/>
              </w:rPr>
              <w:t>判断依据</w:t>
            </w:r>
          </w:p>
        </w:tc>
        <w:tc>
          <w:tcPr>
            <w:tcW w:w="273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blHeader/>
          <w:jc w:val="center"/>
        </w:trPr>
        <w:tc>
          <w:tcPr>
            <w:tcW w:w="450" w:type="dxa"/>
            <w:vMerge w:val="continue"/>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
                <w:sz w:val="21"/>
                <w:szCs w:val="21"/>
              </w:rPr>
            </w:pPr>
          </w:p>
        </w:tc>
        <w:tc>
          <w:tcPr>
            <w:tcW w:w="584" w:type="dxa"/>
            <w:vMerge w:val="continue"/>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序号</w:t>
            </w:r>
          </w:p>
        </w:tc>
        <w:tc>
          <w:tcPr>
            <w:tcW w:w="1193"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甲级</w:t>
            </w:r>
          </w:p>
        </w:tc>
        <w:tc>
          <w:tcPr>
            <w:tcW w:w="1227" w:type="dxa"/>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乙级</w:t>
            </w:r>
          </w:p>
        </w:tc>
        <w:tc>
          <w:tcPr>
            <w:tcW w:w="5641" w:type="dxa"/>
            <w:vMerge w:val="continue"/>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p>
        </w:tc>
        <w:tc>
          <w:tcPr>
            <w:tcW w:w="834" w:type="dxa"/>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符合</w:t>
            </w:r>
          </w:p>
        </w:tc>
        <w:tc>
          <w:tcPr>
            <w:tcW w:w="1005" w:type="dxa"/>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基本符合</w:t>
            </w:r>
          </w:p>
        </w:tc>
        <w:tc>
          <w:tcPr>
            <w:tcW w:w="1017" w:type="dxa"/>
            <w:noWrap w:val="0"/>
            <w:tcMar>
              <w:top w:w="15" w:type="dxa"/>
              <w:left w:w="15" w:type="dxa"/>
              <w:right w:w="15" w:type="dxa"/>
            </w:tcMar>
            <w:vAlign w:val="center"/>
          </w:tcPr>
          <w:p>
            <w:pPr>
              <w:adjustRightInd w:val="0"/>
              <w:snapToGrid w:val="0"/>
              <w:spacing w:line="264"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不符合</w:t>
            </w:r>
          </w:p>
        </w:tc>
        <w:tc>
          <w:tcPr>
            <w:tcW w:w="2734" w:type="dxa"/>
            <w:vMerge w:val="continue"/>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1．组织机构</w:t>
            </w: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法人资格</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★能够独立承担民事责任。</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核查申请单位有关法人资格证明材料原件，要求：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1.事业单位，具有“事业单位法人证书”或“组织机构代码证”、“统一社会信用代码证”等证书；</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2.企业，具有“营业执照”或“统一社会信用代码证”等证书；</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3.其他类型的单位，具有社会团体法人登记证书、民办非企业单位登记证书或其他依法成立的批准文件等。</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材料齐全、合法有效。</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材料不全或无效。</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1.根据申请单位类型，核查相应的法人资格证明材料。</w:t>
            </w:r>
          </w:p>
          <w:p>
            <w:pPr>
              <w:adjustRightInd w:val="0"/>
              <w:snapToGrid w:val="0"/>
              <w:spacing w:line="264" w:lineRule="exact"/>
              <w:rPr>
                <w:rFonts w:ascii="Calibri" w:hAnsi="Calibri"/>
                <w:sz w:val="21"/>
              </w:rPr>
            </w:pPr>
            <w:r>
              <w:rPr>
                <w:rFonts w:hint="eastAsia" w:ascii="仿宋_GB2312" w:hAnsi="仿宋_GB2312" w:cs="仿宋_GB2312"/>
                <w:sz w:val="21"/>
                <w:szCs w:val="21"/>
              </w:rPr>
              <w:t>2.技术评审审查的证书、证明、文件、材料均应满足合法、有效的要求。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部门设置</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设置职业卫生检测部门。</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核查申请单位的部门设置和人员任命等文件材料，要求：</w:t>
            </w:r>
          </w:p>
          <w:p>
            <w:pPr>
              <w:adjustRightInd w:val="0"/>
              <w:snapToGrid w:val="0"/>
              <w:spacing w:line="264" w:lineRule="exact"/>
              <w:jc w:val="left"/>
              <w:rPr>
                <w:rFonts w:hint="eastAsia" w:ascii="仿宋_GB2312" w:hAnsi="仿宋_GB2312" w:cs="仿宋_GB2312"/>
                <w:bCs/>
                <w:sz w:val="21"/>
                <w:szCs w:val="21"/>
                <w:lang w:val="zh-CN"/>
              </w:rPr>
            </w:pPr>
            <w:r>
              <w:rPr>
                <w:rFonts w:hint="eastAsia" w:ascii="仿宋_GB2312" w:hAnsi="仿宋_GB2312" w:cs="仿宋_GB2312"/>
                <w:bCs/>
                <w:sz w:val="21"/>
                <w:szCs w:val="21"/>
              </w:rPr>
              <w:t>1.设置职业卫生检测部门，并规定了</w:t>
            </w:r>
            <w:r>
              <w:rPr>
                <w:rFonts w:hint="eastAsia" w:ascii="仿宋_GB2312" w:hAnsi="仿宋_GB2312" w:cs="仿宋_GB2312"/>
                <w:kern w:val="0"/>
                <w:sz w:val="21"/>
                <w:szCs w:val="21"/>
              </w:rPr>
              <w:t>部门</w:t>
            </w:r>
            <w:r>
              <w:rPr>
                <w:rFonts w:hint="eastAsia" w:ascii="仿宋_GB2312" w:hAnsi="仿宋_GB2312" w:cs="仿宋_GB2312"/>
                <w:bCs/>
                <w:sz w:val="21"/>
                <w:szCs w:val="21"/>
              </w:rPr>
              <w:t>职责</w:t>
            </w:r>
            <w:r>
              <w:rPr>
                <w:rFonts w:hint="eastAsia" w:ascii="仿宋_GB2312" w:hAnsi="仿宋_GB2312" w:cs="仿宋_GB2312"/>
                <w:bCs/>
                <w:sz w:val="21"/>
                <w:szCs w:val="21"/>
                <w:lang w:val="zh-CN"/>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2.有职业卫生检测部门负责人任命文件。</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ascii="仿宋_GB2312" w:hAnsi="仿宋_GB2312" w:cs="仿宋_GB2312"/>
                <w:sz w:val="21"/>
                <w:szCs w:val="21"/>
              </w:rPr>
            </w:pPr>
            <w:r>
              <w:rPr>
                <w:rFonts w:hint="eastAsia" w:ascii="仿宋_GB2312" w:hAnsi="仿宋_GB2312" w:cs="仿宋_GB2312"/>
                <w:sz w:val="21"/>
                <w:szCs w:val="21"/>
              </w:rPr>
              <w:t>以上包括本数，下同。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设置职业卫生评价部门。</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核查申请单位的部门设置和人员任命等文件材料，要求：</w:t>
            </w:r>
          </w:p>
          <w:p>
            <w:pPr>
              <w:adjustRightInd w:val="0"/>
              <w:snapToGrid w:val="0"/>
              <w:spacing w:line="264" w:lineRule="exact"/>
              <w:jc w:val="left"/>
              <w:rPr>
                <w:rFonts w:hint="eastAsia" w:ascii="仿宋_GB2312" w:hAnsi="仿宋_GB2312" w:cs="仿宋_GB2312"/>
                <w:bCs/>
                <w:sz w:val="21"/>
                <w:szCs w:val="21"/>
                <w:lang w:val="zh-CN"/>
              </w:rPr>
            </w:pPr>
            <w:r>
              <w:rPr>
                <w:rFonts w:hint="eastAsia" w:ascii="仿宋_GB2312" w:hAnsi="仿宋_GB2312" w:cs="仿宋_GB2312"/>
                <w:bCs/>
                <w:sz w:val="21"/>
                <w:szCs w:val="21"/>
              </w:rPr>
              <w:t>1.设置职业卫生评价部门，并规定了部门职责</w:t>
            </w:r>
            <w:r>
              <w:rPr>
                <w:rFonts w:hint="eastAsia" w:ascii="仿宋_GB2312" w:hAnsi="仿宋_GB2312" w:cs="仿宋_GB2312"/>
                <w:bCs/>
                <w:sz w:val="21"/>
                <w:szCs w:val="21"/>
                <w:lang w:val="zh-CN"/>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2.有职业卫生评价部门负责人任命文件。</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设置质量管理部门。</w:t>
            </w:r>
          </w:p>
        </w:tc>
        <w:tc>
          <w:tcPr>
            <w:tcW w:w="5641"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核查申请单位的部门设置和人员任命等文件材料，要求：</w:t>
            </w:r>
          </w:p>
          <w:p>
            <w:pPr>
              <w:numPr>
                <w:ilvl w:val="0"/>
                <w:numId w:val="1"/>
              </w:num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设置独立的质量管理部门，并规定了</w:t>
            </w:r>
            <w:r>
              <w:rPr>
                <w:rFonts w:hint="eastAsia" w:ascii="仿宋_GB2312" w:hAnsi="仿宋_GB2312" w:cs="仿宋_GB2312"/>
                <w:kern w:val="0"/>
                <w:sz w:val="21"/>
                <w:szCs w:val="21"/>
              </w:rPr>
              <w:t>部门</w:t>
            </w:r>
            <w:r>
              <w:rPr>
                <w:rFonts w:hint="eastAsia" w:ascii="仿宋_GB2312" w:hAnsi="仿宋_GB2312" w:cs="仿宋_GB2312"/>
                <w:bCs/>
                <w:sz w:val="21"/>
                <w:szCs w:val="21"/>
              </w:rPr>
              <w:t>职责；</w:t>
            </w:r>
          </w:p>
          <w:p>
            <w:pPr>
              <w:numPr>
                <w:ilvl w:val="0"/>
                <w:numId w:val="1"/>
              </w:num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有质量管理部门负责人任命文件；</w:t>
            </w:r>
          </w:p>
          <w:p>
            <w:pPr>
              <w:numPr>
                <w:ilvl w:val="0"/>
                <w:numId w:val="1"/>
              </w:num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质量管理部门应负责</w:t>
            </w:r>
            <w:r>
              <w:rPr>
                <w:rFonts w:hint="eastAsia" w:ascii="仿宋_GB2312" w:hAnsi="仿宋_GB2312" w:cs="仿宋_GB2312"/>
                <w:bCs/>
                <w:sz w:val="21"/>
                <w:szCs w:val="21"/>
                <w:lang w:val="zh-CN"/>
              </w:rPr>
              <w:t>质量管理体系的</w:t>
            </w:r>
            <w:r>
              <w:rPr>
                <w:rFonts w:hint="eastAsia" w:ascii="仿宋_GB2312" w:hAnsi="仿宋_GB2312" w:cs="仿宋_GB2312"/>
                <w:bCs/>
                <w:sz w:val="21"/>
                <w:szCs w:val="21"/>
              </w:rPr>
              <w:t>建立、实施和维护，并对技术服务全过程进行质量</w:t>
            </w:r>
            <w:r>
              <w:rPr>
                <w:rFonts w:hint="eastAsia" w:ascii="仿宋_GB2312" w:hAnsi="仿宋_GB2312" w:cs="仿宋_GB2312"/>
                <w:bCs/>
                <w:sz w:val="21"/>
                <w:szCs w:val="21"/>
                <w:lang w:val="zh-CN"/>
              </w:rPr>
              <w:t>监督</w:t>
            </w:r>
            <w:r>
              <w:rPr>
                <w:rFonts w:hint="eastAsia" w:ascii="仿宋_GB2312" w:hAnsi="仿宋_GB2312" w:cs="仿宋_GB2312"/>
                <w:bCs/>
                <w:sz w:val="21"/>
                <w:szCs w:val="21"/>
              </w:rPr>
              <w:t>管理</w:t>
            </w:r>
            <w:r>
              <w:rPr>
                <w:rFonts w:hint="eastAsia" w:ascii="仿宋_GB2312" w:hAnsi="仿宋_GB2312" w:cs="仿宋_GB2312"/>
                <w:bCs/>
                <w:sz w:val="21"/>
                <w:szCs w:val="21"/>
                <w:lang w:val="zh-CN"/>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关键岗位工作经历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★机构主要负责人和关键岗位负责人应当具有从事职业卫生技术服务工作五年以上工作经历。</w:t>
            </w:r>
          </w:p>
        </w:tc>
        <w:tc>
          <w:tcPr>
            <w:tcW w:w="1227"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5641"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核查申请单位主要负责人和关键岗位负责人的技术服务经历材料，要求：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1</w:t>
            </w:r>
            <w:r>
              <w:rPr>
                <w:rFonts w:hint="eastAsia" w:ascii="仿宋_GB2312" w:hAnsi="仿宋_GB2312" w:cs="仿宋_GB2312"/>
                <w:kern w:val="0"/>
                <w:sz w:val="21"/>
                <w:szCs w:val="21"/>
              </w:rPr>
              <w:t>.任命或聘任文件、劳动合同或其他在职证明、社保或公积金缴存证明等材料，能够证明主要负责人、关键岗位负责人在职业卫生技术服务机构工作时间五年以上。</w:t>
            </w:r>
          </w:p>
          <w:p>
            <w:pPr>
              <w:widowControl/>
              <w:adjustRightInd w:val="0"/>
              <w:snapToGrid w:val="0"/>
              <w:spacing w:line="264"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2.职业卫生技术服务报告的签字等材料，能证明主要负责人、关键岗位负责人从事职业卫生技术服务工作时间在五年以上。</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1.主要负责人一般是指法定代表人（执行董事或董事长）、总经理等；</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2.关键岗位负责人包括质量控制负责人、技术负责人（检测、评价）和授权签字人。</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3.资质变更、增加业务范围和资质延续，对主要负责人的工作经历不做要求。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信息网站建设</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★建立正常运行并可以供公众查询机构信息的网站。</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核查机构网站和公开内容情况，要求建立了正常运行并可以供公众查询信息的网站。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依法执业</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★截至申请之日五年内无严重违法失信记录。</w:t>
            </w:r>
          </w:p>
        </w:tc>
        <w:tc>
          <w:tcPr>
            <w:tcW w:w="5641" w:type="dxa"/>
            <w:noWrap w:val="0"/>
            <w:tcMar>
              <w:top w:w="15" w:type="dxa"/>
              <w:left w:w="15" w:type="dxa"/>
              <w:right w:w="15" w:type="dxa"/>
            </w:tcMar>
            <w:vAlign w:val="center"/>
          </w:tcPr>
          <w:p>
            <w:pPr>
              <w:numPr>
                <w:ilvl w:val="0"/>
                <w:numId w:val="0"/>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通过网络查询或征询注册所在地</w:t>
            </w:r>
            <w:r>
              <w:rPr>
                <w:rFonts w:hint="eastAsia" w:ascii="仿宋_GB2312" w:hAnsi="仿宋_GB2312" w:cs="仿宋_GB2312"/>
                <w:bCs/>
                <w:sz w:val="21"/>
                <w:szCs w:val="21"/>
                <w:lang w:eastAsia="zh-CN"/>
              </w:rPr>
              <w:t>卫生健康行政部门</w:t>
            </w:r>
            <w:r>
              <w:rPr>
                <w:rFonts w:hint="eastAsia" w:ascii="仿宋_GB2312" w:hAnsi="仿宋_GB2312" w:cs="仿宋_GB2312"/>
                <w:bCs/>
                <w:sz w:val="21"/>
                <w:szCs w:val="21"/>
              </w:rPr>
              <w:t>等方式核查申请单位在截</w:t>
            </w:r>
            <w:r>
              <w:rPr>
                <w:rFonts w:hint="eastAsia" w:ascii="仿宋_GB2312" w:hAnsi="仿宋_GB2312" w:cs="仿宋_GB2312"/>
                <w:bCs/>
                <w:sz w:val="21"/>
                <w:szCs w:val="21"/>
                <w:lang w:val="en-US" w:eastAsia="zh-CN"/>
              </w:rPr>
              <w:t>至</w:t>
            </w:r>
            <w:r>
              <w:rPr>
                <w:rFonts w:hint="eastAsia" w:ascii="仿宋_GB2312" w:hAnsi="仿宋_GB2312" w:cs="仿宋_GB2312"/>
                <w:bCs/>
                <w:sz w:val="21"/>
                <w:szCs w:val="21"/>
              </w:rPr>
              <w:t>申请之日五年内是否存在严重违法失信记录，要求：</w:t>
            </w:r>
          </w:p>
          <w:p>
            <w:pPr>
              <w:widowControl/>
              <w:numPr>
                <w:ilvl w:val="0"/>
                <w:numId w:val="0"/>
              </w:numPr>
              <w:adjustRightInd w:val="0"/>
              <w:snapToGrid w:val="0"/>
              <w:spacing w:line="264"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rPr>
              <w:t>不存在被</w:t>
            </w:r>
            <w:r>
              <w:rPr>
                <w:rFonts w:hint="eastAsia" w:ascii="仿宋_GB2312" w:hAnsi="仿宋_GB2312" w:cs="仿宋_GB2312"/>
                <w:bCs/>
                <w:sz w:val="21"/>
                <w:szCs w:val="21"/>
                <w:lang w:eastAsia="zh-CN"/>
              </w:rPr>
              <w:t>取消（或吊销）</w:t>
            </w:r>
            <w:r>
              <w:rPr>
                <w:rFonts w:hint="eastAsia" w:ascii="仿宋_GB2312" w:hAnsi="仿宋_GB2312" w:cs="仿宋_GB2312"/>
                <w:bCs/>
                <w:sz w:val="21"/>
                <w:szCs w:val="21"/>
              </w:rPr>
              <w:t>职业卫生技术服务机构资质或被追究刑事责任的情况</w:t>
            </w:r>
            <w:r>
              <w:rPr>
                <w:rFonts w:hint="eastAsia" w:ascii="仿宋_GB2312" w:hAnsi="仿宋_GB2312" w:cs="仿宋_GB2312"/>
                <w:bCs/>
                <w:sz w:val="21"/>
                <w:szCs w:val="21"/>
                <w:lang w:eastAsia="zh-CN"/>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2．人员</w:t>
            </w: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专业技术人员结构</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8</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★专业技术人员不少于三十名，且</w:t>
            </w:r>
            <w:r>
              <w:rPr>
                <w:rFonts w:hint="eastAsia" w:ascii="仿宋_GB2312" w:hAnsi="仿宋_GB2312" w:cs="仿宋_GB2312"/>
                <w:bCs/>
                <w:sz w:val="21"/>
                <w:szCs w:val="21"/>
                <w:lang w:bidi="ar"/>
              </w:rPr>
              <w:t>达到考核评估合格要求</w:t>
            </w:r>
            <w:r>
              <w:rPr>
                <w:rFonts w:hint="eastAsia" w:ascii="仿宋_GB2312" w:hAnsi="仿宋_GB2312" w:cs="仿宋_GB2312"/>
                <w:kern w:val="0"/>
                <w:sz w:val="21"/>
                <w:szCs w:val="21"/>
              </w:rPr>
              <w:t>。</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★专业技术人员不少于十五名，且</w:t>
            </w:r>
            <w:r>
              <w:rPr>
                <w:rFonts w:hint="eastAsia" w:ascii="仿宋_GB2312" w:hAnsi="仿宋_GB2312" w:cs="仿宋_GB2312"/>
                <w:bCs/>
                <w:sz w:val="21"/>
                <w:szCs w:val="21"/>
                <w:lang w:bidi="ar"/>
              </w:rPr>
              <w:t>达到考核评估合格要求</w:t>
            </w:r>
            <w:r>
              <w:rPr>
                <w:rFonts w:hint="eastAsia" w:ascii="仿宋_GB2312" w:hAnsi="仿宋_GB2312" w:cs="仿宋_GB2312"/>
                <w:kern w:val="0"/>
                <w:sz w:val="21"/>
                <w:szCs w:val="21"/>
              </w:rPr>
              <w:t>。</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对专业技术人员进行书面闭卷考试，60分以上为合格，考核评估合格的专业技术人员数量应满足要求。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tabs>
                <w:tab w:val="left" w:pos="400"/>
              </w:tabs>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1.考核人员范围：质量控制负责人、技术负责人、授权签字人、职业卫生检测与评价人员、放射卫生检测与评价人员等专业技术人员。</w:t>
            </w:r>
          </w:p>
          <w:p>
            <w:pPr>
              <w:tabs>
                <w:tab w:val="left" w:pos="400"/>
              </w:tabs>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申请甲级资质的，2017年12月31日前已取得原国家安全监管总局指定机构颁发的培训合格证书，免于能力考核评估或取得全国卫生专业技术资格考试合格证书（理化检验技术中级，代码383）的专业技术人员，免于能力考核评估。</w:t>
            </w:r>
          </w:p>
          <w:p>
            <w:pPr>
              <w:tabs>
                <w:tab w:val="left" w:pos="400"/>
              </w:tabs>
              <w:adjustRightInd w:val="0"/>
              <w:snapToGrid w:val="0"/>
              <w:spacing w:line="264" w:lineRule="exact"/>
              <w:jc w:val="left"/>
              <w:rPr>
                <w:rFonts w:ascii="仿宋_GB2312" w:hAnsi="仿宋_GB2312" w:cs="仿宋_GB2312"/>
                <w:sz w:val="21"/>
                <w:szCs w:val="21"/>
              </w:rPr>
            </w:pPr>
            <w:r>
              <w:rPr>
                <w:rFonts w:hint="eastAsia" w:ascii="仿宋_GB2312" w:hAnsi="仿宋_GB2312" w:cs="仿宋_GB2312"/>
                <w:kern w:val="0"/>
                <w:sz w:val="21"/>
                <w:szCs w:val="21"/>
              </w:rPr>
              <w:t>3.申请乙级资质的,2017年12月31日前已取得原省级以上安全监管部门指定机构颁发的培训合格证书，免于能力考核评估或取得全国卫生专业技术资格考试合格证书（理化检验技术中级，代码383）的专业技术人员，免于能力考核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专业技术人员为申请单位专职人员。</w:t>
            </w:r>
          </w:p>
        </w:tc>
        <w:tc>
          <w:tcPr>
            <w:tcW w:w="5641" w:type="dxa"/>
            <w:noWrap w:val="0"/>
            <w:tcMar>
              <w:top w:w="15" w:type="dxa"/>
              <w:left w:w="15" w:type="dxa"/>
              <w:right w:w="15" w:type="dxa"/>
            </w:tcMar>
            <w:vAlign w:val="center"/>
          </w:tcPr>
          <w:p>
            <w:pPr>
              <w:tabs>
                <w:tab w:val="left" w:pos="400"/>
              </w:tabs>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核查身份证、劳动合同</w:t>
            </w:r>
            <w:r>
              <w:rPr>
                <w:rFonts w:hint="eastAsia" w:ascii="仿宋_GB2312" w:hAnsi="仿宋_GB2312" w:cs="仿宋_GB2312"/>
                <w:bCs/>
                <w:sz w:val="21"/>
                <w:szCs w:val="21"/>
              </w:rPr>
              <w:t>或其他在职证明</w:t>
            </w:r>
            <w:r>
              <w:rPr>
                <w:rFonts w:hint="eastAsia" w:ascii="仿宋_GB2312" w:hAnsi="仿宋_GB2312" w:cs="仿宋_GB2312"/>
                <w:kern w:val="0"/>
                <w:sz w:val="21"/>
                <w:szCs w:val="21"/>
              </w:rPr>
              <w:t>，社保或公积金缴存证明材料，要求：</w:t>
            </w:r>
          </w:p>
          <w:p>
            <w:pPr>
              <w:tabs>
                <w:tab w:val="left" w:pos="400"/>
              </w:tabs>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1.提供劳动合同</w:t>
            </w:r>
            <w:r>
              <w:rPr>
                <w:rFonts w:hint="eastAsia" w:ascii="仿宋_GB2312" w:hAnsi="仿宋_GB2312" w:cs="仿宋_GB2312"/>
                <w:bCs/>
                <w:sz w:val="21"/>
                <w:szCs w:val="21"/>
              </w:rPr>
              <w:t>或其他在职证明</w:t>
            </w:r>
            <w:r>
              <w:rPr>
                <w:rFonts w:hint="eastAsia" w:ascii="仿宋_GB2312" w:hAnsi="仿宋_GB2312" w:cs="仿宋_GB2312"/>
                <w:kern w:val="0"/>
                <w:sz w:val="21"/>
                <w:szCs w:val="21"/>
              </w:rPr>
              <w:t>；</w:t>
            </w:r>
          </w:p>
          <w:p>
            <w:pPr>
              <w:tabs>
                <w:tab w:val="left" w:pos="400"/>
              </w:tabs>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2.提供社保、公积金缴</w:t>
            </w:r>
            <w:r>
              <w:rPr>
                <w:rFonts w:hint="eastAsia" w:ascii="仿宋_GB2312" w:hAnsi="仿宋_GB2312" w:cs="仿宋_GB2312"/>
                <w:kern w:val="0"/>
                <w:sz w:val="21"/>
                <w:szCs w:val="21"/>
                <w:lang w:val="en-US" w:eastAsia="zh-CN"/>
              </w:rPr>
              <w:t>存</w:t>
            </w:r>
            <w:r>
              <w:rPr>
                <w:rFonts w:hint="eastAsia" w:ascii="仿宋_GB2312" w:hAnsi="仿宋_GB2312" w:cs="仿宋_GB2312"/>
                <w:kern w:val="0"/>
                <w:sz w:val="21"/>
                <w:szCs w:val="21"/>
              </w:rPr>
              <w:t>等证明材料（提供至少一种）。</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tabs>
                <w:tab w:val="left" w:pos="400"/>
              </w:tabs>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10</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高级专业技术职称或同等能力专业技术人员不少于五名。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高级专业技术职称或同等能力专业技术人员不少于三名。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核查职称证书、劳动合同或其他在职证明、社保或公积金缴存证明材料和专业技术人员档案材料等，要求：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b/>
                <w:sz w:val="21"/>
                <w:szCs w:val="21"/>
              </w:rPr>
            </w:pPr>
            <w:r>
              <w:rPr>
                <w:rFonts w:hint="eastAsia" w:ascii="仿宋_GB2312" w:hAnsi="仿宋_GB2312" w:cs="仿宋_GB2312"/>
                <w:kern w:val="0"/>
                <w:sz w:val="21"/>
                <w:szCs w:val="21"/>
              </w:rPr>
              <w:t>考核评估合格的高级专业技术职称或同等能力专业技术人员数量符合要求。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“同等能力”说明详见附录2。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11</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中级及以上技术职称或同等能力专业技术人员不少于机构所有职业卫生专业技术人员总数的40%。</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中级及以上技术职称或同等能力专业技术人员不少于机构所有职业卫生专业技术人员总数的30%。</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核查职称证书、劳动合同或其他在职证明、社保或公积金缴存证明材料和专业技术人员档案材料等，要求：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考核评估合格的</w:t>
            </w:r>
            <w:r>
              <w:rPr>
                <w:rFonts w:hint="eastAsia" w:ascii="仿宋_GB2312" w:hAnsi="仿宋_GB2312" w:cs="仿宋_GB2312"/>
                <w:kern w:val="0"/>
                <w:sz w:val="21"/>
                <w:szCs w:val="21"/>
              </w:rPr>
              <w:t>中级及以上专业技术职称或同等能力专业技术人员比例符合要求</w:t>
            </w:r>
            <w:r>
              <w:rPr>
                <w:rFonts w:hint="eastAsia" w:ascii="仿宋_GB2312" w:hAnsi="仿宋_GB2312" w:cs="仿宋_GB2312"/>
                <w:bCs/>
                <w:sz w:val="21"/>
                <w:szCs w:val="21"/>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4"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12</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职业卫生检测专业技术人员不少于十名、评价专业技术人员不少于十名。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职业卫生检测专业技术人员不少于五名、评价专业技术人员不少于五名。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核查职称证书、学历证书、学位证书、劳动合同或其他在职证明、社保或公积金缴存证明材料和专业技术人员档案材料等，要求：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考核评估合格的</w:t>
            </w:r>
            <w:r>
              <w:rPr>
                <w:rFonts w:hint="eastAsia" w:ascii="仿宋_GB2312" w:hAnsi="仿宋_GB2312" w:cs="仿宋_GB2312"/>
                <w:kern w:val="0"/>
                <w:sz w:val="21"/>
                <w:szCs w:val="21"/>
              </w:rPr>
              <w:t>职业卫生检测、评价专业技术人员数量符合要求。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13</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放射卫生检测、评价人员不少于十名，高级专业技术职称或同等能力专业技术人员不少于三名。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放射卫生检测、评价人员不少于五名，高级专业技术职称或同等能力专业技术人员不少于一名。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核查职称证书、学历证书、学位证书、劳动合同或其他在职证明、社保或公积金缴存证明材料和专业技术人员档案材料等，要求：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考核评估合格的放射卫生检测、评价人员数量符合要求。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14</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职业卫生工程技术人员不少于三名，且高级专业技术职称或同等能力专业技术人员不少于一名。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职业卫生工程技术人员不少于一名</w:t>
            </w:r>
            <w:r>
              <w:rPr>
                <w:rFonts w:hint="eastAsia" w:ascii="仿宋_GB2312" w:hAnsi="仿宋_GB2312" w:cs="仿宋_GB2312"/>
                <w:kern w:val="0"/>
                <w:sz w:val="21"/>
                <w:szCs w:val="21"/>
                <w:lang w:bidi="ar"/>
              </w:rPr>
              <w:t>。</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核查职称证书、学历证书、学位证书、劳动合同或其他在职证明、社保或公积金缴存证明材料和专业技术人员档案材料等，要求：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考核评估合格的职业卫生工程技术人员数量符合要求。</w:t>
            </w:r>
          </w:p>
          <w:p>
            <w:pPr>
              <w:adjustRightInd w:val="0"/>
              <w:snapToGrid w:val="0"/>
              <w:spacing w:line="264" w:lineRule="exact"/>
              <w:jc w:val="left"/>
              <w:rPr>
                <w:rFonts w:hint="eastAsia" w:ascii="仿宋_GB2312" w:hAnsi="仿宋_GB2312" w:cs="仿宋_GB2312"/>
                <w:sz w:val="21"/>
                <w:szCs w:val="21"/>
              </w:rPr>
            </w:pP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15</w:t>
            </w:r>
          </w:p>
        </w:tc>
        <w:tc>
          <w:tcPr>
            <w:tcW w:w="1193"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公共卫生专业人员不少于三名，且高级专业技术职称或同等能力专业技术人员不少于一名。</w:t>
            </w:r>
          </w:p>
        </w:tc>
        <w:tc>
          <w:tcPr>
            <w:tcW w:w="1227"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公共卫生专业人员不少于二名，且中级及以上专业技术职称或同等能力专业技术人员不少于一名。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核查职称证书、学历证书、学位证书、劳动合同或其他在职证明、社保或公积金</w:t>
            </w:r>
            <w:r>
              <w:rPr>
                <w:rFonts w:hint="eastAsia" w:ascii="仿宋_GB2312" w:hAnsi="仿宋_GB2312" w:cs="仿宋_GB2312"/>
                <w:kern w:val="0"/>
                <w:sz w:val="21"/>
                <w:szCs w:val="21"/>
              </w:rPr>
              <w:t>缴</w:t>
            </w:r>
            <w:r>
              <w:rPr>
                <w:rFonts w:hint="eastAsia" w:ascii="仿宋_GB2312" w:hAnsi="仿宋_GB2312" w:cs="仿宋_GB2312"/>
                <w:kern w:val="0"/>
                <w:sz w:val="21"/>
                <w:szCs w:val="21"/>
                <w:lang w:val="en-US" w:eastAsia="zh-CN"/>
              </w:rPr>
              <w:t>存</w:t>
            </w:r>
            <w:r>
              <w:rPr>
                <w:rFonts w:hint="eastAsia" w:ascii="仿宋_GB2312" w:hAnsi="仿宋_GB2312" w:cs="仿宋_GB2312"/>
                <w:sz w:val="21"/>
                <w:szCs w:val="21"/>
              </w:rPr>
              <w:t>证明材料和专业技术人员档案材料等，要求：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考核评估合格的公共卫生专业人员数量符合要求。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16</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应按照申请业务范围的要求配置行业工程技术人员。</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lang w:val="en-US" w:eastAsia="zh-CN"/>
              </w:rPr>
              <w:t>核</w:t>
            </w:r>
            <w:r>
              <w:rPr>
                <w:rFonts w:hint="eastAsia" w:ascii="仿宋_GB2312" w:hAnsi="仿宋_GB2312" w:cs="仿宋_GB2312"/>
                <w:bCs/>
                <w:sz w:val="21"/>
                <w:szCs w:val="21"/>
              </w:rPr>
              <w:t>查职称证书、学历证书、学位证书、劳动合同或其他在职证明、社保或公积金缴存证明材料和专业技术人员档案材料等，要求：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1.行业工程技术人员配备应符合附录2的相关要求；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2.行业工程技术人员应达到考核评估合格要求。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1.不符合要求的，该项业务范围不予通过；</w:t>
            </w:r>
          </w:p>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2.如申请的每项业务范围的行业工程技术人员均不符合要求，则</w:t>
            </w:r>
            <w:r>
              <w:rPr>
                <w:rFonts w:hint="eastAsia" w:ascii="仿宋_GB2312" w:hAnsi="仿宋_GB2312" w:cs="仿宋_GB2312"/>
                <w:sz w:val="21"/>
                <w:szCs w:val="21"/>
              </w:rPr>
              <w:t>判定评审结论为“不通过”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人员岗位和职责</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17</w:t>
            </w:r>
          </w:p>
        </w:tc>
        <w:tc>
          <w:tcPr>
            <w:tcW w:w="1193"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★技术负责人具有高级专业技术职称和五年以上职业卫生检测、评价相关工作经验，年龄不得超过65周岁。</w:t>
            </w:r>
          </w:p>
        </w:tc>
        <w:tc>
          <w:tcPr>
            <w:tcW w:w="122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★技术负责人具有高级专业技术职称和三年以上职业卫生检测、评价相关工作经验，或者中级专业技术职称和八年以上职业卫生检测、评价相关工作经验，年龄不得超过65周岁。</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核查质量管理体系文件、身份证、职称证书、劳动合同或其他在职证明、社保或公积金缴存证明材料、专业技术人员档案和技术服务档案材料等，要求：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1.设置检测、评价技术负责人岗位，有技术负责人任命文件及岗位职责；</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2.为申请单位的专职人员；</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3.专业技术职称符合要求；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4.工作经历符合要求；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5.年龄符合要求；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6.技术负责人达到考核评估合格要求。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lang w:bidi="ar"/>
              </w:rPr>
              <w:t>第一类和第二类业务范围，应分别设置技术负责人。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4"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18</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★质量控制负责人具有高级专业技术职称和三年以上相关工作经验，或者中级专业技术职称和五年以上相关工作经验，具有建立、维护和保证质量管理体系有效运行的能力和权力。</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核查质量管理体系文件、身份证、职称证书、劳动合同或其他在职证明、社保或公积金缴存证明材料和专业技术人员档案材料等</w:t>
            </w:r>
            <w:r>
              <w:rPr>
                <w:rFonts w:hint="eastAsia" w:ascii="仿宋_GB2312" w:hAnsi="仿宋_GB2312" w:cs="仿宋_GB2312"/>
                <w:kern w:val="0"/>
                <w:sz w:val="21"/>
                <w:szCs w:val="21"/>
              </w:rPr>
              <w:t>，要求：</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设置质量控制负责人，有质量控制负责人任命文件；</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为申请单位的专职人员；</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专业技术职称符合要求；</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工作经历符合要求；</w:t>
            </w:r>
          </w:p>
          <w:p>
            <w:pPr>
              <w:numPr>
                <w:ilvl w:val="0"/>
                <w:numId w:val="2"/>
              </w:num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质量控制负责人达到考核评估合格要求；</w:t>
            </w:r>
          </w:p>
          <w:p>
            <w:pPr>
              <w:numPr>
                <w:ilvl w:val="0"/>
                <w:numId w:val="2"/>
              </w:num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查阅质量体系文件及相关记录，证明其具有建立、维护和保证质量管理体系有效运行的能力和权力。</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19</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kern w:val="0"/>
                <w:sz w:val="21"/>
                <w:szCs w:val="21"/>
              </w:rPr>
              <w:t>授权签字人的设置满足要求。</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核查质量管理体系文件、身份证、职称证书、学历证书、学位证书、劳动合同或其他在职证明、社保或公积金缴存证明材料和专业技术人员档案材料等</w:t>
            </w:r>
            <w:r>
              <w:rPr>
                <w:rFonts w:hint="eastAsia" w:ascii="仿宋_GB2312" w:hAnsi="仿宋_GB2312" w:cs="仿宋_GB2312"/>
                <w:kern w:val="0"/>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1.设置了授权签字人，并有授权签字人的任命文件；</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2.授权签字人具有中级及以上专业技术职称；</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3.授权签字人</w:t>
            </w:r>
            <w:r>
              <w:rPr>
                <w:rFonts w:hint="eastAsia" w:ascii="仿宋_GB2312" w:hAnsi="仿宋_GB2312" w:cs="仿宋_GB2312"/>
                <w:kern w:val="0"/>
                <w:sz w:val="21"/>
                <w:szCs w:val="21"/>
              </w:rPr>
              <w:t>达到考核评估合格要求；</w:t>
            </w:r>
          </w:p>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4.授权签字人应该熟悉职业卫生检测、评价相关法规、标准、方法和过程，并能对技术报告进行正确评判（</w:t>
            </w:r>
            <w:r>
              <w:rPr>
                <w:rFonts w:hint="eastAsia" w:ascii="仿宋_GB2312" w:hAnsi="仿宋_GB2312" w:cs="仿宋_GB2312"/>
                <w:kern w:val="0"/>
                <w:sz w:val="21"/>
                <w:szCs w:val="21"/>
              </w:rPr>
              <w:t>采取口试方式进行能力考核</w:t>
            </w:r>
            <w:r>
              <w:rPr>
                <w:rFonts w:hint="eastAsia" w:ascii="仿宋_GB2312" w:hAnsi="仿宋_GB2312" w:cs="仿宋_GB2312"/>
                <w:bCs/>
                <w:sz w:val="21"/>
                <w:szCs w:val="21"/>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20</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审核人、质量监督员、内审员、设备管理员、样品管理员、档案管理员的设置满足要求。</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核查质量管理体系文件、身份证、职称证书、学历证书、学位证书、劳动合同或其他在职证明、社保或公积金缴存证明材料和专业技术人员档案材料等</w:t>
            </w:r>
            <w:r>
              <w:rPr>
                <w:rFonts w:hint="eastAsia" w:ascii="仿宋_GB2312" w:hAnsi="仿宋_GB2312" w:cs="仿宋_GB2312"/>
                <w:kern w:val="0"/>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1.设置了六类人员岗位，有六类人员的任命文件；</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2.审核人、质量监督员应具有中级及以上专业技术职称或同等能力，且达到考核评估合格要求。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21</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明确各类专业技术人员岗位职责并有效实施。</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核查质量管理体系文件、技术服务报告及相关原始记录等材料，要求：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1.应当建立、健全职业卫生技术服务责任制，明确主要负责人、质量控制负责人、技术负责人、授权签字人、审核人、项目负责人及项目参与人员责任；</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2.主要负责人全面负责本机构的职业卫生技术服务工作；</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3.质量控制负责人应负责质量管理体系的建立、实施和维护，并组织对技术服务全过程质量控制和管理；</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4.技术负责人应参与质量管理体系的建立、实施和维护，并组织对技术服务全过程技术能力的控制和管理；</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5.授权签字人应按照授权范围和相关法律、法规和标准规范要求对技术服务报告进行审核和签发；</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6.审核人应对检测、评价过程进行审核，对检测、评价结果或结论的准确性、合理性和有效性进行评估；</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7.质量监督员应对职业卫生技术服务全过程开展质量监督；</w:t>
            </w:r>
          </w:p>
          <w:p>
            <w:pPr>
              <w:adjustRightInd w:val="0"/>
              <w:snapToGrid w:val="0"/>
              <w:spacing w:line="264"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rPr>
              <w:t>8.项目负责人及参与人员按照职责分工参与技术服务，在技术报告及原始记录上签字。检测、评价人员</w:t>
            </w:r>
            <w:r>
              <w:rPr>
                <w:rFonts w:hint="eastAsia" w:ascii="仿宋_GB2312" w:hAnsi="仿宋_GB2312" w:cs="仿宋_GB2312"/>
                <w:kern w:val="0"/>
                <w:sz w:val="21"/>
                <w:szCs w:val="21"/>
                <w:lang w:bidi="ar"/>
              </w:rPr>
              <w:t>应达到考核评估合格要求方可在职业卫生技术服务报告和相关原始记录上独立签字；</w:t>
            </w:r>
          </w:p>
          <w:p>
            <w:pPr>
              <w:adjustRightInd w:val="0"/>
              <w:snapToGrid w:val="0"/>
              <w:spacing w:line="264" w:lineRule="exact"/>
              <w:jc w:val="left"/>
              <w:rPr>
                <w:rFonts w:hint="eastAsia" w:ascii="仿宋_GB2312" w:hAnsi="仿宋_GB2312" w:cs="仿宋_GB2312"/>
                <w:bCs/>
                <w:sz w:val="21"/>
                <w:szCs w:val="21"/>
                <w:lang w:bidi="ar"/>
              </w:rPr>
            </w:pPr>
            <w:r>
              <w:rPr>
                <w:rFonts w:hint="eastAsia" w:ascii="仿宋_GB2312" w:hAnsi="仿宋_GB2312" w:cs="仿宋_GB2312"/>
                <w:kern w:val="0"/>
                <w:sz w:val="21"/>
                <w:szCs w:val="21"/>
              </w:rPr>
              <w:t>9.内审员、设备管理员、样品管理员、档案管理员应按照质量管理体系文件规定，有效履行岗位职责。</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9"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人员培训</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申请单位应组织专业技术人员接受专业培训。</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w:t>
            </w:r>
            <w:r>
              <w:rPr>
                <w:rFonts w:hint="eastAsia" w:ascii="仿宋_GB2312" w:hAnsi="仿宋_GB2312" w:cs="仿宋_GB2312"/>
                <w:kern w:val="0"/>
                <w:sz w:val="21"/>
                <w:szCs w:val="21"/>
              </w:rPr>
              <w:t>专业技术人员培训计划、培训内容、培训过程记录等培训档案材料</w:t>
            </w:r>
            <w:r>
              <w:rPr>
                <w:rFonts w:hint="eastAsia" w:ascii="仿宋_GB2312" w:hAnsi="仿宋_GB2312" w:cs="仿宋_GB2312"/>
                <w:bCs/>
                <w:sz w:val="21"/>
                <w:szCs w:val="21"/>
              </w:rPr>
              <w:t>，要求：</w:t>
            </w:r>
          </w:p>
          <w:p>
            <w:pPr>
              <w:widowControl/>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1.应组织专业技术人员接受岗前专业培训，机构可以自行开展或委托有条件的培训机构开展，岗前培训时间不少于40学时；</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w:t>
            </w:r>
            <w:r>
              <w:rPr>
                <w:rFonts w:hint="eastAsia" w:ascii="仿宋_GB2312" w:hAnsi="仿宋_GB2312" w:cs="仿宋_GB2312"/>
                <w:sz w:val="21"/>
                <w:szCs w:val="21"/>
              </w:rPr>
              <w:t>培训内容应涵盖《职业卫生技术服务机构专业技术人员考核评估大纲》的考核内容；</w:t>
            </w:r>
          </w:p>
          <w:p>
            <w:pPr>
              <w:widowControl/>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3</w:t>
            </w:r>
            <w:r>
              <w:rPr>
                <w:rFonts w:hint="eastAsia" w:ascii="仿宋_GB2312" w:hAnsi="仿宋_GB2312" w:cs="仿宋_GB2312"/>
                <w:sz w:val="21"/>
                <w:szCs w:val="21"/>
              </w:rPr>
              <w:t>.专业技术人员应接受每年不少于8学时的专业知识继续教育培训；</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4.规范建立</w:t>
            </w:r>
            <w:r>
              <w:rPr>
                <w:rFonts w:hint="eastAsia" w:ascii="仿宋_GB2312" w:hAnsi="仿宋_GB2312" w:cs="仿宋_GB2312"/>
                <w:bCs/>
                <w:sz w:val="21"/>
                <w:szCs w:val="21"/>
              </w:rPr>
              <w:t>专业技术人员培训档案，档案材料至少包括</w:t>
            </w:r>
            <w:r>
              <w:rPr>
                <w:rFonts w:hint="eastAsia" w:ascii="仿宋_GB2312" w:hAnsi="仿宋_GB2312" w:cs="仿宋_GB2312"/>
                <w:sz w:val="21"/>
                <w:szCs w:val="21"/>
              </w:rPr>
              <w:t>培训计划、培训内容、培训过程记录（包括书面及影像资料）等材料。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新申请乙级资质的，不核查继续教育培训情况。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专业技术人员管理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规范建立专业技术人员技术档案，</w:t>
            </w:r>
            <w:r>
              <w:rPr>
                <w:rFonts w:hint="eastAsia" w:ascii="仿宋_GB2312" w:hAnsi="仿宋_GB2312" w:cs="仿宋_GB2312"/>
                <w:bCs/>
                <w:sz w:val="21"/>
                <w:szCs w:val="21"/>
              </w:rPr>
              <w:t>档案材料齐全</w:t>
            </w:r>
            <w:r>
              <w:rPr>
                <w:rFonts w:hint="eastAsia" w:ascii="仿宋_GB2312" w:hAnsi="仿宋_GB2312" w:cs="仿宋_GB2312"/>
                <w:kern w:val="0"/>
                <w:sz w:val="21"/>
                <w:szCs w:val="21"/>
              </w:rPr>
              <w:t>。</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核查人员技术档案材料，要求：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1.规范建立了专业技术人员技术档案；</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2.</w:t>
            </w:r>
            <w:r>
              <w:rPr>
                <w:rFonts w:hint="eastAsia" w:ascii="仿宋_GB2312" w:hAnsi="仿宋_GB2312" w:cs="仿宋_GB2312"/>
                <w:bCs/>
                <w:sz w:val="21"/>
                <w:szCs w:val="21"/>
              </w:rPr>
              <w:t>档案材料齐全，</w:t>
            </w:r>
            <w:r>
              <w:rPr>
                <w:rFonts w:hint="eastAsia" w:ascii="仿宋_GB2312" w:hAnsi="仿宋_GB2312" w:cs="仿宋_GB2312"/>
                <w:kern w:val="0"/>
                <w:sz w:val="21"/>
                <w:szCs w:val="21"/>
              </w:rPr>
              <w:t>包括劳动合同</w:t>
            </w:r>
            <w:r>
              <w:rPr>
                <w:rFonts w:hint="eastAsia" w:ascii="仿宋_GB2312" w:hAnsi="仿宋_GB2312" w:cs="仿宋_GB2312"/>
                <w:bCs/>
                <w:sz w:val="21"/>
                <w:szCs w:val="21"/>
              </w:rPr>
              <w:t>或其他在职证明</w:t>
            </w:r>
            <w:r>
              <w:rPr>
                <w:rFonts w:hint="eastAsia" w:ascii="仿宋_GB2312" w:hAnsi="仿宋_GB2312" w:cs="仿宋_GB2312"/>
                <w:kern w:val="0"/>
                <w:sz w:val="21"/>
                <w:szCs w:val="21"/>
              </w:rPr>
              <w:t>、专业技术职称证书、岗位任命文件、学历证书、学位证书、专业知识培训考核相关材料、发表的研究论文、专著、发明专利、科研成果、参与制定的职业卫生相关标准等。</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技术档案材料可以为复印件或影印件。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专业技术人员实操能力考核</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24-1</w:t>
            </w:r>
          </w:p>
        </w:tc>
        <w:tc>
          <w:tcPr>
            <w:tcW w:w="2420" w:type="dxa"/>
            <w:gridSpan w:val="2"/>
            <w:vMerge w:val="restart"/>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现场采样、现场检测和实验室检测分析等操作</w:t>
            </w:r>
            <w:r>
              <w:rPr>
                <w:rFonts w:hint="eastAsia" w:ascii="仿宋_GB2312" w:hAnsi="仿宋_GB2312" w:cs="仿宋_GB2312"/>
                <w:bCs/>
                <w:sz w:val="21"/>
                <w:szCs w:val="21"/>
              </w:rPr>
              <w:t>规范、熟练。</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专家依据考核大纲和考试题库，对检测人员进行操作技能考核，检测人员应独立完成考核</w:t>
            </w:r>
            <w:r>
              <w:rPr>
                <w:rFonts w:hint="eastAsia" w:ascii="仿宋_GB2312" w:hAnsi="仿宋_GB2312" w:cs="仿宋_GB2312"/>
                <w:bCs/>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1.熟悉现场采样、现场检测和实验室检测的原理和方法；</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2.熟练操作现场采样、现场检测和实验室检测的仪器设备。</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全部参加考核人员符合要求。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有二名及以下参加考核人员基本符合要求，其余人员均符合要求。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有三名以上参加考核人员基本符合要求，或一名以上参加考核人员不符合要求。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申请第一类业务范围的考核。参加考核人员数量：甲级不少于五名，乙级不少于三名。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r>
              <w:rPr>
                <w:rFonts w:hint="eastAsia" w:ascii="仿宋_GB2312" w:hAnsi="仿宋_GB2312" w:cs="仿宋_GB2312"/>
                <w:bCs/>
                <w:sz w:val="21"/>
                <w:szCs w:val="21"/>
              </w:rPr>
              <w:t>24-2</w:t>
            </w:r>
          </w:p>
        </w:tc>
        <w:tc>
          <w:tcPr>
            <w:tcW w:w="2420" w:type="dxa"/>
            <w:gridSpan w:val="2"/>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专家依据考核大纲和考试题库，对检测人员进行操作技能考核，检测人员应独立完成考核</w:t>
            </w:r>
            <w:r>
              <w:rPr>
                <w:rFonts w:hint="eastAsia" w:ascii="仿宋_GB2312" w:hAnsi="仿宋_GB2312" w:cs="仿宋_GB2312"/>
                <w:bCs/>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1.熟悉现场检测和实验室检测的原理和方法；</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2.熟练操作现场检测和实验室检测的仪器设备；</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3.熟悉各类放射防护检测的本底测量方法。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全部参加考核人员均符合要求。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有一名参加考核人员基本符合要求，其余人员均符合要求。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有二名以上参加考核人员基本符合要求，或一名以上参加考核人员不符合要求。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申请第二类业务范围的考核。参加考核人员数量：甲级不少于三名，乙级不少于二名。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25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现场采样、现场检测、实验室分析记录规范、完整。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考核现场采样、现场检测、实验室分析的模拟记录，要求：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1.使用的记录表格应受控，保证现行有效；</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2.记录应清晰，便于辨识相关信息；</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3.记录的信息应准确、完整、规范，没有缺项。</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职业卫生工程技术人员实际操作熟练、规范。</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专家依据考核大纲和考试题库，对职业卫生工程技术人员进行实际操作能力考核，职业卫生工程技术人员应独立完成考核，要求：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1.熟悉和应用风速、风量、风压的检测方法、布点原则；</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2.熟悉风速、风量、风压的检测仪器的原理和操作；</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3.熟悉职业卫生工程防护设施及个体防护用品的种类、适用范围和选用原则。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全部参加考核人员</w:t>
            </w:r>
            <w:r>
              <w:rPr>
                <w:rFonts w:hint="eastAsia" w:ascii="仿宋_GB2312" w:hAnsi="仿宋_GB2312" w:cs="仿宋_GB2312"/>
                <w:bCs/>
                <w:sz w:val="21"/>
                <w:szCs w:val="21"/>
                <w:lang w:val="en-US" w:eastAsia="zh-CN"/>
              </w:rPr>
              <w:t>均</w:t>
            </w: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有一名参加考核人员基本符合要求。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kern w:val="0"/>
                <w:sz w:val="21"/>
                <w:szCs w:val="21"/>
              </w:rPr>
              <w:t>有二名以上参加考核人员基本符合要求，或</w:t>
            </w:r>
            <w:r>
              <w:rPr>
                <w:rFonts w:hint="eastAsia" w:ascii="仿宋_GB2312" w:hAnsi="仿宋_GB2312" w:cs="仿宋_GB2312"/>
                <w:bCs/>
                <w:sz w:val="21"/>
                <w:szCs w:val="21"/>
              </w:rPr>
              <w:t>有一名以上参加考核人员不符合要求。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申请第一类业务范围的考核。参加考核人员数量，甲级不少于三名，乙级不少于一名。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3．工作场所</w:t>
            </w: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工作场所面积</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sz w:val="21"/>
                <w:szCs w:val="21"/>
              </w:rPr>
            </w:pPr>
            <w:r>
              <w:rPr>
                <w:rFonts w:hint="eastAsia" w:ascii="仿宋_GB2312" w:hAnsi="仿宋_GB2312" w:cs="仿宋_GB2312"/>
                <w:bCs/>
                <w:sz w:val="21"/>
                <w:szCs w:val="21"/>
              </w:rPr>
              <w:t>★</w:t>
            </w:r>
            <w:r>
              <w:rPr>
                <w:rFonts w:hint="eastAsia" w:ascii="仿宋_GB2312" w:hAnsi="仿宋_GB2312" w:cs="仿宋_GB2312"/>
                <w:kern w:val="0"/>
                <w:sz w:val="21"/>
                <w:szCs w:val="21"/>
              </w:rPr>
              <w:t>有固定工作场所，工作场所面积与所申请资质、业务范围</w:t>
            </w:r>
            <w:r>
              <w:rPr>
                <w:rFonts w:hint="eastAsia" w:ascii="仿宋_GB2312" w:hAnsi="仿宋_GB2312" w:cs="仿宋_GB2312"/>
                <w:kern w:val="0"/>
                <w:sz w:val="21"/>
                <w:szCs w:val="21"/>
                <w:lang w:val="en-US" w:eastAsia="zh-CN"/>
              </w:rPr>
              <w:t>相</w:t>
            </w:r>
            <w:r>
              <w:rPr>
                <w:rFonts w:hint="eastAsia" w:ascii="仿宋_GB2312" w:hAnsi="仿宋_GB2312" w:cs="仿宋_GB2312"/>
                <w:kern w:val="0"/>
                <w:sz w:val="21"/>
                <w:szCs w:val="21"/>
              </w:rPr>
              <w:t>适应。</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现场察看工作场所布局，核查房产证或房屋租赁合同等资料，要求：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1.根据申请资质、业务范围设有相应工作场所，工作场所面积满足实际工作需求；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2.</w:t>
            </w:r>
            <w:r>
              <w:rPr>
                <w:rFonts w:hint="eastAsia" w:ascii="仿宋_GB2312" w:hAnsi="仿宋_GB2312" w:cs="仿宋_GB2312"/>
                <w:bCs/>
                <w:sz w:val="21"/>
                <w:szCs w:val="21"/>
              </w:rPr>
              <w:t>为自有产权或租赁产权。</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28</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职业卫生检测实验室面积满足技术服务需求。</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现场察看工作场所布局，核查房产证或房屋租赁合同等资料，要求：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实验室</w:t>
            </w:r>
            <w:r>
              <w:rPr>
                <w:rFonts w:hint="eastAsia" w:ascii="仿宋_GB2312" w:hAnsi="仿宋_GB2312" w:cs="仿宋_GB2312"/>
                <w:kern w:val="0"/>
                <w:sz w:val="21"/>
                <w:szCs w:val="21"/>
              </w:rPr>
              <w:t>面积满足实际工作需求</w:t>
            </w:r>
            <w:r>
              <w:rPr>
                <w:rFonts w:hint="eastAsia" w:ascii="仿宋_GB2312" w:hAnsi="仿宋_GB2312" w:cs="仿宋_GB2312"/>
                <w:bCs/>
                <w:sz w:val="21"/>
                <w:szCs w:val="21"/>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有独立的档案室，档案室面积满足技术服务需求。</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现场察看工作场所布局，核查房产证或房屋租赁合同等资料，要求：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1.档案室</w:t>
            </w:r>
            <w:r>
              <w:rPr>
                <w:rFonts w:hint="eastAsia" w:ascii="仿宋_GB2312" w:hAnsi="仿宋_GB2312" w:cs="仿宋_GB2312"/>
                <w:kern w:val="0"/>
                <w:sz w:val="21"/>
                <w:szCs w:val="21"/>
              </w:rPr>
              <w:t>面积满足实际工作需求；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2.档案室设置应符合相关要求</w:t>
            </w:r>
            <w:r>
              <w:rPr>
                <w:rFonts w:hint="eastAsia" w:ascii="仿宋_GB2312" w:hAnsi="仿宋_GB2312" w:cs="仿宋_GB2312"/>
                <w:bCs/>
                <w:sz w:val="21"/>
                <w:szCs w:val="21"/>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实验室设置</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实验室各类用房应集中布置，做到功能分区明确、布局合理、互不干扰。</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现场察看实验室的布局、环境及内务管理，以及实验室管理制度，要求：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1</w:t>
            </w:r>
            <w:r>
              <w:rPr>
                <w:rFonts w:hint="eastAsia" w:ascii="仿宋_GB2312" w:hAnsi="仿宋_GB2312" w:cs="仿宋_GB2312"/>
                <w:kern w:val="0"/>
                <w:sz w:val="21"/>
                <w:szCs w:val="21"/>
              </w:rPr>
              <w:t>.实验室各类用房集中布置；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2.实验室功能分区明确、布局合理、互不干扰；</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3.实验室内整洁有序、有良好的内务;</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4.水、气、电等管路或线路布局合理。</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31</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天平室设置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天平室的设置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1.远离振源，防止气流和磁场干扰，并设置缓冲间；</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2.天平室墙体、地面应平整光滑，不积尘、不起灰；</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3.天平台台面和台座应做隔振处理；</w:t>
            </w:r>
          </w:p>
          <w:p>
            <w:pPr>
              <w:widowControl/>
              <w:adjustRightInd w:val="0"/>
              <w:snapToGrid w:val="0"/>
              <w:spacing w:line="264" w:lineRule="exact"/>
              <w:jc w:val="left"/>
              <w:rPr>
                <w:rFonts w:hint="eastAsia" w:ascii="仿宋_GB2312" w:hAnsi="仿宋_GB2312" w:cs="仿宋_GB2312"/>
                <w:bCs/>
                <w:kern w:val="0"/>
                <w:sz w:val="21"/>
                <w:szCs w:val="21"/>
              </w:rPr>
            </w:pPr>
            <w:r>
              <w:rPr>
                <w:rFonts w:hint="eastAsia" w:ascii="仿宋_GB2312" w:hAnsi="仿宋_GB2312" w:cs="仿宋_GB2312"/>
                <w:kern w:val="0"/>
                <w:sz w:val="21"/>
                <w:szCs w:val="21"/>
                <w:shd w:val="clear" w:color="auto" w:fill="FFFFFF"/>
              </w:rPr>
              <w:t>4.应设置室内环境条件控制设施，备有温湿度计，保持称量环境温度、湿度相对恒定。</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仪器室设置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仪器室的设置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1.仪器室应保证分析测定所要求的温度、湿度条件；</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2.仪器室应保证通风良好，产生废气的设备上方应设置局部排风系统，排风罩符合安全要求，罩口风速符合要求。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样品前处理室设置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样品前处理室的设置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1.有机样品和无机样品前处理区域应分开设置；</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2.墙体地面应平整光滑、耐腐蚀，易于冲洗清扫。实验台、试剂柜等应耐酸碱腐蚀；</w:t>
            </w:r>
          </w:p>
          <w:p>
            <w:pPr>
              <w:widowControl/>
              <w:adjustRightInd w:val="0"/>
              <w:snapToGrid w:val="0"/>
              <w:spacing w:line="264" w:lineRule="exact"/>
              <w:jc w:val="left"/>
              <w:rPr>
                <w:rFonts w:hint="eastAsia" w:ascii="仿宋_GB2312" w:hAnsi="仿宋_GB2312" w:cs="仿宋_GB2312"/>
                <w:bCs/>
                <w:kern w:val="0"/>
                <w:sz w:val="21"/>
                <w:szCs w:val="21"/>
              </w:rPr>
            </w:pPr>
            <w:r>
              <w:rPr>
                <w:rFonts w:hint="eastAsia" w:ascii="仿宋_GB2312" w:hAnsi="仿宋_GB2312" w:cs="仿宋_GB2312"/>
                <w:kern w:val="0"/>
                <w:sz w:val="21"/>
                <w:szCs w:val="21"/>
                <w:shd w:val="clear" w:color="auto" w:fill="FFFFFF"/>
              </w:rPr>
              <w:t>3.样品前处理室应通风良好，设置独立通风橱，样品消解处理应设置耐酸碱腐蚀的通风橱。</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高温室</w:t>
            </w:r>
            <w:r>
              <w:rPr>
                <w:rFonts w:hint="eastAsia" w:ascii="仿宋_GB2312" w:hAnsi="仿宋_GB2312" w:cs="仿宋_GB2312"/>
                <w:sz w:val="21"/>
                <w:szCs w:val="21"/>
                <w:shd w:val="clear" w:color="auto" w:fill="FFFFFF"/>
              </w:rPr>
              <w:t>设置</w:t>
            </w:r>
            <w:r>
              <w:rPr>
                <w:rFonts w:hint="eastAsia" w:ascii="仿宋_GB2312" w:hAnsi="仿宋_GB2312" w:cs="仿宋_GB2312"/>
                <w:bCs/>
                <w:sz w:val="21"/>
                <w:szCs w:val="21"/>
              </w:rPr>
              <w:t>、布局、环境及管理</w:t>
            </w:r>
            <w:r>
              <w:rPr>
                <w:rFonts w:hint="eastAsia" w:ascii="仿宋_GB2312" w:hAnsi="仿宋_GB2312" w:cs="仿宋_GB2312"/>
                <w:kern w:val="0"/>
                <w:sz w:val="21"/>
                <w:szCs w:val="21"/>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rPr>
              <w:t>高温室</w:t>
            </w:r>
            <w:r>
              <w:rPr>
                <w:rFonts w:hint="eastAsia" w:ascii="仿宋_GB2312" w:hAnsi="仿宋_GB2312" w:cs="仿宋_GB2312"/>
                <w:kern w:val="0"/>
                <w:sz w:val="21"/>
                <w:szCs w:val="21"/>
                <w:shd w:val="clear" w:color="auto" w:fill="FFFFFF"/>
              </w:rPr>
              <w:t>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1.高温室应单独设置；</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2.高温设备应放置在耐高温工作台上，高温设备之间应保持一定间距；</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3.高温室内严禁储存和使用易燃易爆物品及有机化学品，并保持室内通风良好。</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现场仪器室设置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现场仪器室的设置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1.现场采样和现场测量仪器设备应统一存放在现场仪器室内；</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2.现场仪器室应保持通风干燥；</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3.仪器设备应分类存放，摆放整齐；</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4.设置必要的充电设施，满足使用、维护和保养需要；</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5.</w:t>
            </w:r>
            <w:r>
              <w:rPr>
                <w:rFonts w:hint="eastAsia" w:ascii="仿宋_GB2312" w:hAnsi="仿宋_GB2312" w:cs="仿宋_GB2312"/>
                <w:bCs/>
                <w:sz w:val="21"/>
                <w:szCs w:val="21"/>
              </w:rPr>
              <w:t>现场采样和现场</w:t>
            </w:r>
            <w:r>
              <w:rPr>
                <w:rFonts w:hint="eastAsia" w:ascii="仿宋_GB2312" w:hAnsi="仿宋_GB2312" w:cs="仿宋_GB2312"/>
                <w:kern w:val="0"/>
                <w:sz w:val="21"/>
                <w:szCs w:val="21"/>
              </w:rPr>
              <w:t>检测</w:t>
            </w:r>
            <w:r>
              <w:rPr>
                <w:rFonts w:hint="eastAsia" w:ascii="仿宋_GB2312" w:hAnsi="仿宋_GB2312" w:cs="仿宋_GB2312"/>
                <w:bCs/>
                <w:sz w:val="21"/>
                <w:szCs w:val="21"/>
              </w:rPr>
              <w:t>设备应有出入库记录。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试剂室设置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试剂室的设置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1.试剂柜应选用耐腐蚀材料，存储挥发性试剂的试剂柜应安装排风系统；</w:t>
            </w:r>
          </w:p>
          <w:p>
            <w:pPr>
              <w:widowControl/>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2.试剂应分类存放，禁忌试剂不得混存。液体试剂和固体试剂应分柜存放，腐蚀性物品应包装严密，酸、碱试剂应分开存放，氧化剂与还原剂应分开存放，光敏试剂应避光保存，易燃易爆试剂应专柜存放；</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3.剧毒、易制毒、易制爆等物品应按要求规范管理；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sz w:val="21"/>
                <w:szCs w:val="21"/>
                <w:shd w:val="clear" w:color="auto" w:fill="FFFFFF"/>
              </w:rPr>
              <w:t>4.试剂出入库应有记录。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37</w:t>
            </w:r>
          </w:p>
        </w:tc>
        <w:tc>
          <w:tcPr>
            <w:tcW w:w="2420" w:type="dxa"/>
            <w:gridSpan w:val="2"/>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kern w:val="0"/>
                <w:sz w:val="21"/>
                <w:szCs w:val="21"/>
                <w:shd w:val="clear" w:color="auto" w:fill="FFFFFF"/>
              </w:rPr>
              <w:t>实验室用气应符合相关要求。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w:t>
            </w:r>
            <w:r>
              <w:rPr>
                <w:rFonts w:hint="eastAsia" w:ascii="仿宋_GB2312" w:hAnsi="仿宋_GB2312" w:cs="仿宋_GB2312"/>
                <w:kern w:val="0"/>
                <w:sz w:val="21"/>
                <w:szCs w:val="21"/>
                <w:shd w:val="clear" w:color="auto" w:fill="FFFFFF"/>
              </w:rPr>
              <w:t>实验室用气的设置</w:t>
            </w:r>
            <w:r>
              <w:rPr>
                <w:rFonts w:hint="eastAsia" w:ascii="仿宋_GB2312" w:hAnsi="仿宋_GB2312" w:cs="仿宋_GB2312"/>
                <w:bCs/>
                <w:kern w:val="0"/>
                <w:sz w:val="21"/>
                <w:szCs w:val="21"/>
              </w:rPr>
              <w:t>、环境及管理措施，</w:t>
            </w:r>
            <w:r>
              <w:rPr>
                <w:rFonts w:hint="eastAsia" w:ascii="仿宋_GB2312" w:hAnsi="仿宋_GB2312" w:cs="仿宋_GB2312"/>
                <w:kern w:val="0"/>
                <w:sz w:val="21"/>
                <w:szCs w:val="21"/>
                <w:shd w:val="clear" w:color="auto" w:fill="FFFFFF"/>
              </w:rPr>
              <w:t>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1.气瓶应分类妥善保管，远离火源、热源，避免阳光直射及强烈振动；</w:t>
            </w:r>
          </w:p>
          <w:p>
            <w:pPr>
              <w:widowControl/>
              <w:adjustRightInd w:val="0"/>
              <w:snapToGrid w:val="0"/>
              <w:spacing w:line="264" w:lineRule="exac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2.气瓶应直立放置并有明显标记，摆放整齐，并进行有效固定；</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3.采用气体发生器作为气源的，应做好设备的维护管理；</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4.应按照有关安全使用规定正确使用气瓶，设置气体泄漏报警、应急通风装置；</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5.使用易燃易爆气体的，应设置防爆气瓶柜或气瓶间，设置气瓶间的还应设置静电消除等安全装置。</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sz w:val="21"/>
                <w:szCs w:val="21"/>
                <w:shd w:val="clear" w:color="auto" w:fill="FFFFFF"/>
              </w:rPr>
            </w:pPr>
            <w:r>
              <w:rPr>
                <w:rFonts w:hint="eastAsia" w:ascii="仿宋_GB2312" w:hAnsi="仿宋_GB2312" w:cs="仿宋_GB2312"/>
                <w:bCs/>
                <w:sz w:val="21"/>
                <w:szCs w:val="21"/>
              </w:rPr>
              <w:t>低本底</w:t>
            </w:r>
            <w:r>
              <w:rPr>
                <w:rFonts w:hint="eastAsia" w:ascii="仿宋_GB2312" w:hAnsi="仿宋_GB2312" w:cs="仿宋_GB2312"/>
                <w:bCs/>
                <w:sz w:val="21"/>
                <w:szCs w:val="21"/>
              </w:rPr>
              <w:sym w:font="Symbol" w:char="F067"/>
            </w:r>
            <w:r>
              <w:rPr>
                <w:rFonts w:hint="eastAsia" w:ascii="仿宋_GB2312" w:hAnsi="仿宋_GB2312" w:cs="仿宋_GB2312"/>
                <w:bCs/>
                <w:sz w:val="21"/>
                <w:szCs w:val="21"/>
              </w:rPr>
              <w:t>能谱室</w:t>
            </w:r>
            <w:r>
              <w:rPr>
                <w:rFonts w:hint="eastAsia" w:ascii="仿宋_GB2312" w:hAnsi="仿宋_GB2312" w:cs="仿宋_GB2312"/>
                <w:sz w:val="21"/>
                <w:szCs w:val="21"/>
                <w:shd w:val="clear" w:color="auto" w:fill="FFFFFF"/>
              </w:rPr>
              <w:t>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p>
        </w:tc>
        <w:tc>
          <w:tcPr>
            <w:tcW w:w="5641" w:type="dxa"/>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kern w:val="0"/>
                <w:sz w:val="21"/>
                <w:szCs w:val="21"/>
              </w:rPr>
              <w:t>现场察看低本底</w:t>
            </w:r>
            <w:r>
              <w:rPr>
                <w:rFonts w:hint="eastAsia" w:ascii="仿宋_GB2312" w:hAnsi="仿宋_GB2312" w:cs="仿宋_GB2312"/>
                <w:bCs/>
                <w:kern w:val="0"/>
                <w:sz w:val="21"/>
                <w:szCs w:val="21"/>
              </w:rPr>
              <w:sym w:font="Symbol" w:char="F067"/>
            </w:r>
            <w:r>
              <w:rPr>
                <w:rFonts w:hint="eastAsia" w:ascii="仿宋_GB2312" w:hAnsi="仿宋_GB2312" w:cs="仿宋_GB2312"/>
                <w:bCs/>
                <w:kern w:val="0"/>
                <w:sz w:val="21"/>
                <w:szCs w:val="21"/>
              </w:rPr>
              <w:t>能谱室</w:t>
            </w:r>
            <w:r>
              <w:rPr>
                <w:rFonts w:hint="eastAsia" w:ascii="仿宋_GB2312" w:hAnsi="仿宋_GB2312" w:cs="仿宋_GB2312"/>
                <w:kern w:val="0"/>
                <w:sz w:val="21"/>
                <w:szCs w:val="21"/>
                <w:shd w:val="clear" w:color="auto" w:fill="FFFFFF"/>
              </w:rPr>
              <w:t>的设置</w:t>
            </w:r>
            <w:r>
              <w:rPr>
                <w:rFonts w:hint="eastAsia" w:ascii="仿宋_GB2312" w:hAnsi="仿宋_GB2312" w:cs="仿宋_GB2312"/>
                <w:bCs/>
                <w:kern w:val="0"/>
                <w:sz w:val="21"/>
                <w:szCs w:val="21"/>
              </w:rPr>
              <w:t>、布局、环境及管理措施，</w:t>
            </w:r>
            <w:r>
              <w:rPr>
                <w:rFonts w:hint="eastAsia" w:ascii="仿宋_GB2312" w:hAnsi="仿宋_GB2312" w:cs="仿宋_GB2312"/>
                <w:kern w:val="0"/>
                <w:sz w:val="21"/>
                <w:szCs w:val="21"/>
                <w:shd w:val="clear" w:color="auto" w:fill="FFFFFF"/>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1.低本底γ谱仪室应保持通风干燥、防尘；</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2.满足必要的定期制冷维护、标准源刻度校准等需求。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申请第二类</w:t>
            </w:r>
            <w:r>
              <w:rPr>
                <w:rFonts w:hint="eastAsia" w:ascii="仿宋_GB2312" w:hAnsi="仿宋_GB2312" w:cs="仿宋_GB2312"/>
                <w:kern w:val="0"/>
                <w:sz w:val="21"/>
                <w:szCs w:val="21"/>
                <w:lang w:bidi="ar"/>
              </w:rPr>
              <w:t>核设施</w:t>
            </w:r>
            <w:r>
              <w:rPr>
                <w:rFonts w:hint="eastAsia" w:ascii="仿宋_GB2312" w:hAnsi="仿宋_GB2312" w:cs="仿宋_GB2312"/>
                <w:sz w:val="21"/>
                <w:szCs w:val="21"/>
              </w:rPr>
              <w:t>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操作非密封放射性同位素的实验室</w:t>
            </w:r>
            <w:r>
              <w:rPr>
                <w:rFonts w:hint="eastAsia" w:ascii="仿宋_GB2312" w:hAnsi="仿宋_GB2312" w:cs="仿宋_GB2312"/>
                <w:sz w:val="21"/>
                <w:szCs w:val="21"/>
                <w:shd w:val="clear" w:color="auto" w:fill="FFFFFF"/>
              </w:rPr>
              <w:t>设置</w:t>
            </w:r>
            <w:r>
              <w:rPr>
                <w:rFonts w:hint="eastAsia" w:ascii="仿宋_GB2312" w:hAnsi="仿宋_GB2312" w:cs="仿宋_GB2312"/>
                <w:bCs/>
                <w:sz w:val="21"/>
                <w:szCs w:val="21"/>
              </w:rPr>
              <w:t>、布局、环境及管理</w:t>
            </w:r>
            <w:r>
              <w:rPr>
                <w:rFonts w:hint="eastAsia" w:ascii="仿宋_GB2312" w:hAnsi="仿宋_GB2312" w:cs="仿宋_GB2312"/>
                <w:sz w:val="21"/>
                <w:szCs w:val="21"/>
                <w:shd w:val="clear" w:color="auto" w:fill="FFFFFF"/>
              </w:rPr>
              <w:t>应满足要求</w:t>
            </w:r>
            <w:r>
              <w:rPr>
                <w:rFonts w:hint="eastAsia" w:ascii="仿宋_GB2312" w:hAnsi="仿宋_GB2312" w:cs="仿宋_GB2312"/>
                <w:kern w:val="0"/>
                <w:sz w:val="21"/>
                <w:szCs w:val="21"/>
              </w:rPr>
              <w:t>。</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bCs/>
                <w:sz w:val="21"/>
                <w:szCs w:val="21"/>
              </w:rPr>
              <w:t>现场察看</w:t>
            </w:r>
            <w:r>
              <w:rPr>
                <w:rFonts w:hint="eastAsia" w:ascii="仿宋_GB2312" w:hAnsi="仿宋_GB2312" w:cs="仿宋_GB2312"/>
                <w:kern w:val="0"/>
                <w:sz w:val="21"/>
                <w:szCs w:val="21"/>
              </w:rPr>
              <w:t>非密封放射性同位素实验室</w:t>
            </w:r>
            <w:r>
              <w:rPr>
                <w:rFonts w:hint="eastAsia" w:ascii="仿宋_GB2312" w:hAnsi="仿宋_GB2312" w:cs="仿宋_GB2312"/>
                <w:sz w:val="21"/>
                <w:szCs w:val="21"/>
                <w:shd w:val="clear" w:color="auto" w:fill="FFFFFF"/>
              </w:rPr>
              <w:t>的设置</w:t>
            </w:r>
            <w:r>
              <w:rPr>
                <w:rFonts w:hint="eastAsia" w:ascii="仿宋_GB2312" w:hAnsi="仿宋_GB2312" w:cs="仿宋_GB2312"/>
                <w:bCs/>
                <w:sz w:val="21"/>
                <w:szCs w:val="21"/>
              </w:rPr>
              <w:t>、布局、环境及管理措施，</w:t>
            </w:r>
            <w:r>
              <w:rPr>
                <w:rFonts w:hint="eastAsia" w:ascii="仿宋_GB2312" w:hAnsi="仿宋_GB2312" w:cs="仿宋_GB2312"/>
                <w:sz w:val="21"/>
                <w:szCs w:val="21"/>
                <w:shd w:val="clear" w:color="auto" w:fill="FFFFFF"/>
              </w:rPr>
              <w:t>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1.设置满足放射性物质要求的通风设备；</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2.实验室地面、实验台应便于去除放射性污染；</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w:t>
            </w:r>
            <w:r>
              <w:rPr>
                <w:rFonts w:hint="eastAsia" w:ascii="仿宋_GB2312" w:hAnsi="仿宋_GB2312" w:cs="仿宋_GB2312"/>
                <w:bCs/>
                <w:sz w:val="21"/>
                <w:szCs w:val="21"/>
              </w:rPr>
              <w:t>应按照相关要求设置分区管理。</w:t>
            </w:r>
          </w:p>
        </w:tc>
        <w:tc>
          <w:tcPr>
            <w:tcW w:w="834" w:type="dxa"/>
            <w:noWrap w:val="0"/>
            <w:tcMar>
              <w:top w:w="15" w:type="dxa"/>
              <w:left w:w="15" w:type="dxa"/>
              <w:right w:w="15" w:type="dxa"/>
            </w:tcMar>
            <w:vAlign w:val="center"/>
          </w:tcPr>
          <w:p>
            <w:pPr>
              <w:widowControl/>
              <w:adjustRightInd w:val="0"/>
              <w:snapToGrid w:val="0"/>
              <w:spacing w:line="264" w:lineRule="exact"/>
              <w:jc w:val="both"/>
              <w:textAlignment w:val="auto"/>
              <w:rPr>
                <w:rFonts w:hint="eastAsia" w:ascii="仿宋_GB2312" w:hAnsi="仿宋_GB2312" w:cs="仿宋_GB2312"/>
                <w:bCs/>
                <w:kern w:val="2"/>
                <w:sz w:val="21"/>
                <w:szCs w:val="21"/>
              </w:rPr>
            </w:pPr>
            <w:r>
              <w:rPr>
                <w:rFonts w:hint="eastAsia" w:ascii="仿宋_GB2312" w:hAnsi="仿宋_GB2312" w:cs="仿宋_GB2312"/>
                <w:bCs/>
                <w:sz w:val="21"/>
                <w:szCs w:val="21"/>
              </w:rPr>
              <w:t>各项</w:t>
            </w:r>
            <w:r>
              <w:rPr>
                <w:rFonts w:hint="eastAsia" w:ascii="仿宋_GB2312" w:hAnsi="仿宋_GB2312" w:cs="仿宋_GB2312"/>
                <w:bCs/>
                <w:kern w:val="2"/>
                <w:sz w:val="21"/>
                <w:szCs w:val="21"/>
              </w:rPr>
              <w:t>均符合要求。</w:t>
            </w:r>
          </w:p>
        </w:tc>
        <w:tc>
          <w:tcPr>
            <w:tcW w:w="1005" w:type="dxa"/>
            <w:noWrap w:val="0"/>
            <w:tcMar>
              <w:top w:w="15" w:type="dxa"/>
              <w:left w:w="15" w:type="dxa"/>
              <w:right w:w="15" w:type="dxa"/>
            </w:tcMar>
            <w:vAlign w:val="center"/>
          </w:tcPr>
          <w:p>
            <w:pPr>
              <w:widowControl/>
              <w:adjustRightInd w:val="0"/>
              <w:snapToGrid w:val="0"/>
              <w:spacing w:line="264" w:lineRule="exact"/>
              <w:textAlignment w:val="auto"/>
              <w:rPr>
                <w:rFonts w:hint="eastAsia" w:ascii="仿宋_GB2312" w:hAnsi="仿宋_GB2312" w:cs="仿宋_GB2312"/>
                <w:bCs/>
                <w:kern w:val="2"/>
                <w:sz w:val="21"/>
                <w:szCs w:val="21"/>
              </w:rPr>
            </w:pPr>
            <w:r>
              <w:rPr>
                <w:rFonts w:hint="eastAsia" w:ascii="仿宋_GB2312" w:hAnsi="仿宋_GB2312" w:cs="仿宋_GB2312"/>
                <w:bCs/>
                <w:kern w:val="2"/>
                <w:sz w:val="21"/>
                <w:szCs w:val="21"/>
              </w:rPr>
              <w:t>有一项以上基本符合要求，其余项均符合要求。</w:t>
            </w:r>
          </w:p>
        </w:tc>
        <w:tc>
          <w:tcPr>
            <w:tcW w:w="1017" w:type="dxa"/>
            <w:noWrap w:val="0"/>
            <w:tcMar>
              <w:top w:w="15" w:type="dxa"/>
              <w:left w:w="15" w:type="dxa"/>
              <w:right w:w="15" w:type="dxa"/>
            </w:tcMar>
            <w:vAlign w:val="center"/>
          </w:tcPr>
          <w:p>
            <w:pPr>
              <w:widowControl/>
              <w:adjustRightInd w:val="0"/>
              <w:snapToGrid w:val="0"/>
              <w:spacing w:line="264" w:lineRule="exact"/>
              <w:jc w:val="both"/>
              <w:textAlignment w:val="auto"/>
              <w:rPr>
                <w:rFonts w:hint="eastAsia" w:ascii="仿宋_GB2312" w:hAnsi="仿宋_GB2312" w:cs="仿宋_GB2312"/>
                <w:bCs/>
                <w:kern w:val="2"/>
                <w:sz w:val="21"/>
                <w:szCs w:val="21"/>
              </w:rPr>
            </w:pPr>
            <w:r>
              <w:rPr>
                <w:rFonts w:hint="eastAsia" w:ascii="仿宋_GB2312" w:hAnsi="仿宋_GB2312" w:cs="仿宋_GB2312"/>
                <w:bCs/>
                <w:kern w:val="2"/>
                <w:sz w:val="21"/>
                <w:szCs w:val="21"/>
              </w:rPr>
              <w:t>有一项以上不符合要求。</w:t>
            </w:r>
          </w:p>
        </w:tc>
        <w:tc>
          <w:tcPr>
            <w:tcW w:w="273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申请第二类核设施业务范围的审查。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实验室管理规章制度健全，配有必要的控制进入等安全措施。</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bCs/>
                <w:sz w:val="21"/>
                <w:szCs w:val="21"/>
              </w:rPr>
              <w:t>现场察看实验区域</w:t>
            </w:r>
            <w:r>
              <w:rPr>
                <w:rFonts w:hint="eastAsia" w:ascii="仿宋_GB2312" w:hAnsi="仿宋_GB2312" w:cs="仿宋_GB2312"/>
                <w:sz w:val="21"/>
                <w:szCs w:val="21"/>
                <w:shd w:val="clear" w:color="auto" w:fill="FFFFFF"/>
              </w:rPr>
              <w:t>控制进入的设施和</w:t>
            </w:r>
            <w:r>
              <w:rPr>
                <w:rFonts w:hint="eastAsia" w:ascii="仿宋_GB2312" w:hAnsi="仿宋_GB2312" w:cs="仿宋_GB2312"/>
                <w:bCs/>
                <w:sz w:val="21"/>
                <w:szCs w:val="21"/>
              </w:rPr>
              <w:t>管理措施，</w:t>
            </w:r>
            <w:r>
              <w:rPr>
                <w:rFonts w:hint="eastAsia" w:ascii="仿宋_GB2312" w:hAnsi="仿宋_GB2312" w:cs="仿宋_GB2312"/>
                <w:sz w:val="21"/>
                <w:szCs w:val="21"/>
                <w:shd w:val="clear" w:color="auto" w:fill="FFFFFF"/>
              </w:rPr>
              <w:t>要求：</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1.有实验区域控制进入的管理制度；</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2.入口处应有限制无关人员进入的标识及管理措施；</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3.色谱室、光谱室、高温室、理化室、放射性实验室、样品处理室、样品室、试剂室、气瓶间等实验用房的醒目位置应设置警示标识。</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41</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bCs/>
                <w:sz w:val="21"/>
                <w:szCs w:val="21"/>
              </w:rPr>
              <w:t>实验室废弃物保管与处置制度和设施健全，废弃物处理记录完善。</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bCs/>
                <w:sz w:val="21"/>
                <w:szCs w:val="21"/>
              </w:rPr>
              <w:t>核查有关管理制度，现场察看有关管理措施落实情况，要求：</w:t>
            </w:r>
          </w:p>
          <w:p>
            <w:pPr>
              <w:numPr>
                <w:ilvl w:val="0"/>
                <w:numId w:val="0"/>
              </w:numPr>
              <w:adjustRightInd w:val="0"/>
              <w:snapToGrid w:val="0"/>
              <w:spacing w:line="264" w:lineRule="exac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lang w:val="en-US" w:eastAsia="zh-CN"/>
              </w:rPr>
              <w:t>1.</w:t>
            </w:r>
            <w:r>
              <w:rPr>
                <w:rFonts w:hint="eastAsia" w:ascii="仿宋_GB2312" w:hAnsi="仿宋_GB2312" w:cs="仿宋_GB2312"/>
                <w:sz w:val="21"/>
                <w:szCs w:val="21"/>
                <w:shd w:val="clear" w:color="auto" w:fill="FFFFFF"/>
              </w:rPr>
              <w:t>实验室产生的废液、固体废物应设置收集容器，分类收集、分开存储、定点存放；</w:t>
            </w:r>
          </w:p>
          <w:p>
            <w:pPr>
              <w:numPr>
                <w:ilvl w:val="0"/>
                <w:numId w:val="0"/>
              </w:num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bCs/>
                <w:sz w:val="21"/>
                <w:szCs w:val="21"/>
                <w:lang w:val="en-US" w:eastAsia="zh-CN"/>
              </w:rPr>
              <w:t>2.</w:t>
            </w:r>
            <w:r>
              <w:rPr>
                <w:rFonts w:hint="eastAsia" w:ascii="仿宋_GB2312" w:hAnsi="仿宋_GB2312" w:cs="仿宋_GB2312"/>
                <w:bCs/>
                <w:sz w:val="21"/>
                <w:szCs w:val="21"/>
              </w:rPr>
              <w:t>放射性样品</w:t>
            </w:r>
            <w:r>
              <w:rPr>
                <w:rFonts w:hint="eastAsia" w:ascii="仿宋_GB2312" w:hAnsi="仿宋_GB2312" w:cs="仿宋_GB2312"/>
                <w:kern w:val="0"/>
                <w:sz w:val="21"/>
                <w:szCs w:val="21"/>
              </w:rPr>
              <w:t>、放射性废物</w:t>
            </w:r>
            <w:r>
              <w:rPr>
                <w:rFonts w:hint="eastAsia" w:ascii="仿宋_GB2312" w:hAnsi="仿宋_GB2312" w:cs="仿宋_GB2312"/>
                <w:bCs/>
                <w:sz w:val="21"/>
                <w:szCs w:val="21"/>
              </w:rPr>
              <w:t>应有专门的存放房间或容器，</w:t>
            </w:r>
            <w:r>
              <w:rPr>
                <w:rFonts w:hint="eastAsia" w:ascii="仿宋_GB2312" w:hAnsi="仿宋_GB2312" w:cs="仿宋_GB2312"/>
                <w:kern w:val="0"/>
                <w:sz w:val="21"/>
                <w:szCs w:val="21"/>
              </w:rPr>
              <w:t>专人保管</w:t>
            </w:r>
            <w:r>
              <w:rPr>
                <w:rFonts w:hint="eastAsia" w:ascii="仿宋_GB2312" w:hAnsi="仿宋_GB2312" w:cs="仿宋_GB2312"/>
                <w:bCs/>
                <w:sz w:val="21"/>
                <w:szCs w:val="21"/>
              </w:rPr>
              <w:t>，并与其他样品、废物分开存放</w:t>
            </w:r>
            <w:r>
              <w:rPr>
                <w:rFonts w:hint="eastAsia" w:ascii="仿宋_GB2312" w:hAnsi="仿宋_GB2312" w:cs="仿宋_GB2312"/>
                <w:sz w:val="21"/>
                <w:szCs w:val="21"/>
                <w:shd w:val="clear" w:color="auto" w:fill="FFFFFF"/>
              </w:rPr>
              <w:t>（申请第二类</w:t>
            </w:r>
            <w:r>
              <w:rPr>
                <w:rFonts w:hint="eastAsia" w:ascii="仿宋_GB2312" w:hAnsi="仿宋_GB2312" w:cs="仿宋_GB2312"/>
                <w:sz w:val="21"/>
                <w:szCs w:val="21"/>
              </w:rPr>
              <w:t>核设施</w:t>
            </w:r>
            <w:r>
              <w:rPr>
                <w:rFonts w:hint="eastAsia" w:ascii="仿宋_GB2312" w:hAnsi="仿宋_GB2312" w:cs="仿宋_GB2312"/>
                <w:sz w:val="21"/>
                <w:szCs w:val="21"/>
                <w:shd w:val="clear" w:color="auto" w:fill="FFFFFF"/>
              </w:rPr>
              <w:t>业务范围的审查）</w:t>
            </w:r>
            <w:r>
              <w:rPr>
                <w:rFonts w:hint="eastAsia" w:ascii="仿宋_GB2312" w:hAnsi="仿宋_GB2312" w:cs="仿宋_GB2312"/>
                <w:bCs/>
                <w:sz w:val="21"/>
                <w:szCs w:val="21"/>
              </w:rPr>
              <w:t>；</w:t>
            </w:r>
          </w:p>
          <w:p>
            <w:pPr>
              <w:numPr>
                <w:ilvl w:val="0"/>
                <w:numId w:val="0"/>
              </w:num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lang w:val="en-US" w:eastAsia="zh-CN"/>
              </w:rPr>
              <w:t>3.</w:t>
            </w:r>
            <w:r>
              <w:rPr>
                <w:rFonts w:hint="eastAsia" w:ascii="仿宋_GB2312" w:hAnsi="仿宋_GB2312" w:cs="仿宋_GB2312"/>
                <w:sz w:val="21"/>
                <w:szCs w:val="21"/>
                <w:shd w:val="clear" w:color="auto" w:fill="FFFFFF"/>
              </w:rPr>
              <w:t>指定专人负责管理</w:t>
            </w:r>
            <w:r>
              <w:rPr>
                <w:rFonts w:hint="eastAsia" w:ascii="仿宋_GB2312" w:hAnsi="仿宋_GB2312" w:cs="仿宋_GB2312"/>
                <w:bCs/>
                <w:sz w:val="21"/>
                <w:szCs w:val="21"/>
              </w:rPr>
              <w:t>废弃物</w:t>
            </w:r>
            <w:r>
              <w:rPr>
                <w:rFonts w:hint="eastAsia" w:ascii="仿宋_GB2312" w:hAnsi="仿宋_GB2312" w:cs="仿宋_GB2312"/>
                <w:sz w:val="21"/>
                <w:szCs w:val="21"/>
                <w:shd w:val="clear" w:color="auto" w:fill="FFFFFF"/>
              </w:rPr>
              <w:t>；</w:t>
            </w:r>
          </w:p>
          <w:p>
            <w:pPr>
              <w:numPr>
                <w:ilvl w:val="0"/>
                <w:numId w:val="0"/>
              </w:numPr>
              <w:adjustRightInd w:val="0"/>
              <w:snapToGrid w:val="0"/>
              <w:spacing w:line="264" w:lineRule="exac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lang w:val="en-US" w:eastAsia="zh-CN"/>
              </w:rPr>
              <w:t>4.</w:t>
            </w:r>
            <w:r>
              <w:rPr>
                <w:rFonts w:hint="eastAsia" w:ascii="仿宋_GB2312" w:hAnsi="仿宋_GB2312" w:cs="仿宋_GB2312"/>
                <w:sz w:val="21"/>
                <w:szCs w:val="21"/>
                <w:shd w:val="clear" w:color="auto" w:fill="FFFFFF"/>
              </w:rPr>
              <w:t>按照相关要求处置</w:t>
            </w:r>
            <w:r>
              <w:rPr>
                <w:rFonts w:hint="eastAsia" w:ascii="仿宋_GB2312" w:hAnsi="仿宋_GB2312" w:cs="仿宋_GB2312"/>
                <w:bCs/>
                <w:sz w:val="21"/>
                <w:szCs w:val="21"/>
              </w:rPr>
              <w:t>废弃物</w:t>
            </w:r>
            <w:r>
              <w:rPr>
                <w:rFonts w:hint="eastAsia" w:ascii="仿宋_GB2312" w:hAnsi="仿宋_GB2312" w:cs="仿宋_GB2312"/>
                <w:sz w:val="21"/>
                <w:szCs w:val="21"/>
                <w:shd w:val="clear" w:color="auto" w:fill="FFFFFF"/>
              </w:rPr>
              <w:t>，并有相关处置记录。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4"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bCs/>
                <w:sz w:val="21"/>
                <w:szCs w:val="21"/>
              </w:rPr>
              <w:t>建立应急管理制度，设置必要的应急处理措施（洗眼喷淋装置、急救箱等）。</w:t>
            </w:r>
          </w:p>
        </w:tc>
        <w:tc>
          <w:tcPr>
            <w:tcW w:w="5641" w:type="dxa"/>
            <w:noWrap w:val="0"/>
            <w:tcMar>
              <w:top w:w="15" w:type="dxa"/>
              <w:left w:w="15" w:type="dxa"/>
              <w:right w:w="15" w:type="dxa"/>
            </w:tcMar>
            <w:vAlign w:val="center"/>
          </w:tcPr>
          <w:p>
            <w:pPr>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核查有关管理制度，现场察看有关管理措施落实情况，要求：</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1.制定应急预案，明确组织机构及职责、预防与管理、应急程序、后期处置等相关内容；</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2.凡经常使用强酸、强碱、有化学品烧伤危险的实验室应设置洗眼器，在实验用房出口就近处或在10s内可以快步到达的实验室公共区域设置应急喷淋器，并保证应急冲洗设施能够有效使用；</w:t>
            </w:r>
          </w:p>
          <w:p>
            <w:pPr>
              <w:widowControl/>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shd w:val="clear" w:color="auto" w:fill="FFFFFF"/>
              </w:rPr>
              <w:t>3.配备应急药品箱，药品箱内应配备止血带、绷带、创可贴、医用酒精、脱脂棉签、剪刀、镊子等应急用品，且种类、数量满足相关标准要求；</w:t>
            </w:r>
          </w:p>
          <w:p>
            <w:pPr>
              <w:adjustRightInd w:val="0"/>
              <w:snapToGrid w:val="0"/>
              <w:spacing w:line="264" w:lineRule="exact"/>
              <w:jc w:val="left"/>
              <w:rPr>
                <w:rFonts w:hint="eastAsia" w:ascii="仿宋_GB2312" w:hAnsi="仿宋_GB2312" w:cs="仿宋_GB2312"/>
                <w:sz w:val="21"/>
                <w:szCs w:val="21"/>
                <w:shd w:val="clear" w:color="auto" w:fill="FFFFFF"/>
              </w:rPr>
            </w:pPr>
            <w:r>
              <w:rPr>
                <w:rFonts w:hint="eastAsia" w:ascii="仿宋_GB2312" w:hAnsi="仿宋_GB2312" w:cs="仿宋_GB2312"/>
                <w:sz w:val="21"/>
                <w:szCs w:val="21"/>
                <w:shd w:val="clear" w:color="auto" w:fill="FFFFFF"/>
              </w:rPr>
              <w:t>4.应设置紧急疏散通道及标识，在室内及走廊上安装应急灯。</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bCs/>
                <w:sz w:val="21"/>
                <w:szCs w:val="21"/>
              </w:rPr>
              <w:t>应为专业技术人员配备个人防护用品（防尘、毒口罩，眼镜，手套等）。</w:t>
            </w:r>
          </w:p>
        </w:tc>
        <w:tc>
          <w:tcPr>
            <w:tcW w:w="5641" w:type="dxa"/>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核查有关管理制度，现场察看有关管理措施落实情况，要求：</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1.应为现场采样和实验室分析人员配备必要的个体防护用品；</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2.定期更换，保证防护用品的有效性；</w:t>
            </w:r>
          </w:p>
          <w:p>
            <w:pPr>
              <w:widowControl/>
              <w:adjustRightInd w:val="0"/>
              <w:snapToGrid w:val="0"/>
              <w:spacing w:line="264" w:lineRule="exact"/>
              <w:jc w:val="left"/>
              <w:rPr>
                <w:rFonts w:hint="eastAsia" w:ascii="仿宋_GB2312" w:hAnsi="仿宋_GB2312" w:cs="仿宋_GB2312"/>
                <w:kern w:val="0"/>
                <w:sz w:val="21"/>
                <w:szCs w:val="21"/>
                <w:shd w:val="clear" w:color="auto" w:fill="FFFFFF"/>
              </w:rPr>
            </w:pPr>
            <w:r>
              <w:rPr>
                <w:rFonts w:hint="eastAsia" w:ascii="仿宋_GB2312" w:hAnsi="仿宋_GB2312" w:cs="仿宋_GB2312"/>
                <w:kern w:val="0"/>
                <w:sz w:val="21"/>
                <w:szCs w:val="21"/>
                <w:shd w:val="clear" w:color="auto" w:fill="FFFFFF"/>
              </w:rPr>
              <w:t>3.应按照有关法规标准对从事放射卫生检测工作的专业技术人员进行个人剂量监测（申请第二类业务范围的审查）。</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4．仪器设备、标准物质</w:t>
            </w: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仪器设备配备</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★具有申请资质、业务范围所规定的实验室检验及现场检测设备，仪器设备应有购置凭证，停用设备不计入有效设备。</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现场察看、核查档案或记录等，要求：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1.申请资质、业务范围必配仪器设备</w:t>
            </w:r>
            <w:r>
              <w:rPr>
                <w:rFonts w:hint="eastAsia" w:ascii="仿宋_GB2312" w:hAnsi="仿宋_GB2312" w:cs="仿宋_GB2312"/>
                <w:kern w:val="0"/>
                <w:sz w:val="21"/>
                <w:szCs w:val="21"/>
              </w:rPr>
              <w:t>（附录3）</w:t>
            </w:r>
            <w:r>
              <w:rPr>
                <w:rFonts w:hint="eastAsia" w:ascii="仿宋_GB2312" w:hAnsi="仿宋_GB2312" w:cs="仿宋_GB2312"/>
                <w:bCs/>
                <w:sz w:val="21"/>
                <w:szCs w:val="21"/>
              </w:rPr>
              <w:t>的种类和数量符合要求；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2.所有仪器设备均应有购置凭证。</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仪器设备及其配套设施的种类、数量、性能、量程、精度等技术指标应满足检测标准方法的要求。</w:t>
            </w:r>
          </w:p>
        </w:tc>
        <w:tc>
          <w:tcPr>
            <w:tcW w:w="5641"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核查仪器设备配置，抽查现场采样、现场检测和实验室检测设备至少20台，要求：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所有仪器设备的性能、量程和精度良好，并能正常运行。</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所有设备均符合要求。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一台以上设备不符合要求或运行异常。</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申请第二类业务范围的，</w:t>
            </w:r>
            <w:r>
              <w:rPr>
                <w:rFonts w:hint="eastAsia" w:ascii="仿宋_GB2312" w:hAnsi="仿宋_GB2312" w:cs="仿宋_GB2312"/>
                <w:bCs/>
                <w:sz w:val="21"/>
                <w:szCs w:val="21"/>
              </w:rPr>
              <w:t>抽查现场采样、现场检测和实验室检测设备应</w:t>
            </w:r>
            <w:r>
              <w:rPr>
                <w:rFonts w:hint="eastAsia" w:ascii="仿宋_GB2312" w:hAnsi="仿宋_GB2312" w:cs="仿宋_GB2312"/>
                <w:sz w:val="21"/>
                <w:szCs w:val="21"/>
              </w:rPr>
              <w:t>不少于5台。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按年度计划开展仪器设备检定和期间核查，并及时更换仪器设备状态标识。</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核查仪器设备检定计划和证书、</w:t>
            </w:r>
            <w:r>
              <w:rPr>
                <w:rFonts w:hint="eastAsia" w:ascii="仿宋_GB2312" w:hAnsi="仿宋_GB2312" w:cs="仿宋_GB2312"/>
                <w:kern w:val="0"/>
                <w:sz w:val="21"/>
                <w:szCs w:val="21"/>
              </w:rPr>
              <w:t>期间核查相关记录</w:t>
            </w:r>
            <w:r>
              <w:rPr>
                <w:rFonts w:hint="eastAsia" w:ascii="仿宋_GB2312" w:hAnsi="仿宋_GB2312" w:cs="仿宋_GB2312"/>
                <w:bCs/>
                <w:sz w:val="21"/>
                <w:szCs w:val="21"/>
              </w:rPr>
              <w:t>，要求：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1.按照计划开展仪器设备检定，且在有效期内；</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2.按照期间核查程序和核查计划，开展仪器设备期间核查，并详细记录；</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3.仪器设备显著位置贴有正确的状态标识。</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未列入强检目录的设备，可以开展校准。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仪器设备操作规程应具体、操作性强。</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抽查至少10台主要仪器设备的操作规程，要求：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1.有操作规程，内容详细完整，操作性强；</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2.放置位置应便于仪器使用人员取用；</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w:t>
            </w:r>
            <w:r>
              <w:rPr>
                <w:rFonts w:hint="eastAsia" w:ascii="仿宋_GB2312" w:hAnsi="仿宋_GB2312" w:cs="仿宋_GB2312"/>
                <w:kern w:val="0"/>
                <w:sz w:val="21"/>
                <w:szCs w:val="21"/>
              </w:rPr>
              <w:t>按照操作规程使用、核查和维护保养仪器设备，并详细记录。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仪器设备操作规程可以在作业指导书中规定。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48</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规范建立仪器设备档案，</w:t>
            </w:r>
            <w:r>
              <w:rPr>
                <w:rFonts w:hint="eastAsia" w:ascii="仿宋_GB2312" w:hAnsi="仿宋_GB2312" w:cs="仿宋_GB2312"/>
                <w:bCs/>
                <w:sz w:val="21"/>
                <w:szCs w:val="21"/>
              </w:rPr>
              <w:t>档案内容材料齐全</w:t>
            </w:r>
            <w:r>
              <w:rPr>
                <w:rFonts w:hint="eastAsia" w:ascii="仿宋_GB2312" w:hAnsi="仿宋_GB2312" w:cs="仿宋_GB2312"/>
                <w:kern w:val="0"/>
                <w:sz w:val="21"/>
                <w:szCs w:val="21"/>
              </w:rPr>
              <w:t>。</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核查主要仪器设备档案，要求：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1.必配仪器设备</w:t>
            </w:r>
            <w:r>
              <w:rPr>
                <w:rFonts w:hint="eastAsia" w:ascii="仿宋_GB2312" w:hAnsi="仿宋_GB2312" w:cs="仿宋_GB2312"/>
                <w:kern w:val="0"/>
                <w:sz w:val="21"/>
                <w:szCs w:val="21"/>
              </w:rPr>
              <w:t>（附录3）均</w:t>
            </w:r>
            <w:r>
              <w:rPr>
                <w:rFonts w:hint="eastAsia" w:ascii="仿宋_GB2312" w:hAnsi="仿宋_GB2312" w:cs="仿宋_GB2312"/>
                <w:bCs/>
                <w:sz w:val="21"/>
                <w:szCs w:val="21"/>
              </w:rPr>
              <w:t>建立了设备档案；</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2.设备档案内容齐全，</w:t>
            </w:r>
            <w:r>
              <w:rPr>
                <w:rFonts w:hint="eastAsia" w:ascii="仿宋_GB2312" w:hAnsi="仿宋_GB2312" w:cs="仿宋_GB2312"/>
                <w:kern w:val="0"/>
                <w:sz w:val="21"/>
                <w:szCs w:val="21"/>
              </w:rPr>
              <w:t>至少包括购置凭证（特殊情况应有证明材料）、验收、核查、检定或校准、期间核查、维修维护、使用记录等资料，</w:t>
            </w:r>
            <w:r>
              <w:rPr>
                <w:rFonts w:hint="eastAsia" w:ascii="仿宋_GB2312" w:hAnsi="仿宋_GB2312" w:cs="仿宋_GB2312"/>
                <w:bCs/>
                <w:sz w:val="21"/>
                <w:szCs w:val="21"/>
              </w:rPr>
              <w:t>仪器设备应有唯一性编号。</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设备当年使用记录可不存放在设备档案中。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标准物质管理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根据检测项目参数，有效配置溯源标准，并规范管理。</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现场察看、核查档案或记录等，要求：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1.申请的检测项目参数，应配置相应溯源标准；</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2.溯源标准能溯源至国际单位制（SI）单位或国家有证标准物质。没有国家有证标准物质的，应能溯源至质谱纯、色谱纯或光谱纯试剂；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3.对溯源标准的购置、期间核查、配制和使用等过程进行规范管理，如实记录并妥善保管相关过程记录材料。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耗材管理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对耗材的购置、验收、储存、使用和处置等过程规范管理并详细记录。</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核查相关记录和档案材料，要求：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1.对耗材的购置、验收、储存、使用和处置等过程进行规范管理；</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2.如实记录并妥善保管相关过程记录材料。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5.技术服务能力</w:t>
            </w:r>
          </w:p>
          <w:p>
            <w:pPr>
              <w:widowControl/>
              <w:adjustRightInd w:val="0"/>
              <w:snapToGrid w:val="0"/>
              <w:spacing w:line="264" w:lineRule="exact"/>
              <w:jc w:val="left"/>
              <w:textAlignment w:val="center"/>
              <w:rPr>
                <w:rFonts w:hint="eastAsia" w:ascii="仿宋_GB2312" w:hAnsi="仿宋_GB2312" w:cs="仿宋_GB2312"/>
                <w:kern w:val="0"/>
                <w:sz w:val="21"/>
                <w:szCs w:val="21"/>
              </w:rPr>
            </w:pPr>
          </w:p>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职业病危害因素检测能力</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51</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★申请单位应独立完成盲样检测，并在48小时内向专家组提交检测报告。</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根据申请的业务范围，申请单位应独立完成盲样检测，要求：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1.盲样检测过程和检测结果经专家评审符合要求；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2.规范出具盲样考核检测报告。</w:t>
            </w:r>
          </w:p>
        </w:tc>
        <w:tc>
          <w:tcPr>
            <w:tcW w:w="834"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kern w:val="0"/>
                <w:sz w:val="21"/>
                <w:szCs w:val="21"/>
              </w:rPr>
            </w:pPr>
            <w:r>
              <w:rPr>
                <w:rFonts w:hint="eastAsia" w:ascii="仿宋_GB2312" w:hAnsi="仿宋_GB2312" w:cs="仿宋_GB2312"/>
                <w:kern w:val="0"/>
                <w:sz w:val="21"/>
                <w:szCs w:val="21"/>
              </w:rPr>
              <w:t>全部盲样检测结果和检测过程符合要求。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lang w:val="en-US" w:eastAsia="zh-CN"/>
              </w:rPr>
              <w:t>一</w:t>
            </w:r>
            <w:r>
              <w:rPr>
                <w:rFonts w:hint="eastAsia" w:ascii="仿宋_GB2312" w:hAnsi="仿宋_GB2312" w:cs="仿宋_GB2312"/>
                <w:kern w:val="0"/>
                <w:sz w:val="21"/>
                <w:szCs w:val="21"/>
              </w:rPr>
              <w:t>项以上盲样检测结果或检测过程不符合要求。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1.申请第一类业务</w:t>
            </w:r>
            <w:r>
              <w:rPr>
                <w:rFonts w:hint="eastAsia" w:ascii="仿宋_GB2312" w:hAnsi="仿宋_GB2312" w:cs="仿宋_GB2312"/>
                <w:kern w:val="0"/>
                <w:sz w:val="21"/>
                <w:szCs w:val="21"/>
                <w:lang w:val="en-US" w:eastAsia="zh-CN"/>
              </w:rPr>
              <w:t>范</w:t>
            </w:r>
            <w:r>
              <w:rPr>
                <w:rFonts w:hint="eastAsia" w:ascii="仿宋_GB2312" w:hAnsi="仿宋_GB2312" w:cs="仿宋_GB2312"/>
                <w:kern w:val="0"/>
                <w:sz w:val="21"/>
                <w:szCs w:val="21"/>
              </w:rPr>
              <w:t>围的，根据申请的业务范围，可考核金属类、非金属类、有机类、粉尘类（含游离二氧化硅测定）等样品，盲样考核应覆盖主要检测方法和仪器设备，考核项目数一般为5-10项（考核标注 “★”的重点检测项目）。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2.申请第二类核设施业务范围的，考核γ核素分析盲样。</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3.申请第二类核技术工业应用业务范围的，不考核盲样。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规范建立职业病危害因素检测方法。</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核查体系文件、检测方法档案材料或记录等，要求：</w:t>
            </w:r>
          </w:p>
          <w:p>
            <w:pPr>
              <w:widowControl/>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1.按照程序规范开展检测方法验证、确认或论证，并详细记录每项检测方法建立的内容、过程和结论；（已取得CMA证书或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2.建立的每项检测方法应至少规范出具1份检测应用报告。</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检测应用报告可以是技术服务报告或模拟检测报告。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5"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★具有与所申请资质、业务范围相适应的检测能力。</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专家通过审查现场盲样考核结果、检测方法建立情况、检测原始记录、国家或省级</w:t>
            </w:r>
            <w:r>
              <w:rPr>
                <w:rFonts w:hint="eastAsia" w:ascii="仿宋_GB2312" w:hAnsi="仿宋_GB2312" w:cs="仿宋_GB2312"/>
                <w:sz w:val="21"/>
                <w:szCs w:val="21"/>
                <w:lang w:eastAsia="zh-CN"/>
              </w:rPr>
              <w:t>卫生健康行政部门</w:t>
            </w:r>
            <w:r>
              <w:rPr>
                <w:rFonts w:hint="eastAsia" w:ascii="仿宋_GB2312" w:hAnsi="仿宋_GB2312" w:cs="仿宋_GB2312"/>
                <w:sz w:val="21"/>
                <w:szCs w:val="21"/>
              </w:rPr>
              <w:t>组织的实验室间能力比对考核结果、实验室能力验证结果等资料，或开展人员实操演示等方式审核认定检测项目能力。要求：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经专家认定，具有</w:t>
            </w:r>
            <w:r>
              <w:rPr>
                <w:rFonts w:hint="eastAsia" w:ascii="仿宋_GB2312" w:hAnsi="仿宋_GB2312" w:cs="仿宋_GB2312"/>
                <w:sz w:val="21"/>
                <w:szCs w:val="21"/>
                <w:lang w:val="en-US" w:eastAsia="zh-CN"/>
              </w:rPr>
              <w:t>与</w:t>
            </w:r>
            <w:r>
              <w:rPr>
                <w:rFonts w:hint="eastAsia" w:ascii="仿宋_GB2312" w:hAnsi="仿宋_GB2312" w:cs="仿宋_GB2312"/>
                <w:sz w:val="21"/>
                <w:szCs w:val="21"/>
              </w:rPr>
              <w:t>申请资质、业务范围相适应的检测能力（附录4、附录5）。</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sz w:val="21"/>
                <w:szCs w:val="21"/>
              </w:rPr>
              <w:t>已取得CMA、CNAS的检测项目参数，可以直接认定具备相应的检测能力。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检测依据、方法选用符合要求。</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申请的每项业务范围，专家现场从近年出具的检测报告中抽查2份规模以上企业的职业病危害因素检测报告和原始记录（第55-60、71-74项参照此项方法抽查报告），要求：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1.检测依据正确且现行有效；</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2.检测方法选用正确。</w:t>
            </w:r>
          </w:p>
        </w:tc>
        <w:tc>
          <w:tcPr>
            <w:tcW w:w="834"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sz w:val="21"/>
                <w:szCs w:val="21"/>
              </w:rPr>
            </w:pPr>
            <w:r>
              <w:rPr>
                <w:rFonts w:hint="eastAsia" w:ascii="仿宋_GB2312" w:hAnsi="仿宋_GB2312" w:cs="仿宋_GB2312"/>
                <w:bCs/>
                <w:sz w:val="21"/>
                <w:szCs w:val="21"/>
              </w:rPr>
              <w:t>各项</w:t>
            </w:r>
            <w:r>
              <w:rPr>
                <w:rFonts w:hint="eastAsia" w:ascii="仿宋_GB2312" w:hAnsi="仿宋_GB2312" w:cs="仿宋_GB2312"/>
                <w:sz w:val="21"/>
                <w:szCs w:val="21"/>
              </w:rPr>
              <w:t>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sz w:val="21"/>
                <w:szCs w:val="21"/>
              </w:rPr>
            </w:pPr>
            <w:r>
              <w:rPr>
                <w:rFonts w:hint="eastAsia" w:ascii="仿宋_GB2312" w:hAnsi="仿宋_GB2312" w:cs="仿宋_GB2312"/>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1.有一份检测报告基本符合或不符合，即判定该项基本符合或不符合（第55-60、71-74项参照此项方法判定）</w:t>
            </w:r>
            <w:r>
              <w:rPr>
                <w:rFonts w:hint="eastAsia" w:ascii="仿宋_GB2312" w:hAnsi="仿宋_GB2312" w:cs="仿宋_GB2312"/>
                <w:kern w:val="0"/>
                <w:sz w:val="21"/>
                <w:szCs w:val="21"/>
              </w:rPr>
              <w:t>；</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sz w:val="21"/>
                <w:szCs w:val="21"/>
              </w:rPr>
              <w:t>2.未出具正式检测报告的，抽查模拟检测报告（第55-60、71-74项参照此项要求）。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仪器设备选用符合要求。</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核查现场采样、现场检测和实验室检测分析选用的仪器设备，要求：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1.选用的仪器设备种类符合有关标准要求；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2.选用的仪器设备的性能、量程、精度应满足相应技术服务需要；</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3.仪器设备使用记录准确规范。</w:t>
            </w:r>
          </w:p>
        </w:tc>
        <w:tc>
          <w:tcPr>
            <w:tcW w:w="83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r>
              <w:rPr>
                <w:rFonts w:hint="eastAsia" w:ascii="仿宋_GB2312" w:hAnsi="仿宋_GB2312" w:cs="仿宋_GB2312"/>
                <w:bCs/>
                <w:sz w:val="21"/>
                <w:szCs w:val="21"/>
              </w:rPr>
              <w:t>各项</w:t>
            </w:r>
            <w:r>
              <w:rPr>
                <w:rFonts w:hint="eastAsia" w:ascii="仿宋_GB2312" w:hAnsi="仿宋_GB2312" w:cs="仿宋_GB2312"/>
                <w:kern w:val="0"/>
                <w:sz w:val="21"/>
                <w:szCs w:val="21"/>
              </w:rPr>
              <w:t>均符合要求。</w:t>
            </w:r>
          </w:p>
        </w:tc>
        <w:tc>
          <w:tcPr>
            <w:tcW w:w="1005" w:type="dxa"/>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有一项以上基本符合要求，其余项均符合要求。</w:t>
            </w:r>
          </w:p>
        </w:tc>
        <w:tc>
          <w:tcPr>
            <w:tcW w:w="1017"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56-1</w:t>
            </w:r>
          </w:p>
        </w:tc>
        <w:tc>
          <w:tcPr>
            <w:tcW w:w="2420" w:type="dxa"/>
            <w:gridSpan w:val="2"/>
            <w:vMerge w:val="restart"/>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现场采样和现场检测方法正确，记录信息规范、清晰、完整。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核查现场采样、现场检测原始记录，要求：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1.现场采样方法、采样频次、采样时间、采样布点、采样数量和采样流量等符合有关标准、规范的要求；</w:t>
            </w:r>
          </w:p>
          <w:p>
            <w:pPr>
              <w:adjustRightInd w:val="0"/>
              <w:snapToGrid w:val="0"/>
              <w:spacing w:line="264"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rPr>
              <w:t>2.现场检测方法和选点等符合有关标准、规范的要求</w:t>
            </w:r>
            <w:r>
              <w:rPr>
                <w:rFonts w:hint="eastAsia" w:ascii="仿宋_GB2312" w:hAnsi="仿宋_GB2312" w:cs="仿宋_GB2312"/>
                <w:bCs/>
                <w:sz w:val="21"/>
                <w:szCs w:val="21"/>
                <w:lang w:eastAsia="zh-CN"/>
              </w:rPr>
              <w:t>；</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3.记录信息应全面、清晰、完整，按要求书写、复核、签字。记录划改应规范，采用杠改方式，并由划改人签字或盖章。</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1.申请第一类业务范围的审查；</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56-2</w:t>
            </w:r>
          </w:p>
        </w:tc>
        <w:tc>
          <w:tcPr>
            <w:tcW w:w="2420" w:type="dxa"/>
            <w:gridSpan w:val="2"/>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核查现场采样、现场检测原始记录，要求：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1.现场采样方法、采样频次、采样时间、采样布点、采样数量和采样流量等符合有关标准、规范的要求（申请核设施业务范围的审查）；</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2.现场检测方法和选点等符合有关标准、规范的要求；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3.放射性本底测量方法正确；</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4.记录信息应全面、清晰、完整，按要求书写、复核、签字。记录划改应规范，采用杠改方式，并由划改人签字或盖章。</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sz w:val="21"/>
                <w:szCs w:val="21"/>
              </w:rPr>
              <w:t>1.申请第二类业务范围的审查</w:t>
            </w:r>
            <w:r>
              <w:rPr>
                <w:rFonts w:hint="eastAsia" w:ascii="仿宋_GB2312" w:hAnsi="仿宋_GB2312" w:cs="仿宋_GB2312"/>
                <w:bCs/>
                <w:sz w:val="21"/>
                <w:szCs w:val="21"/>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数据处理规范，数据修约准确，采用法定计量单位。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核查质量管理体系文件，抽查技术服务报告及原始记录，要求：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1.应按照作业指导书规范开展数据转换及处理；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2.应记录数据转换或换算的主要过程，并进行校核确认；</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3.应使用法定计量单位。</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检测质量控制</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58</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采取有效质量控制措施确保检测结果准确。</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核查样品检测原始记录，要求：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w:t>
            </w:r>
            <w:r>
              <w:rPr>
                <w:rFonts w:hint="eastAsia" w:ascii="仿宋_GB2312" w:hAnsi="仿宋_GB2312" w:cs="仿宋_GB2312"/>
                <w:kern w:val="0"/>
                <w:sz w:val="21"/>
                <w:szCs w:val="21"/>
                <w:lang w:eastAsia="zh-CN"/>
              </w:rPr>
              <w:t>.</w:t>
            </w:r>
            <w:r>
              <w:rPr>
                <w:rFonts w:hint="eastAsia" w:ascii="仿宋_GB2312" w:hAnsi="仿宋_GB2312" w:cs="仿宋_GB2312"/>
                <w:kern w:val="0"/>
                <w:sz w:val="21"/>
                <w:szCs w:val="21"/>
              </w:rPr>
              <w:t>现场采样检测应按要求对采样泵、声级计等设备进行校准；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kern w:val="0"/>
                <w:sz w:val="21"/>
                <w:szCs w:val="21"/>
              </w:rPr>
              <w:t>2</w:t>
            </w:r>
            <w:r>
              <w:rPr>
                <w:rFonts w:hint="eastAsia" w:ascii="仿宋_GB2312" w:hAnsi="仿宋_GB2312" w:cs="仿宋_GB2312"/>
                <w:kern w:val="0"/>
                <w:sz w:val="21"/>
                <w:szCs w:val="21"/>
                <w:lang w:eastAsia="zh-CN"/>
              </w:rPr>
              <w:t>.</w:t>
            </w:r>
            <w:r>
              <w:rPr>
                <w:rFonts w:hint="eastAsia" w:ascii="仿宋_GB2312" w:hAnsi="仿宋_GB2312" w:cs="仿宋_GB2312"/>
                <w:kern w:val="0"/>
                <w:sz w:val="21"/>
                <w:szCs w:val="21"/>
              </w:rPr>
              <w:t>实验室检测应采取质控样品或加标回收等方法进行质量控制。</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检测样品管理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为检测样品建立唯一识别系统和状态标识。</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核查质量管理体系文件中对样品唯一标识的规定和运行记录，要求：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1.制定样品唯一性标识及检测（流转）状态标识；</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2.不存在样品标识混用或混记现象。</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对检测样品的运输、接收、保存、处置等流转过程规范管理并详细记录。</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核查样品采集、接收、流转等程序和实施记录，要求：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1.按照程序对样品</w:t>
            </w:r>
            <w:r>
              <w:rPr>
                <w:rFonts w:hint="eastAsia" w:ascii="仿宋_GB2312" w:hAnsi="仿宋_GB2312" w:cs="仿宋_GB2312"/>
                <w:kern w:val="0"/>
                <w:sz w:val="21"/>
                <w:szCs w:val="21"/>
              </w:rPr>
              <w:t>运输、接收、保存、处置等过程规范管理</w:t>
            </w:r>
            <w:r>
              <w:rPr>
                <w:rFonts w:hint="eastAsia" w:ascii="仿宋_GB2312" w:hAnsi="仿宋_GB2312" w:cs="仿宋_GB2312"/>
                <w:bCs/>
                <w:sz w:val="21"/>
                <w:szCs w:val="21"/>
              </w:rPr>
              <w:t>；</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bCs/>
                <w:sz w:val="21"/>
                <w:szCs w:val="21"/>
              </w:rPr>
              <w:t>2.详细记录样品</w:t>
            </w:r>
            <w:r>
              <w:rPr>
                <w:rFonts w:hint="eastAsia" w:ascii="仿宋_GB2312" w:hAnsi="仿宋_GB2312" w:cs="仿宋_GB2312"/>
                <w:kern w:val="0"/>
                <w:sz w:val="21"/>
                <w:szCs w:val="21"/>
              </w:rPr>
              <w:t>运输、接收、保存、处置</w:t>
            </w:r>
            <w:r>
              <w:rPr>
                <w:rFonts w:hint="eastAsia" w:ascii="仿宋_GB2312" w:hAnsi="仿宋_GB2312" w:cs="仿宋_GB2312"/>
                <w:bCs/>
                <w:sz w:val="21"/>
                <w:szCs w:val="21"/>
              </w:rPr>
              <w:t>等过程。</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职业病危害评价能力</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61-1</w:t>
            </w:r>
          </w:p>
        </w:tc>
        <w:tc>
          <w:tcPr>
            <w:tcW w:w="2420" w:type="dxa"/>
            <w:gridSpan w:val="2"/>
            <w:vMerge w:val="restart"/>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申请单位应独立完成模拟评价报告编制，并在48小时内向专家组提交模拟评价报告。</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sz w:val="21"/>
                <w:szCs w:val="21"/>
              </w:rPr>
              <w:t>主要编写工程分析、职业病危害因素识别、职业病危害防护设施评价、危害程度与健康影响评价、措施建议和评价结论等方面内容。</w:t>
            </w:r>
            <w:r>
              <w:rPr>
                <w:rFonts w:hint="eastAsia" w:ascii="仿宋_GB2312" w:hAnsi="仿宋_GB2312" w:cs="仿宋_GB2312"/>
                <w:kern w:val="0"/>
                <w:sz w:val="21"/>
                <w:szCs w:val="21"/>
              </w:rPr>
              <w:t>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1.分析评价全面、准确；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2.措施建议和结论有效可行、具有针对性；</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3.符合相关法律、法规和标准规范要求。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61-2</w:t>
            </w:r>
          </w:p>
        </w:tc>
        <w:tc>
          <w:tcPr>
            <w:tcW w:w="2420" w:type="dxa"/>
            <w:gridSpan w:val="2"/>
            <w:vMerge w:val="continue"/>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sz w:val="21"/>
                <w:szCs w:val="21"/>
              </w:rPr>
              <w:t>主要编写辐射源项分析、危害因素识别、辐射剂量估算、放射防护措施评价、危害程度与辐射健康影响、措施建议和评价结论等方面内容。</w:t>
            </w:r>
            <w:r>
              <w:rPr>
                <w:rFonts w:hint="eastAsia" w:ascii="仿宋_GB2312" w:hAnsi="仿宋_GB2312" w:cs="仿宋_GB2312"/>
                <w:kern w:val="0"/>
                <w:sz w:val="21"/>
                <w:szCs w:val="21"/>
              </w:rPr>
              <w:t>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1.分析评价全面、准确；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2.措施建议和结论有效可行、具有针对性；</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3.符合相关法律、法规和标准规范要求。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评价依据、范围、方法正确，内容完整。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申请的每项业务范围，专家现场从近年出具的评价报告中抽查2份规模以上企业的职业病危害评价报告和原始记录（第63-74项参照此条方法抽查评价报告），要求：</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1.评价依据正确且现行有效；</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2.评价范围应界定清晰、明确；</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3.评价方法选用正确，且满足评价需要；</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4.评价内容应全面、准确。</w:t>
            </w:r>
          </w:p>
        </w:tc>
        <w:tc>
          <w:tcPr>
            <w:tcW w:w="834"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kern w:val="0"/>
                <w:sz w:val="21"/>
                <w:szCs w:val="21"/>
              </w:rPr>
            </w:pPr>
            <w:r>
              <w:rPr>
                <w:rFonts w:hint="eastAsia" w:ascii="仿宋_GB2312" w:hAnsi="仿宋_GB2312" w:cs="仿宋_GB2312"/>
                <w:bCs/>
                <w:sz w:val="21"/>
                <w:szCs w:val="21"/>
              </w:rPr>
              <w:t>各项</w:t>
            </w:r>
            <w:r>
              <w:rPr>
                <w:rFonts w:hint="eastAsia" w:ascii="仿宋_GB2312" w:hAnsi="仿宋_GB2312" w:cs="仿宋_GB2312"/>
                <w:kern w:val="0"/>
                <w:sz w:val="21"/>
                <w:szCs w:val="21"/>
              </w:rPr>
              <w:t>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kern w:val="0"/>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kern w:val="0"/>
                <w:sz w:val="21"/>
                <w:szCs w:val="21"/>
              </w:rPr>
            </w:pPr>
            <w:r>
              <w:rPr>
                <w:rFonts w:hint="eastAsia" w:ascii="仿宋_GB2312" w:hAnsi="仿宋_GB2312" w:cs="仿宋_GB2312"/>
                <w:kern w:val="0"/>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1.有一份评价报告基本符合或不符合，即判定该项基本符合或不符合（第63-74项参照此条方法判定）；</w:t>
            </w:r>
          </w:p>
          <w:p>
            <w:pPr>
              <w:adjustRightInd w:val="0"/>
              <w:snapToGrid w:val="0"/>
              <w:spacing w:line="264" w:lineRule="exact"/>
              <w:jc w:val="left"/>
              <w:rPr>
                <w:rFonts w:hint="eastAsia" w:ascii="仿宋_GB2312" w:hAnsi="仿宋_GB2312" w:cs="仿宋_GB2312"/>
                <w:kern w:val="0"/>
                <w:sz w:val="21"/>
                <w:szCs w:val="21"/>
              </w:rPr>
            </w:pPr>
            <w:r>
              <w:rPr>
                <w:rFonts w:hint="eastAsia" w:ascii="仿宋_GB2312" w:hAnsi="仿宋_GB2312" w:cs="仿宋_GB2312"/>
                <w:kern w:val="0"/>
                <w:sz w:val="21"/>
                <w:szCs w:val="21"/>
              </w:rPr>
              <w:t>2.</w:t>
            </w:r>
            <w:r>
              <w:rPr>
                <w:rFonts w:hint="eastAsia" w:ascii="仿宋_GB2312" w:hAnsi="仿宋_GB2312" w:cs="仿宋_GB2312"/>
                <w:sz w:val="21"/>
                <w:szCs w:val="21"/>
              </w:rPr>
              <w:t>未出具正式评价报告的，</w:t>
            </w:r>
            <w:r>
              <w:rPr>
                <w:rFonts w:hint="eastAsia" w:ascii="仿宋_GB2312" w:hAnsi="仿宋_GB2312" w:cs="仿宋_GB2312"/>
                <w:kern w:val="0"/>
                <w:sz w:val="21"/>
                <w:szCs w:val="21"/>
              </w:rPr>
              <w:t>抽查模拟评价报告</w:t>
            </w:r>
            <w:r>
              <w:rPr>
                <w:rFonts w:hint="eastAsia" w:ascii="仿宋_GB2312" w:hAnsi="仿宋_GB2312" w:cs="仿宋_GB2312"/>
                <w:sz w:val="21"/>
                <w:szCs w:val="21"/>
              </w:rPr>
              <w:t>（第63-74项参照此项要求）</w:t>
            </w: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现场调查、资料收集应规范、完整。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核查质量管理体系文件现场调查管理程序，抽查</w:t>
            </w:r>
            <w:r>
              <w:rPr>
                <w:rFonts w:hint="eastAsia" w:ascii="仿宋_GB2312" w:hAnsi="仿宋_GB2312" w:cs="仿宋_GB2312"/>
                <w:kern w:val="0"/>
                <w:sz w:val="21"/>
                <w:szCs w:val="21"/>
              </w:rPr>
              <w:t>评价报告</w:t>
            </w:r>
            <w:r>
              <w:rPr>
                <w:rFonts w:hint="eastAsia" w:ascii="仿宋_GB2312" w:hAnsi="仿宋_GB2312" w:cs="仿宋_GB2312"/>
                <w:bCs/>
                <w:sz w:val="21"/>
                <w:szCs w:val="21"/>
              </w:rPr>
              <w:t>原始记录，要求：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1.应按照评价范围和评价内容规范开展现场调查、资料收集；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2.调查内容满足标准、规范的要求；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3.资料收集应完整全面，满足检测、评价工作的需要。</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bCs/>
                <w:sz w:val="21"/>
                <w:szCs w:val="21"/>
              </w:rPr>
            </w:pPr>
          </w:p>
          <w:p>
            <w:pPr>
              <w:widowControl/>
              <w:adjustRightInd w:val="0"/>
              <w:snapToGrid w:val="0"/>
              <w:spacing w:line="264" w:lineRule="exact"/>
              <w:jc w:val="left"/>
              <w:textAlignment w:val="center"/>
              <w:rPr>
                <w:rFonts w:hint="eastAsia" w:ascii="仿宋_GB2312" w:hAnsi="仿宋_GB2312" w:cs="仿宋_GB2312"/>
                <w:bCs/>
                <w:sz w:val="21"/>
                <w:szCs w:val="21"/>
              </w:rPr>
            </w:pPr>
          </w:p>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工程分析全面、到位。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工艺流程、场所设备布局、原辅材料（辐射源项）、建筑卫生学等工程分析评价全面、准确。</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基本符合要求。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此项判定为“不符合”时，相关评价报告涉及的业务范围不予通过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职业病危害因素识别、分析全面、准确。</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从接触岗位（地点）、接触时间、接触频次、作业方式以及对人体健康影响危害程度等方面，对职业病危害因素进行全面、准确分析。</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基本符合要求。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此项判定为“不符合”时，相关评价报告涉及的业务范围不予通过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66-1</w:t>
            </w:r>
          </w:p>
        </w:tc>
        <w:tc>
          <w:tcPr>
            <w:tcW w:w="2420" w:type="dxa"/>
            <w:gridSpan w:val="2"/>
            <w:vMerge w:val="restart"/>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职业病危害程度与健康影响评价科学、准确。</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1.职业病危害因素及其涉及的工种（岗位）应全面；</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2.职业病危害程度分级正确；</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3.接触水平计算及接触限值应用正确；</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4.接触水平与健康影响的相关性评估科学、准确。</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66-2</w:t>
            </w:r>
          </w:p>
        </w:tc>
        <w:tc>
          <w:tcPr>
            <w:tcW w:w="2420" w:type="dxa"/>
            <w:gridSpan w:val="2"/>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 xml:space="preserve">1.放射性职业病危害因素及其涉及的工种（岗位）应全面； </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2.辐射剂量水平估算与健康影响的相关性评估科学、准确；</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3.辐射剂量水平的估算和限值应用正确。</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67-1</w:t>
            </w:r>
          </w:p>
        </w:tc>
        <w:tc>
          <w:tcPr>
            <w:tcW w:w="2420" w:type="dxa"/>
            <w:gridSpan w:val="2"/>
            <w:vMerge w:val="restart"/>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职业病防护设施评价准确，措施建议有效可行、具有针对性。</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1.应结合职业病危害因素识别、职业病危害因素检测和职业病防护设施性能检测结果，以及职业病</w:t>
            </w:r>
            <w:r>
              <w:rPr>
                <w:rFonts w:hint="eastAsia" w:ascii="仿宋_GB2312" w:hAnsi="仿宋_GB2312" w:cs="仿宋_GB2312"/>
                <w:kern w:val="0"/>
                <w:sz w:val="21"/>
                <w:szCs w:val="21"/>
              </w:rPr>
              <w:t>危害与健康影响程度等</w:t>
            </w:r>
            <w:r>
              <w:rPr>
                <w:rFonts w:hint="eastAsia" w:ascii="仿宋_GB2312" w:hAnsi="仿宋_GB2312" w:cs="仿宋_GB2312"/>
                <w:bCs/>
                <w:sz w:val="21"/>
                <w:szCs w:val="21"/>
              </w:rPr>
              <w:t>，对职业病防护设施的合理性和有效性进行全面、准确评价；</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2.职业病防护设施建议具有针对性。</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1.申请第一类业务范围的审查；</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kern w:val="0"/>
                <w:sz w:val="21"/>
                <w:szCs w:val="21"/>
              </w:rPr>
              <w:t>2.此项判定为“不符合”时，相关评价报告涉及的业务范围不予通过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67-2</w:t>
            </w:r>
          </w:p>
        </w:tc>
        <w:tc>
          <w:tcPr>
            <w:tcW w:w="2420" w:type="dxa"/>
            <w:gridSpan w:val="2"/>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1.应结合职业病危害因素识别、职业病危害因素检测结果，以及辐射剂量水平估算与健康影响</w:t>
            </w:r>
            <w:r>
              <w:rPr>
                <w:rFonts w:hint="eastAsia" w:ascii="仿宋_GB2312" w:hAnsi="仿宋_GB2312" w:cs="仿宋_GB2312"/>
                <w:kern w:val="0"/>
                <w:sz w:val="21"/>
                <w:szCs w:val="21"/>
              </w:rPr>
              <w:t>等</w:t>
            </w:r>
            <w:r>
              <w:rPr>
                <w:rFonts w:hint="eastAsia" w:ascii="仿宋_GB2312" w:hAnsi="仿宋_GB2312" w:cs="仿宋_GB2312"/>
                <w:bCs/>
                <w:sz w:val="21"/>
                <w:szCs w:val="21"/>
              </w:rPr>
              <w:t>，对职业病防护设施的合理性和有效性进行全面、准确评价；</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2.职业病防护设施措施建议具有针对性。</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1.申请第二类业务范围的审查；</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2.</w:t>
            </w:r>
            <w:r>
              <w:rPr>
                <w:rFonts w:hint="eastAsia" w:ascii="仿宋_GB2312" w:hAnsi="仿宋_GB2312" w:cs="仿宋_GB2312"/>
                <w:kern w:val="0"/>
                <w:sz w:val="21"/>
                <w:szCs w:val="21"/>
              </w:rPr>
              <w:t>此项判定为“不符合”时，相关评价报告涉及的业务范围不予通过</w:t>
            </w:r>
            <w:r>
              <w:rPr>
                <w:rFonts w:hint="eastAsia" w:ascii="仿宋_GB2312" w:hAnsi="仿宋_GB2312" w:cs="仿宋_GB2312"/>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68</w:t>
            </w:r>
          </w:p>
        </w:tc>
        <w:tc>
          <w:tcPr>
            <w:tcW w:w="2420" w:type="dxa"/>
            <w:gridSpan w:val="2"/>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应急救援设施</w:t>
            </w:r>
            <w:r>
              <w:rPr>
                <w:rFonts w:hint="eastAsia" w:ascii="仿宋_GB2312" w:hAnsi="仿宋_GB2312" w:cs="仿宋_GB2312"/>
                <w:kern w:val="0"/>
                <w:sz w:val="21"/>
                <w:szCs w:val="21"/>
              </w:rPr>
              <w:t>评价准确，措施建议有效可行、具有针对性。</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1.对应急救援设施的合理性和有效性进行全面、准确评价；</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2.应急救援设施建议具有针对性。</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69</w:t>
            </w:r>
          </w:p>
        </w:tc>
        <w:tc>
          <w:tcPr>
            <w:tcW w:w="2420" w:type="dxa"/>
            <w:gridSpan w:val="2"/>
            <w:noWrap w:val="0"/>
            <w:tcMar>
              <w:top w:w="15" w:type="dxa"/>
              <w:left w:w="15" w:type="dxa"/>
              <w:right w:w="15" w:type="dxa"/>
            </w:tcMar>
            <w:vAlign w:val="center"/>
          </w:tcPr>
          <w:p>
            <w:pPr>
              <w:widowControl/>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职业卫生管理措施评价。</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1.对职业卫生管理制度、职业病危害告知、培训、职业健康监护、个体防护用品选配等职业卫生管理措施的分析评价全面、准确；</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2.建议具有针对性、可行性。</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jc w:val="both"/>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70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评价结论完整、准确。</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核查评价报告和原始记录，要求：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1.应在全面总结归纳评价内容的基础上给出评价结论；</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2.职业病危害风险分级分类准确，关键控制点分析准确；</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3.应给出职业病危害接触水平及职业病防护设施控制效果是否满足要求的评价结论。</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技术服务过程管理</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71</w:t>
            </w:r>
          </w:p>
        </w:tc>
        <w:tc>
          <w:tcPr>
            <w:tcW w:w="2420" w:type="dxa"/>
            <w:gridSpan w:val="2"/>
            <w:noWrap w:val="0"/>
            <w:tcMar>
              <w:top w:w="15" w:type="dxa"/>
              <w:left w:w="15" w:type="dxa"/>
              <w:right w:w="15" w:type="dxa"/>
            </w:tcMar>
            <w:vAlign w:val="center"/>
          </w:tcPr>
          <w:p>
            <w:pPr>
              <w:widowControl/>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合同评审应规范、完整。</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核查质量管理体系文件中合同评审程序，抽查合同评审记录，要求：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1.签订合同前应进行合同评审，合同评审内容应全面，应包括对合法合规性、资质能力、资质条件、技术服务报告交付时间等的评审；</w:t>
            </w:r>
          </w:p>
          <w:p>
            <w:pPr>
              <w:adjustRightInd w:val="0"/>
              <w:snapToGrid w:val="0"/>
              <w:spacing w:line="264"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rPr>
              <w:t>2.技术合同应以书面形式与用人单位明确技术服务内容、范围以及双方的责任</w:t>
            </w:r>
            <w:r>
              <w:rPr>
                <w:rFonts w:hint="eastAsia" w:ascii="仿宋_GB2312" w:hAnsi="仿宋_GB2312" w:cs="仿宋_GB2312"/>
                <w:bCs/>
                <w:sz w:val="21"/>
                <w:szCs w:val="21"/>
                <w:lang w:eastAsia="zh-CN"/>
              </w:rPr>
              <w:t>。</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检测、评价技术服务均审查。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rPr>
                <w:rFonts w:hint="eastAsia" w:ascii="仿宋_GB2312" w:hAnsi="仿宋_GB2312" w:cs="仿宋_GB2312"/>
                <w:bCs/>
                <w:sz w:val="21"/>
                <w:szCs w:val="21"/>
              </w:rPr>
            </w:pPr>
            <w:r>
              <w:rPr>
                <w:rFonts w:hint="eastAsia" w:ascii="仿宋_GB2312" w:hAnsi="仿宋_GB2312" w:cs="仿宋_GB2312"/>
                <w:bCs/>
                <w:sz w:val="21"/>
                <w:szCs w:val="21"/>
              </w:rPr>
              <w:t>72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职业病危害因素检测、评价方案（计划）应完整、规范。</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核查质量管理体系文件有关</w:t>
            </w:r>
            <w:r>
              <w:rPr>
                <w:rFonts w:hint="eastAsia" w:ascii="仿宋_GB2312" w:hAnsi="仿宋_GB2312" w:cs="仿宋_GB2312"/>
                <w:kern w:val="0"/>
                <w:sz w:val="21"/>
                <w:szCs w:val="21"/>
              </w:rPr>
              <w:t>检测、评价方案（计划）编制</w:t>
            </w:r>
            <w:r>
              <w:rPr>
                <w:rFonts w:hint="eastAsia" w:ascii="仿宋_GB2312" w:hAnsi="仿宋_GB2312" w:cs="仿宋_GB2312"/>
                <w:bCs/>
                <w:sz w:val="21"/>
                <w:szCs w:val="21"/>
              </w:rPr>
              <w:t>程序，抽查原始记录，要求：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1.依程序编制、审核和批准</w:t>
            </w:r>
            <w:r>
              <w:rPr>
                <w:rFonts w:hint="eastAsia" w:ascii="仿宋_GB2312" w:hAnsi="仿宋_GB2312" w:cs="仿宋_GB2312"/>
                <w:kern w:val="0"/>
                <w:sz w:val="21"/>
                <w:szCs w:val="21"/>
              </w:rPr>
              <w:t>检测、评价方案（计划）</w:t>
            </w:r>
            <w:r>
              <w:rPr>
                <w:rFonts w:hint="eastAsia" w:ascii="仿宋_GB2312" w:hAnsi="仿宋_GB2312" w:cs="仿宋_GB2312"/>
                <w:bCs/>
                <w:sz w:val="21"/>
                <w:szCs w:val="21"/>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2.内容应满足标准、规范的要求。</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73</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技术服务报告应内容完整、规范并按照要求审核、签章和发送。</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核查质量管理体系文件中技术服务报告管理程序，抽查技术服务报告，要求：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1.技术服务报告应内容完整、规范、信息全面，符合相关标准规范要求；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2.技术服务报告应规范使用唯一性编号；</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3.授权签字人、审核人等人员应按照程序和职责分工对技术服务报告进行严格审核，并妥善保存相关记录；</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4.报告的签章、发送等按照程序规范进行，并妥善保存相关记录。</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74</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技术服务报告及原始资料应完整归档，并按照要求保存。</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核查质量管理体系文件中技术服务报告和记录的管理程序，抽查技术服务报告及原始记录档案，要求：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1.按照程序文件要求进行档案的管理；</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2.归档材料齐全，且有目录，至少包括以下档案材料：</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技术服务委托书或技术服务合同（复印件）；</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合同评审记录；</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检测、评价的方案（计划）及审核记录；</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相关原始记录（现场调查记录、采样记录、实验室分析记录及原始谱图等）；</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技术服务过程影像资料；</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技术服务所需的技术资料（设计文件、类比检测资料等）；</w:t>
            </w:r>
          </w:p>
          <w:p>
            <w:pPr>
              <w:numPr>
                <w:ilvl w:val="0"/>
                <w:numId w:val="3"/>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技术服务报告及审核记录；</w:t>
            </w:r>
          </w:p>
          <w:p>
            <w:pPr>
              <w:numPr>
                <w:ilvl w:val="0"/>
                <w:numId w:val="3"/>
              </w:num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其他与职业卫生技术服务相关的记录、资料。</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sz w:val="21"/>
                <w:szCs w:val="21"/>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450" w:type="dxa"/>
            <w:vMerge w:val="restart"/>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6.质量管理体系</w:t>
            </w:r>
          </w:p>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质量管理体系文件</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75</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质量管理手册完整、规范、操作性强，并有效运行。</w:t>
            </w:r>
          </w:p>
        </w:tc>
        <w:tc>
          <w:tcPr>
            <w:tcW w:w="5641" w:type="dxa"/>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核查质量管理体系文件，要求：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1.按照职业卫生相关法律、法规和标准规范，并参照《检测检验机构资质认定能力评价 检验检测机构通用要求》（RB/T 214）的有关要求，编写质量管理手册，明确质量方针、组织机构、人员岗位职责、支持性程序等内容；</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2.应满足职业卫生检测、评价活动质量控制的要求；</w:t>
            </w:r>
          </w:p>
          <w:p>
            <w:pPr>
              <w:widowControl/>
              <w:adjustRightInd w:val="0"/>
              <w:snapToGrid w:val="0"/>
              <w:spacing w:line="264"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3.质量管理手册应完整、规范、操作性强。</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76</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程序文件全面、具体、操作性强，并有效运行。</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1.程序文件应</w:t>
            </w:r>
            <w:r>
              <w:rPr>
                <w:rFonts w:hint="eastAsia" w:ascii="仿宋_GB2312" w:hAnsi="仿宋_GB2312" w:cs="仿宋_GB2312"/>
                <w:kern w:val="0"/>
                <w:sz w:val="21"/>
                <w:szCs w:val="21"/>
              </w:rPr>
              <w:t>具体、</w:t>
            </w:r>
            <w:r>
              <w:rPr>
                <w:rFonts w:hint="eastAsia" w:ascii="仿宋_GB2312" w:hAnsi="仿宋_GB2312" w:cs="仿宋_GB2312"/>
                <w:bCs/>
                <w:sz w:val="21"/>
                <w:szCs w:val="21"/>
              </w:rPr>
              <w:t>规范、操作性强；</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2.应至少编制下列程序性文件：</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文件管理和控制程序；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检测方法确认、验证和专家论证程序；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内审和管理评审程序；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纠正与预防控制程序；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专业技术人员培训程序；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仪器设备购置、验收、使用和处置程序；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耗材和标准物质的购置、验收、领用及处置程序；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合同评审程序；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现场调查质量控制程序；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样品采集与流转质量控制程序；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样品测定质量控制程序；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技术服务记录、结果与结论的完整、准确和有效性质量控制程序；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技术服务报告编制、审核、签发质量控制程序</w:t>
            </w:r>
            <w:r>
              <w:rPr>
                <w:rFonts w:hint="eastAsia" w:ascii="仿宋_GB2312" w:hAnsi="仿宋_GB2312" w:cs="仿宋_GB2312"/>
                <w:bCs/>
                <w:sz w:val="21"/>
                <w:szCs w:val="21"/>
                <w:lang w:eastAsia="zh-CN"/>
              </w:rPr>
              <w:t>；</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保证技术服务公正和诚信程序；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保护客户秘密和所有权程序；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选择和购买服务、供应商控制程序；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投诉处理程序；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技术服务过程偏离的控制程序；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技术服务信息公开程序；</w:t>
            </w:r>
          </w:p>
          <w:p>
            <w:pPr>
              <w:numPr>
                <w:ilvl w:val="0"/>
                <w:numId w:val="4"/>
              </w:num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sz w:val="21"/>
                <w:szCs w:val="21"/>
              </w:rPr>
              <w:fldChar w:fldCharType="begin"/>
            </w:r>
            <w:r>
              <w:rPr>
                <w:rFonts w:hint="eastAsia" w:ascii="仿宋_GB2312" w:hAnsi="仿宋_GB2312" w:cs="仿宋_GB2312"/>
                <w:sz w:val="21"/>
                <w:szCs w:val="21"/>
              </w:rPr>
              <w:instrText xml:space="preserve"> HYPERLINK \l "_Toc2642" </w:instrText>
            </w:r>
            <w:r>
              <w:rPr>
                <w:rFonts w:hint="eastAsia" w:ascii="仿宋_GB2312" w:hAnsi="仿宋_GB2312" w:cs="仿宋_GB2312"/>
                <w:sz w:val="21"/>
                <w:szCs w:val="21"/>
              </w:rPr>
              <w:fldChar w:fldCharType="separate"/>
            </w:r>
            <w:r>
              <w:rPr>
                <w:rFonts w:hint="eastAsia" w:ascii="仿宋_GB2312" w:hAnsi="仿宋_GB2312" w:cs="仿宋_GB2312"/>
                <w:bCs/>
                <w:sz w:val="21"/>
                <w:szCs w:val="21"/>
              </w:rPr>
              <w:t>技术服务报告管理程序。</w:t>
            </w:r>
            <w:r>
              <w:rPr>
                <w:rFonts w:hint="eastAsia" w:ascii="仿宋_GB2312" w:hAnsi="仿宋_GB2312" w:cs="仿宋_GB2312"/>
                <w:bCs/>
                <w:sz w:val="21"/>
                <w:szCs w:val="21"/>
              </w:rPr>
              <w:fldChar w:fldCharType="end"/>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77</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作业指导书全面、具体、操作性强，并有效运行。</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1.根据职业卫生技术服务相关法律、法规、标准和工作需要，编制作业指导书；</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2.作业指导书应具体、规范、操作性强。</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78</w:t>
            </w:r>
          </w:p>
        </w:tc>
        <w:tc>
          <w:tcPr>
            <w:tcW w:w="2420" w:type="dxa"/>
            <w:gridSpan w:val="2"/>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kern w:val="0"/>
                <w:sz w:val="21"/>
                <w:szCs w:val="21"/>
              </w:rPr>
            </w:pPr>
            <w:r>
              <w:rPr>
                <w:rFonts w:hint="eastAsia" w:ascii="仿宋_GB2312" w:hAnsi="仿宋_GB2312" w:cs="仿宋_GB2312"/>
                <w:bCs/>
                <w:sz w:val="21"/>
                <w:szCs w:val="21"/>
              </w:rPr>
              <w:t>记录表格完整、规范、操作性强，</w:t>
            </w:r>
            <w:r>
              <w:rPr>
                <w:rFonts w:hint="eastAsia" w:ascii="仿宋_GB2312" w:hAnsi="仿宋_GB2312" w:cs="仿宋_GB2312"/>
                <w:kern w:val="0"/>
                <w:sz w:val="21"/>
                <w:szCs w:val="21"/>
              </w:rPr>
              <w:t>并有效运行</w:t>
            </w:r>
            <w:r>
              <w:rPr>
                <w:rFonts w:hint="eastAsia" w:ascii="仿宋_GB2312" w:hAnsi="仿宋_GB2312" w:cs="仿宋_GB2312"/>
                <w:bCs/>
                <w:sz w:val="21"/>
                <w:szCs w:val="21"/>
              </w:rPr>
              <w:t>。</w:t>
            </w:r>
          </w:p>
        </w:tc>
        <w:tc>
          <w:tcPr>
            <w:tcW w:w="5641"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查阅记录表格，要求：</w:t>
            </w:r>
          </w:p>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1</w:t>
            </w:r>
            <w:r>
              <w:rPr>
                <w:rFonts w:hint="eastAsia" w:ascii="仿宋_GB2312" w:hAnsi="仿宋_GB2312" w:cs="仿宋_GB2312"/>
                <w:bCs/>
                <w:sz w:val="21"/>
                <w:szCs w:val="21"/>
                <w:lang w:eastAsia="zh-CN"/>
              </w:rPr>
              <w:t>.</w:t>
            </w:r>
            <w:r>
              <w:rPr>
                <w:rFonts w:hint="eastAsia" w:ascii="仿宋_GB2312" w:hAnsi="仿宋_GB2312" w:cs="仿宋_GB2312"/>
                <w:bCs/>
                <w:sz w:val="21"/>
                <w:szCs w:val="21"/>
              </w:rPr>
              <w:t>根据职业卫生技术服务相关法律、法规、标准和工作需要，制定评价、检测和质量管理相关记录表格；</w:t>
            </w:r>
          </w:p>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2</w:t>
            </w:r>
            <w:r>
              <w:rPr>
                <w:rFonts w:hint="eastAsia" w:ascii="仿宋_GB2312" w:hAnsi="仿宋_GB2312" w:cs="仿宋_GB2312"/>
                <w:bCs/>
                <w:sz w:val="21"/>
                <w:szCs w:val="21"/>
                <w:lang w:eastAsia="zh-CN"/>
              </w:rPr>
              <w:t>.</w:t>
            </w:r>
            <w:r>
              <w:rPr>
                <w:rFonts w:hint="eastAsia" w:ascii="仿宋_GB2312" w:hAnsi="仿宋_GB2312" w:cs="仿宋_GB2312"/>
                <w:bCs/>
                <w:sz w:val="21"/>
                <w:szCs w:val="21"/>
              </w:rPr>
              <w:t>记录表格应信息全面、操作性强；</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文件控制</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79</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文件受控制度建立健全，文件控制措施落实到位。</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核查质量管理体系文件中文件控制程序、受控文件清单和文件受控过程记录等资料，要求：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1.应使用现行有效的法律、法规、标准、质量管理手册、程序文件、作业指导书和记录表格等文件；</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2.对受控文件的发放、更新、作废、销毁等过程进行受控登记管理；</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3.现行有效文件应便于专业人员取用。</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restart"/>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质量管理体系运行情况</w:t>
            </w: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80</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内审全面、有效。</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核查年度内审计划、实施记录及内审报告，要求：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1.应制定年度内审计划，按照计划实施内审，详细记录内审过程和内审发现，出具内审报告；</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2.应对质量管理体系检测和评价相关要素进行全面内审；</w:t>
            </w:r>
          </w:p>
          <w:p>
            <w:pPr>
              <w:adjustRightInd w:val="0"/>
              <w:snapToGrid w:val="0"/>
              <w:spacing w:line="264"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rPr>
              <w:t>3.对内审不符合项进行有效整改</w:t>
            </w:r>
            <w:r>
              <w:rPr>
                <w:rFonts w:hint="eastAsia" w:ascii="仿宋_GB2312" w:hAnsi="仿宋_GB2312" w:cs="仿宋_GB2312"/>
                <w:bCs/>
                <w:sz w:val="21"/>
                <w:szCs w:val="21"/>
                <w:lang w:eastAsia="zh-CN"/>
              </w:rPr>
              <w:t>；</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4.内审相关文件、记录应进行归档、保存。</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81</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管理评审全面、有效。</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核查年度管理评审实施记录及管理评审报告，要求：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1.应制定定期管理评审计划，按照计划实施评审，详细记录评审过程和评审发现，出具管理评审报告；</w:t>
            </w:r>
          </w:p>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2.质量体系外部文件变化情况、内审发现问题及整改措施、日常质量管理发现问题、质量管理体系运行情况、投诉处理等情况应有效输入管理评审；</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3.管理评审相关文件、记录应进行归档、保存。</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450" w:type="dxa"/>
            <w:vMerge w:val="continue"/>
            <w:noWrap w:val="0"/>
            <w:tcMar>
              <w:top w:w="15" w:type="dxa"/>
              <w:left w:w="15" w:type="dxa"/>
              <w:right w:w="15" w:type="dxa"/>
            </w:tcMar>
            <w:vAlign w:val="center"/>
          </w:tcPr>
          <w:p>
            <w:pPr>
              <w:widowControl/>
              <w:adjustRightInd w:val="0"/>
              <w:snapToGrid w:val="0"/>
              <w:spacing w:line="264" w:lineRule="exact"/>
              <w:jc w:val="left"/>
              <w:textAlignment w:val="center"/>
              <w:rPr>
                <w:rFonts w:hint="eastAsia" w:ascii="仿宋_GB2312" w:hAnsi="仿宋_GB2312" w:cs="仿宋_GB2312"/>
                <w:kern w:val="0"/>
                <w:sz w:val="21"/>
                <w:szCs w:val="21"/>
              </w:rPr>
            </w:pPr>
          </w:p>
        </w:tc>
        <w:tc>
          <w:tcPr>
            <w:tcW w:w="584" w:type="dxa"/>
            <w:vMerge w:val="continue"/>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p>
        </w:tc>
        <w:tc>
          <w:tcPr>
            <w:tcW w:w="554" w:type="dxa"/>
            <w:noWrap w:val="0"/>
            <w:tcMar>
              <w:top w:w="15" w:type="dxa"/>
              <w:left w:w="15" w:type="dxa"/>
              <w:right w:w="15" w:type="dxa"/>
            </w:tcMar>
            <w:vAlign w:val="center"/>
          </w:tcPr>
          <w:p>
            <w:pPr>
              <w:widowControl/>
              <w:adjustRightInd w:val="0"/>
              <w:snapToGrid w:val="0"/>
              <w:spacing w:line="264"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82</w:t>
            </w:r>
          </w:p>
        </w:tc>
        <w:tc>
          <w:tcPr>
            <w:tcW w:w="2420" w:type="dxa"/>
            <w:gridSpan w:val="2"/>
            <w:noWrap w:val="0"/>
            <w:tcMar>
              <w:top w:w="15" w:type="dxa"/>
              <w:left w:w="15" w:type="dxa"/>
              <w:right w:w="15" w:type="dxa"/>
            </w:tcMar>
            <w:vAlign w:val="center"/>
          </w:tcPr>
          <w:p>
            <w:pPr>
              <w:widowControl/>
              <w:adjustRightInd w:val="0"/>
              <w:snapToGrid w:val="0"/>
              <w:spacing w:line="264"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纠正和预防措施可行、落实有效。</w:t>
            </w:r>
          </w:p>
        </w:tc>
        <w:tc>
          <w:tcPr>
            <w:tcW w:w="5641"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核查纠正和预防措施记录，要求：</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1.纠正和预防措施覆盖内审、管理评审和日常质量控制活动等体系运行过程所发现的不符合情况；</w:t>
            </w:r>
          </w:p>
          <w:p>
            <w:pPr>
              <w:adjustRightInd w:val="0"/>
              <w:snapToGrid w:val="0"/>
              <w:spacing w:line="264" w:lineRule="exact"/>
              <w:jc w:val="left"/>
              <w:rPr>
                <w:rFonts w:hint="eastAsia" w:ascii="仿宋_GB2312" w:hAnsi="仿宋_GB2312" w:cs="仿宋_GB2312"/>
                <w:bCs/>
                <w:sz w:val="21"/>
                <w:szCs w:val="21"/>
              </w:rPr>
            </w:pPr>
            <w:r>
              <w:rPr>
                <w:rFonts w:hint="eastAsia" w:ascii="仿宋_GB2312" w:hAnsi="仿宋_GB2312" w:cs="仿宋_GB2312"/>
                <w:bCs/>
                <w:sz w:val="21"/>
                <w:szCs w:val="21"/>
              </w:rPr>
              <w:t>2.纠正和预防措施的制定与实施记录完整。实验室发现存在潜在不符合的原因时应详细记录并采取有效预防措施；</w:t>
            </w:r>
          </w:p>
          <w:p>
            <w:pPr>
              <w:adjustRightInd w:val="0"/>
              <w:snapToGrid w:val="0"/>
              <w:spacing w:line="264" w:lineRule="exact"/>
              <w:jc w:val="left"/>
              <w:rPr>
                <w:rFonts w:hint="eastAsia" w:ascii="仿宋_GB2312" w:hAnsi="仿宋_GB2312" w:cs="仿宋_GB2312"/>
                <w:sz w:val="21"/>
                <w:szCs w:val="21"/>
              </w:rPr>
            </w:pPr>
            <w:r>
              <w:rPr>
                <w:rFonts w:hint="eastAsia" w:ascii="仿宋_GB2312" w:hAnsi="仿宋_GB2312" w:cs="仿宋_GB2312"/>
                <w:bCs/>
                <w:sz w:val="21"/>
                <w:szCs w:val="21"/>
              </w:rPr>
              <w:t>3.纠正和预防措施原因分析准确、实施效果有跟踪验证。</w:t>
            </w:r>
          </w:p>
        </w:tc>
        <w:tc>
          <w:tcPr>
            <w:tcW w:w="834"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各项均符合要求。</w:t>
            </w:r>
          </w:p>
        </w:tc>
        <w:tc>
          <w:tcPr>
            <w:tcW w:w="1005"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有一项以上基本符合要求，其余项均符合要求。</w:t>
            </w:r>
          </w:p>
        </w:tc>
        <w:tc>
          <w:tcPr>
            <w:tcW w:w="1017" w:type="dxa"/>
            <w:noWrap w:val="0"/>
            <w:tcMar>
              <w:top w:w="15" w:type="dxa"/>
              <w:left w:w="15" w:type="dxa"/>
              <w:right w:w="15" w:type="dxa"/>
            </w:tcMar>
            <w:vAlign w:val="center"/>
          </w:tcPr>
          <w:p>
            <w:pPr>
              <w:adjustRightInd w:val="0"/>
              <w:snapToGrid w:val="0"/>
              <w:spacing w:line="264" w:lineRule="exact"/>
              <w:rPr>
                <w:rFonts w:hint="eastAsia" w:ascii="仿宋_GB2312" w:hAnsi="仿宋_GB2312" w:cs="仿宋_GB2312"/>
                <w:bCs/>
                <w:sz w:val="21"/>
                <w:szCs w:val="21"/>
              </w:rPr>
            </w:pPr>
            <w:r>
              <w:rPr>
                <w:rFonts w:hint="eastAsia" w:ascii="仿宋_GB2312" w:hAnsi="仿宋_GB2312" w:cs="仿宋_GB2312"/>
                <w:bCs/>
                <w:sz w:val="21"/>
                <w:szCs w:val="21"/>
              </w:rPr>
              <w:t>有一项以上不符合要求。</w:t>
            </w:r>
          </w:p>
        </w:tc>
        <w:tc>
          <w:tcPr>
            <w:tcW w:w="2734" w:type="dxa"/>
            <w:noWrap w:val="0"/>
            <w:tcMar>
              <w:top w:w="15" w:type="dxa"/>
              <w:left w:w="15" w:type="dxa"/>
              <w:right w:w="15" w:type="dxa"/>
            </w:tcMar>
            <w:vAlign w:val="center"/>
          </w:tcPr>
          <w:p>
            <w:pPr>
              <w:adjustRightInd w:val="0"/>
              <w:snapToGrid w:val="0"/>
              <w:spacing w:line="264" w:lineRule="exact"/>
              <w:jc w:val="left"/>
              <w:rPr>
                <w:rFonts w:hint="eastAsia" w:ascii="仿宋_GB2312" w:hAnsi="仿宋_GB2312" w:cs="仿宋_GB2312"/>
                <w:sz w:val="21"/>
                <w:szCs w:val="21"/>
              </w:rPr>
            </w:pPr>
          </w:p>
        </w:tc>
      </w:tr>
    </w:tbl>
    <w:p>
      <w:pPr>
        <w:sectPr>
          <w:headerReference r:id="rId3" w:type="default"/>
          <w:footerReference r:id="rId4" w:type="default"/>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 w:linePitch="312" w:charSpace="0"/>
        </w:sectPr>
      </w:pPr>
      <w:r>
        <w:rPr>
          <w:rFonts w:eastAsia="宋体"/>
          <w:sz w:val="21"/>
        </w:rPr>
        <w:t>注</w:t>
      </w:r>
      <w:r>
        <w:rPr>
          <w:rFonts w:hint="eastAsia" w:eastAsia="宋体"/>
          <w:sz w:val="21"/>
        </w:rPr>
        <w:t>：标注</w:t>
      </w:r>
      <w:r>
        <w:rPr>
          <w:rFonts w:hint="eastAsia" w:eastAsia="宋体"/>
          <w:kern w:val="0"/>
          <w:sz w:val="20"/>
          <w:szCs w:val="20"/>
        </w:rPr>
        <w:t xml:space="preserve"> “★”的为否决项。</w:t>
      </w:r>
    </w:p>
    <w:p>
      <w:pPr>
        <w:jc w:val="center"/>
        <w:rPr>
          <w:rFonts w:ascii="华文中宋" w:hAnsi="华文中宋" w:eastAsia="华文中宋"/>
          <w:b/>
          <w:sz w:val="36"/>
          <w:szCs w:val="36"/>
        </w:rPr>
      </w:pPr>
      <w:r>
        <w:rPr>
          <w:rFonts w:ascii="华文中宋" w:hAnsi="华文中宋" w:eastAsia="华文中宋"/>
          <w:b/>
          <w:sz w:val="36"/>
          <w:szCs w:val="36"/>
        </w:rPr>
        <w:t>现场技术考核判定标准</w:t>
      </w:r>
    </w:p>
    <w:p>
      <w:pPr>
        <w:adjustRightInd w:val="0"/>
        <w:snapToGrid w:val="0"/>
        <w:spacing w:line="264" w:lineRule="exact"/>
        <w:ind w:firstLine="482" w:firstLineChars="200"/>
        <w:jc w:val="left"/>
        <w:rPr>
          <w:rFonts w:hint="eastAsia" w:ascii="仿宋_GB2312" w:hAnsi="仿宋_GB2312" w:cs="仿宋_GB2312"/>
          <w:b/>
          <w:bCs/>
          <w:sz w:val="24"/>
          <w:szCs w:val="24"/>
        </w:rPr>
      </w:pPr>
    </w:p>
    <w:p>
      <w:pPr>
        <w:adjustRightInd w:val="0"/>
        <w:snapToGrid w:val="0"/>
        <w:spacing w:line="240" w:lineRule="auto"/>
        <w:ind w:firstLine="643" w:firstLineChars="200"/>
        <w:jc w:val="left"/>
        <w:rPr>
          <w:rFonts w:hint="eastAsia" w:ascii="仿宋_GB2312" w:hAnsi="仿宋_GB2312" w:cs="仿宋_GB2312"/>
          <w:b/>
          <w:bCs/>
          <w:sz w:val="32"/>
          <w:szCs w:val="32"/>
        </w:rPr>
      </w:pPr>
      <w:r>
        <w:rPr>
          <w:rFonts w:hint="eastAsia" w:ascii="仿宋_GB2312" w:hAnsi="仿宋_GB2312" w:cs="仿宋_GB2312"/>
          <w:b/>
          <w:bCs/>
          <w:sz w:val="32"/>
          <w:szCs w:val="32"/>
        </w:rPr>
        <w:t>（一）现场技术考核评审项汇总</w:t>
      </w:r>
    </w:p>
    <w:p>
      <w:pPr>
        <w:adjustRightInd w:val="0"/>
        <w:snapToGrid w:val="0"/>
        <w:spacing w:line="464" w:lineRule="exact"/>
        <w:ind w:firstLine="560" w:firstLineChars="200"/>
        <w:jc w:val="left"/>
        <w:rPr>
          <w:rFonts w:hint="eastAsia" w:ascii="仿宋_GB2312" w:hAnsi="仿宋_GB2312" w:cs="仿宋_GB2312"/>
          <w:b w:val="0"/>
          <w:bCs/>
          <w:sz w:val="28"/>
          <w:szCs w:val="28"/>
        </w:rPr>
      </w:pPr>
      <w:r>
        <w:rPr>
          <w:rFonts w:hint="eastAsia" w:ascii="仿宋_GB2312" w:hAnsi="仿宋_GB2312" w:cs="仿宋_GB2312"/>
          <w:b w:val="0"/>
          <w:bCs/>
          <w:sz w:val="28"/>
          <w:szCs w:val="28"/>
        </w:rPr>
        <w:t>1.第一类业务范围</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528"/>
        <w:gridCol w:w="903"/>
        <w:gridCol w:w="1953"/>
        <w:gridCol w:w="188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1" w:type="dxa"/>
            <w:vMerge w:val="restart"/>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528" w:type="dxa"/>
            <w:vMerge w:val="restart"/>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评审要素</w:t>
            </w:r>
          </w:p>
        </w:tc>
        <w:tc>
          <w:tcPr>
            <w:tcW w:w="903" w:type="dxa"/>
            <w:vMerge w:val="restart"/>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w:t>
            </w:r>
          </w:p>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w:t>
            </w:r>
          </w:p>
        </w:tc>
        <w:tc>
          <w:tcPr>
            <w:tcW w:w="4942" w:type="dxa"/>
            <w:gridSpan w:val="3"/>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1" w:type="dxa"/>
            <w:vMerge w:val="continue"/>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p>
        </w:tc>
        <w:tc>
          <w:tcPr>
            <w:tcW w:w="2528" w:type="dxa"/>
            <w:vMerge w:val="continue"/>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p>
        </w:tc>
        <w:tc>
          <w:tcPr>
            <w:tcW w:w="903" w:type="dxa"/>
            <w:vMerge w:val="continue"/>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  计</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否 决 项</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组织机构</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7（乙级6项）</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4（乙级3项）</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w:t>
            </w:r>
            <w:r>
              <w:rPr>
                <w:rFonts w:hint="eastAsia" w:ascii="仿宋_GB2312" w:hAnsi="仿宋_GB2312" w:cs="仿宋_GB2312"/>
                <w:bCs/>
                <w:sz w:val="24"/>
                <w:szCs w:val="24"/>
                <w:lang w:val="en-US" w:eastAsia="zh-CN"/>
              </w:rPr>
              <w:t xml:space="preserve">    </w:t>
            </w:r>
            <w:r>
              <w:rPr>
                <w:rFonts w:hint="eastAsia" w:ascii="仿宋_GB2312" w:hAnsi="仿宋_GB2312" w:eastAsia="仿宋_GB2312" w:cs="仿宋_GB2312"/>
                <w:bCs/>
                <w:sz w:val="24"/>
                <w:szCs w:val="24"/>
              </w:rPr>
              <w:t>员</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18</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工作场所</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2528" w:type="dxa"/>
            <w:noWrap w:val="0"/>
            <w:tcMar>
              <w:left w:w="113" w:type="dxa"/>
              <w:right w:w="113"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仪器设备、标准物质</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技术服务能力</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24</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c>
          <w:tcPr>
            <w:tcW w:w="2528"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质量管理体系</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95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09" w:type="dxa"/>
            <w:gridSpan w:val="2"/>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  计</w:t>
            </w:r>
          </w:p>
        </w:tc>
        <w:tc>
          <w:tcPr>
            <w:tcW w:w="9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24</w:t>
            </w:r>
          </w:p>
        </w:tc>
        <w:tc>
          <w:tcPr>
            <w:tcW w:w="1953" w:type="dxa"/>
            <w:noWrap w:val="0"/>
            <w:tcMar>
              <w:left w:w="28" w:type="dxa"/>
              <w:right w:w="28"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79（乙级78项）</w:t>
            </w:r>
          </w:p>
        </w:tc>
        <w:tc>
          <w:tcPr>
            <w:tcW w:w="1886"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11（乙级10项）</w:t>
            </w:r>
          </w:p>
        </w:tc>
        <w:tc>
          <w:tcPr>
            <w:tcW w:w="110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68</w:t>
            </w:r>
          </w:p>
        </w:tc>
      </w:tr>
    </w:tbl>
    <w:p>
      <w:pPr>
        <w:adjustRightInd w:val="0"/>
        <w:snapToGrid w:val="0"/>
        <w:spacing w:line="264" w:lineRule="exact"/>
        <w:ind w:firstLine="0" w:firstLineChars="0"/>
        <w:jc w:val="left"/>
        <w:rPr>
          <w:rFonts w:hint="eastAsia" w:ascii="仿宋_GB2312" w:hAnsi="仿宋_GB2312" w:cs="仿宋_GB2312"/>
          <w:b w:val="0"/>
          <w:bCs/>
          <w:sz w:val="24"/>
          <w:szCs w:val="24"/>
        </w:rPr>
      </w:pPr>
    </w:p>
    <w:p>
      <w:pPr>
        <w:adjustRightInd w:val="0"/>
        <w:snapToGrid w:val="0"/>
        <w:spacing w:line="364" w:lineRule="exact"/>
        <w:ind w:firstLine="560" w:firstLineChars="200"/>
        <w:jc w:val="left"/>
        <w:rPr>
          <w:rFonts w:hint="eastAsia" w:ascii="仿宋_GB2312" w:hAnsi="仿宋_GB2312" w:cs="仿宋_GB2312"/>
          <w:b w:val="0"/>
          <w:bCs/>
          <w:sz w:val="28"/>
          <w:szCs w:val="28"/>
        </w:rPr>
      </w:pPr>
      <w:r>
        <w:rPr>
          <w:rFonts w:hint="eastAsia" w:ascii="仿宋_GB2312" w:hAnsi="仿宋_GB2312" w:cs="仿宋_GB2312"/>
          <w:b w:val="0"/>
          <w:bCs/>
          <w:sz w:val="28"/>
          <w:szCs w:val="28"/>
        </w:rPr>
        <w:t>2.第二类业务范围</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17"/>
        <w:gridCol w:w="894"/>
        <w:gridCol w:w="1981"/>
        <w:gridCol w:w="1888"/>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3" w:type="dxa"/>
            <w:vMerge w:val="restart"/>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517" w:type="dxa"/>
            <w:vMerge w:val="restart"/>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评审要素</w:t>
            </w:r>
          </w:p>
        </w:tc>
        <w:tc>
          <w:tcPr>
            <w:tcW w:w="894" w:type="dxa"/>
            <w:vMerge w:val="restart"/>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w:t>
            </w:r>
          </w:p>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w:t>
            </w:r>
          </w:p>
        </w:tc>
        <w:tc>
          <w:tcPr>
            <w:tcW w:w="4970" w:type="dxa"/>
            <w:gridSpan w:val="3"/>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3" w:type="dxa"/>
            <w:vMerge w:val="continue"/>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p>
        </w:tc>
        <w:tc>
          <w:tcPr>
            <w:tcW w:w="2517" w:type="dxa"/>
            <w:vMerge w:val="continue"/>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p>
        </w:tc>
        <w:tc>
          <w:tcPr>
            <w:tcW w:w="894" w:type="dxa"/>
            <w:vMerge w:val="continue"/>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p>
        </w:tc>
        <w:tc>
          <w:tcPr>
            <w:tcW w:w="19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小  计</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否 决 项</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组织机构</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8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7（乙级6项）</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4（乙级3项）</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w:t>
            </w:r>
            <w:r>
              <w:rPr>
                <w:rFonts w:hint="eastAsia" w:ascii="仿宋_GB2312" w:hAnsi="仿宋_GB2312" w:cs="仿宋_GB2312"/>
                <w:bCs/>
                <w:sz w:val="24"/>
                <w:szCs w:val="24"/>
                <w:lang w:val="en-US" w:eastAsia="zh-CN"/>
              </w:rPr>
              <w:t xml:space="preserve">    </w:t>
            </w:r>
            <w:r>
              <w:rPr>
                <w:rFonts w:hint="eastAsia" w:ascii="仿宋_GB2312" w:hAnsi="仿宋_GB2312" w:eastAsia="仿宋_GB2312" w:cs="仿宋_GB2312"/>
                <w:bCs/>
                <w:sz w:val="24"/>
                <w:szCs w:val="24"/>
              </w:rPr>
              <w:t>员</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16</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工作场所</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13</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2517" w:type="dxa"/>
            <w:noWrap w:val="0"/>
            <w:tcMar>
              <w:left w:w="170" w:type="dxa"/>
              <w:right w:w="170"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仪器设备、标准物质</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7</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技术服务能力</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24</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c>
          <w:tcPr>
            <w:tcW w:w="2517" w:type="dxa"/>
            <w:noWrap w:val="0"/>
            <w:tcMar>
              <w:left w:w="454" w:type="dxa"/>
              <w:right w:w="454" w:type="dxa"/>
            </w:tcMar>
            <w:vAlign w:val="center"/>
          </w:tcPr>
          <w:p>
            <w:pPr>
              <w:adjustRightInd w:val="0"/>
              <w:snapToGrid w:val="0"/>
              <w:spacing w:line="264" w:lineRule="exact"/>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质量管理体系</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981" w:type="dxa"/>
            <w:noWrap w:val="0"/>
            <w:vAlign w:val="center"/>
          </w:tcPr>
          <w:p>
            <w:pPr>
              <w:widowControl/>
              <w:adjustRightInd w:val="0"/>
              <w:snapToGrid w:val="0"/>
              <w:spacing w:line="264"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bidi="ar"/>
              </w:rPr>
              <w:t>8</w:t>
            </w:r>
          </w:p>
        </w:tc>
        <w:tc>
          <w:tcPr>
            <w:tcW w:w="1888"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w:t>
            </w:r>
          </w:p>
        </w:tc>
        <w:tc>
          <w:tcPr>
            <w:tcW w:w="1101"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gridSpan w:val="2"/>
            <w:noWrap w:val="0"/>
            <w:tcMar>
              <w:left w:w="1134" w:type="dxa"/>
              <w:right w:w="1134"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合计</w:t>
            </w:r>
          </w:p>
        </w:tc>
        <w:tc>
          <w:tcPr>
            <w:tcW w:w="894" w:type="dxa"/>
            <w:noWrap w:val="0"/>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24</w:t>
            </w:r>
          </w:p>
        </w:tc>
        <w:tc>
          <w:tcPr>
            <w:tcW w:w="1981" w:type="dxa"/>
            <w:noWrap w:val="0"/>
            <w:tcMar>
              <w:left w:w="57" w:type="dxa"/>
              <w:right w:w="57"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75（乙级74项）</w:t>
            </w:r>
          </w:p>
        </w:tc>
        <w:tc>
          <w:tcPr>
            <w:tcW w:w="1888" w:type="dxa"/>
            <w:noWrap w:val="0"/>
            <w:tcMar>
              <w:left w:w="57" w:type="dxa"/>
              <w:right w:w="57"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11（乙级10项）</w:t>
            </w:r>
          </w:p>
        </w:tc>
        <w:tc>
          <w:tcPr>
            <w:tcW w:w="1101" w:type="dxa"/>
            <w:noWrap w:val="0"/>
            <w:tcMar>
              <w:left w:w="57" w:type="dxa"/>
              <w:right w:w="57" w:type="dxa"/>
            </w:tcMar>
            <w:vAlign w:val="center"/>
          </w:tcPr>
          <w:p>
            <w:pPr>
              <w:adjustRightInd w:val="0"/>
              <w:snapToGrid w:val="0"/>
              <w:spacing w:line="264"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64</w:t>
            </w:r>
          </w:p>
        </w:tc>
      </w:tr>
    </w:tbl>
    <w:p>
      <w:pPr>
        <w:adjustRightInd w:val="0"/>
        <w:snapToGrid w:val="0"/>
        <w:spacing w:line="264" w:lineRule="exact"/>
        <w:ind w:firstLine="0" w:firstLineChars="0"/>
        <w:jc w:val="left"/>
        <w:rPr>
          <w:rFonts w:hint="eastAsia" w:ascii="仿宋_GB2312" w:hAnsi="仿宋_GB2312" w:cs="仿宋_GB2312"/>
          <w:b/>
          <w:bCs w:val="0"/>
          <w:sz w:val="24"/>
          <w:szCs w:val="24"/>
        </w:rPr>
      </w:pPr>
    </w:p>
    <w:p>
      <w:pPr>
        <w:adjustRightInd w:val="0"/>
        <w:snapToGrid w:val="0"/>
        <w:spacing w:line="240" w:lineRule="auto"/>
        <w:ind w:firstLine="643" w:firstLineChars="200"/>
        <w:jc w:val="left"/>
        <w:rPr>
          <w:rFonts w:hint="eastAsia" w:ascii="仿宋_GB2312" w:hAnsi="仿宋_GB2312" w:cs="仿宋_GB2312"/>
          <w:b/>
          <w:bCs w:val="0"/>
          <w:sz w:val="32"/>
          <w:szCs w:val="32"/>
        </w:rPr>
      </w:pPr>
      <w:r>
        <w:rPr>
          <w:rFonts w:hint="eastAsia" w:ascii="仿宋_GB2312" w:hAnsi="仿宋_GB2312" w:cs="仿宋_GB2312"/>
          <w:b/>
          <w:bCs w:val="0"/>
          <w:sz w:val="32"/>
          <w:szCs w:val="32"/>
        </w:rPr>
        <w:t>（二）审定标准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747"/>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38"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评审结论</w:t>
            </w:r>
          </w:p>
        </w:tc>
        <w:tc>
          <w:tcPr>
            <w:tcW w:w="2747"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否 决 项</w:t>
            </w:r>
          </w:p>
        </w:tc>
        <w:tc>
          <w:tcPr>
            <w:tcW w:w="3743"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一 般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38"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通  过</w:t>
            </w:r>
          </w:p>
        </w:tc>
        <w:tc>
          <w:tcPr>
            <w:tcW w:w="2747"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全 部 符 合</w:t>
            </w:r>
          </w:p>
        </w:tc>
        <w:tc>
          <w:tcPr>
            <w:tcW w:w="3743"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不符合项≤5项，且不符合项与基本符合项合计≤10项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038"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不通过</w:t>
            </w:r>
          </w:p>
        </w:tc>
        <w:tc>
          <w:tcPr>
            <w:tcW w:w="2747"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不符合项≥1项</w:t>
            </w:r>
          </w:p>
        </w:tc>
        <w:tc>
          <w:tcPr>
            <w:tcW w:w="3743" w:type="dxa"/>
            <w:noWrap w:val="0"/>
            <w:vAlign w:val="center"/>
          </w:tcPr>
          <w:p>
            <w:pPr>
              <w:adjustRightInd w:val="0"/>
              <w:snapToGrid w:val="0"/>
              <w:spacing w:line="264"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不符合项&gt;5项，或者不符合项与基本符合项合计&gt;10项</w:t>
            </w:r>
          </w:p>
        </w:tc>
      </w:tr>
    </w:tbl>
    <w:p>
      <w:pPr>
        <w:adjustRightInd w:val="0"/>
        <w:snapToGrid w:val="0"/>
        <w:spacing w:line="264" w:lineRule="exact"/>
        <w:jc w:val="left"/>
        <w:rPr>
          <w:sz w:val="24"/>
        </w:rPr>
        <w:sectPr>
          <w:pgSz w:w="11906" w:h="16838"/>
          <w:pgMar w:top="1440" w:right="1797" w:bottom="1440" w:left="1797" w:header="720" w:footer="720"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Cs/>
          <w:kern w:val="2"/>
          <w:sz w:val="24"/>
          <w:szCs w:val="24"/>
        </w:rPr>
        <w:t>注：“否决项”和“一般项”均符合审定标准，评审结论为“通过”。“否决项”或“一般项”不符合审定标准，评审结论为“不通过”。</w:t>
      </w:r>
    </w:p>
    <w:p>
      <w:pPr>
        <w:jc w:val="left"/>
        <w:outlineLvl w:val="0"/>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附录1</w:t>
      </w:r>
    </w:p>
    <w:p>
      <w:pPr>
        <w:keepNext/>
        <w:keepLines/>
        <w:adjustRightInd w:val="0"/>
        <w:snapToGrid w:val="0"/>
        <w:jc w:val="center"/>
        <w:outlineLvl w:val="1"/>
        <w:rPr>
          <w:rFonts w:ascii="华文中宋" w:hAnsi="华文中宋" w:eastAsia="华文中宋"/>
          <w:b/>
          <w:bCs/>
          <w:kern w:val="0"/>
          <w:sz w:val="44"/>
          <w:szCs w:val="36"/>
          <w:shd w:val="clear" w:color="auto" w:fill="FFFFFF"/>
          <w:lang w:bidi="ar"/>
        </w:rPr>
      </w:pPr>
      <w:r>
        <w:rPr>
          <w:rFonts w:ascii="华文中宋" w:hAnsi="华文中宋" w:eastAsia="华文中宋"/>
          <w:b/>
          <w:sz w:val="36"/>
          <w:szCs w:val="36"/>
        </w:rPr>
        <w:t>职业卫生技术服务机构业务范围划分表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992"/>
        <w:gridCol w:w="1102"/>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序号</w:t>
            </w:r>
          </w:p>
        </w:tc>
        <w:tc>
          <w:tcPr>
            <w:tcW w:w="2094" w:type="dxa"/>
            <w:gridSpan w:val="2"/>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业务范围</w:t>
            </w:r>
          </w:p>
        </w:tc>
        <w:tc>
          <w:tcPr>
            <w:tcW w:w="635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具体业务行业领域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992" w:type="dxa"/>
            <w:vMerge w:val="restart"/>
            <w:noWrap w:val="0"/>
            <w:tcMar>
              <w:top w:w="15" w:type="dxa"/>
              <w:left w:w="15" w:type="dxa"/>
              <w:right w:w="15" w:type="dxa"/>
            </w:tcMar>
            <w:vAlign w:val="center"/>
          </w:tcPr>
          <w:p>
            <w:pPr>
              <w:spacing w:line="270" w:lineRule="exact"/>
              <w:jc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 一 类</w:t>
            </w:r>
          </w:p>
          <w:p>
            <w:pPr>
              <w:spacing w:line="270" w:lineRule="exact"/>
              <w:jc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业务范围</w:t>
            </w: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采矿业</w:t>
            </w:r>
          </w:p>
        </w:tc>
        <w:tc>
          <w:tcPr>
            <w:tcW w:w="6353" w:type="dxa"/>
            <w:noWrap w:val="0"/>
            <w:tcMar>
              <w:top w:w="15" w:type="dxa"/>
              <w:left w:w="15" w:type="dxa"/>
              <w:right w:w="15" w:type="dxa"/>
            </w:tcMar>
            <w:vAlign w:val="center"/>
          </w:tcPr>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（1）</w:t>
            </w:r>
            <w:r>
              <w:rPr>
                <w:rFonts w:hint="eastAsia" w:ascii="仿宋_GB2312" w:hAnsi="仿宋_GB2312" w:cs="仿宋_GB2312"/>
                <w:sz w:val="21"/>
                <w:szCs w:val="21"/>
              </w:rPr>
              <w:t>煤炭开采和洗选业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（2）</w:t>
            </w:r>
            <w:r>
              <w:rPr>
                <w:rFonts w:hint="eastAsia" w:ascii="仿宋_GB2312" w:hAnsi="仿宋_GB2312" w:cs="仿宋_GB2312"/>
                <w:sz w:val="21"/>
                <w:szCs w:val="21"/>
              </w:rPr>
              <w:t>黑色金属矿采选业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（3）</w:t>
            </w:r>
            <w:r>
              <w:rPr>
                <w:rFonts w:hint="eastAsia" w:ascii="仿宋_GB2312" w:hAnsi="仿宋_GB2312" w:cs="仿宋_GB2312"/>
                <w:sz w:val="21"/>
                <w:szCs w:val="21"/>
              </w:rPr>
              <w:t>有色金属矿采选业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（4）</w:t>
            </w:r>
            <w:r>
              <w:rPr>
                <w:rFonts w:hint="eastAsia" w:ascii="仿宋_GB2312" w:hAnsi="仿宋_GB2312" w:cs="仿宋_GB2312"/>
                <w:sz w:val="21"/>
                <w:szCs w:val="21"/>
              </w:rPr>
              <w:t>非金属矿采选业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（5）</w:t>
            </w:r>
            <w:r>
              <w:rPr>
                <w:rFonts w:hint="eastAsia" w:ascii="仿宋_GB2312" w:hAnsi="仿宋_GB2312" w:cs="仿宋_GB2312"/>
                <w:sz w:val="21"/>
                <w:szCs w:val="21"/>
              </w:rPr>
              <w:t>开采专业及辅助性活动</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（6）石油和天然气开采业</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（7）</w:t>
            </w:r>
            <w:r>
              <w:rPr>
                <w:rFonts w:hint="eastAsia" w:ascii="仿宋_GB2312" w:hAnsi="仿宋_GB2312" w:cs="仿宋_GB2312"/>
                <w:sz w:val="21"/>
                <w:szCs w:val="21"/>
              </w:rPr>
              <w:t>其他采矿业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2</w:t>
            </w:r>
          </w:p>
        </w:tc>
        <w:tc>
          <w:tcPr>
            <w:tcW w:w="992" w:type="dxa"/>
            <w:vMerge w:val="continue"/>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sz w:val="21"/>
                <w:szCs w:val="21"/>
                <w:shd w:val="clear" w:color="auto" w:fill="FFFFFF"/>
              </w:rPr>
              <w:t>化工、石化及医药</w:t>
            </w:r>
          </w:p>
        </w:tc>
        <w:tc>
          <w:tcPr>
            <w:tcW w:w="6353" w:type="dxa"/>
            <w:noWrap w:val="0"/>
            <w:tcMar>
              <w:top w:w="15" w:type="dxa"/>
              <w:left w:w="15" w:type="dxa"/>
              <w:right w:w="15" w:type="dxa"/>
            </w:tcMar>
            <w:vAlign w:val="center"/>
          </w:tcPr>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（1）</w:t>
            </w:r>
            <w:r>
              <w:rPr>
                <w:rFonts w:hint="eastAsia" w:ascii="仿宋_GB2312" w:hAnsi="仿宋_GB2312" w:cs="仿宋_GB2312"/>
                <w:sz w:val="21"/>
                <w:szCs w:val="21"/>
              </w:rPr>
              <w:t>石油、煤炭及其他燃料加工业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（2）</w:t>
            </w:r>
            <w:r>
              <w:rPr>
                <w:rFonts w:hint="eastAsia" w:ascii="仿宋_GB2312" w:hAnsi="仿宋_GB2312" w:cs="仿宋_GB2312"/>
                <w:sz w:val="21"/>
                <w:szCs w:val="21"/>
              </w:rPr>
              <w:t>化学原料和化学制品制造业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（3）</w:t>
            </w:r>
            <w:r>
              <w:rPr>
                <w:rFonts w:hint="eastAsia" w:ascii="仿宋_GB2312" w:hAnsi="仿宋_GB2312" w:cs="仿宋_GB2312"/>
                <w:sz w:val="21"/>
                <w:szCs w:val="21"/>
              </w:rPr>
              <w:t>医药制造业</w:t>
            </w:r>
          </w:p>
          <w:p>
            <w:pPr>
              <w:spacing w:line="27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（4）</w:t>
            </w:r>
            <w:r>
              <w:rPr>
                <w:rFonts w:hint="eastAsia" w:ascii="仿宋_GB2312" w:hAnsi="仿宋_GB2312" w:cs="仿宋_GB2312"/>
                <w:sz w:val="21"/>
                <w:szCs w:val="21"/>
              </w:rPr>
              <w:t>化学纤维制造业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（5）</w:t>
            </w:r>
            <w:r>
              <w:rPr>
                <w:rFonts w:hint="eastAsia" w:ascii="仿宋_GB2312" w:hAnsi="仿宋_GB2312" w:cs="仿宋_GB2312"/>
                <w:sz w:val="21"/>
                <w:szCs w:val="21"/>
              </w:rPr>
              <w:t>橡胶和塑料制品业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w:t>
            </w:r>
          </w:p>
        </w:tc>
        <w:tc>
          <w:tcPr>
            <w:tcW w:w="992" w:type="dxa"/>
            <w:vMerge w:val="continue"/>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冶金、建材</w:t>
            </w:r>
          </w:p>
        </w:tc>
        <w:tc>
          <w:tcPr>
            <w:tcW w:w="6353" w:type="dxa"/>
            <w:noWrap w:val="0"/>
            <w:tcMar>
              <w:top w:w="15" w:type="dxa"/>
              <w:left w:w="15" w:type="dxa"/>
              <w:right w:w="15" w:type="dxa"/>
            </w:tcMar>
            <w:vAlign w:val="center"/>
          </w:tcPr>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（1）黑色金属冶炼和压延加工业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（2）有色金属冶炼和压延加工业</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（3）非金属矿物制品业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4</w:t>
            </w:r>
          </w:p>
        </w:tc>
        <w:tc>
          <w:tcPr>
            <w:tcW w:w="992" w:type="dxa"/>
            <w:vMerge w:val="continue"/>
            <w:noWrap w:val="0"/>
            <w:tcMar>
              <w:top w:w="15" w:type="dxa"/>
              <w:left w:w="15" w:type="dxa"/>
              <w:right w:w="15" w:type="dxa"/>
            </w:tcMar>
            <w:vAlign w:val="center"/>
          </w:tcPr>
          <w:p>
            <w:pPr>
              <w:spacing w:line="270" w:lineRule="exact"/>
              <w:jc w:val="center"/>
              <w:rPr>
                <w:rFonts w:hint="eastAsia" w:ascii="仿宋_GB2312" w:hAnsi="仿宋_GB2312" w:cs="仿宋_GB2312"/>
                <w:kern w:val="0"/>
                <w:sz w:val="21"/>
                <w:szCs w:val="21"/>
                <w:lang w:bidi="ar"/>
              </w:rPr>
            </w:pPr>
          </w:p>
        </w:tc>
        <w:tc>
          <w:tcPr>
            <w:tcW w:w="1102" w:type="dxa"/>
            <w:noWrap w:val="0"/>
            <w:tcMar>
              <w:top w:w="15" w:type="dxa"/>
              <w:left w:w="15" w:type="dxa"/>
              <w:right w:w="15" w:type="dxa"/>
            </w:tcMar>
            <w:vAlign w:val="center"/>
          </w:tcPr>
          <w:p>
            <w:pPr>
              <w:spacing w:line="270" w:lineRule="exact"/>
              <w:jc w:val="center"/>
              <w:rPr>
                <w:rFonts w:hint="eastAsia" w:ascii="仿宋_GB2312" w:hAnsi="仿宋_GB2312" w:cs="仿宋_GB2312"/>
                <w:kern w:val="0"/>
                <w:sz w:val="21"/>
                <w:szCs w:val="21"/>
                <w:lang w:bidi="ar"/>
              </w:rPr>
            </w:pPr>
            <w:r>
              <w:rPr>
                <w:rFonts w:hint="eastAsia" w:ascii="仿宋_GB2312" w:hAnsi="仿宋_GB2312" w:cs="仿宋_GB2312"/>
                <w:sz w:val="21"/>
                <w:szCs w:val="21"/>
              </w:rPr>
              <w:t>机械制造、电力、纺织、建筑和交通运输等行业领域</w:t>
            </w:r>
          </w:p>
        </w:tc>
        <w:tc>
          <w:tcPr>
            <w:tcW w:w="6353" w:type="dxa"/>
            <w:noWrap w:val="0"/>
            <w:tcMar>
              <w:top w:w="15" w:type="dxa"/>
              <w:left w:w="15" w:type="dxa"/>
              <w:right w:w="15" w:type="dxa"/>
            </w:tcMar>
            <w:vAlign w:val="center"/>
          </w:tcPr>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（1）制造业（</w:t>
            </w:r>
            <w:r>
              <w:rPr>
                <w:rFonts w:hint="eastAsia" w:ascii="仿宋_GB2312" w:hAnsi="仿宋_GB2312" w:cs="仿宋_GB2312"/>
                <w:sz w:val="21"/>
                <w:szCs w:val="21"/>
                <w:shd w:val="clear" w:color="auto" w:fill="FFFFFF"/>
              </w:rPr>
              <w:t>化工、石化及医药、</w:t>
            </w:r>
            <w:r>
              <w:rPr>
                <w:rFonts w:hint="eastAsia" w:ascii="仿宋_GB2312" w:hAnsi="仿宋_GB2312" w:cs="仿宋_GB2312"/>
                <w:kern w:val="0"/>
                <w:sz w:val="21"/>
                <w:szCs w:val="21"/>
                <w:lang w:bidi="ar"/>
              </w:rPr>
              <w:t>冶金、建材</w:t>
            </w:r>
            <w:r>
              <w:rPr>
                <w:rFonts w:hint="eastAsia" w:ascii="仿宋_GB2312" w:hAnsi="仿宋_GB2312" w:cs="仿宋_GB2312"/>
                <w:sz w:val="21"/>
                <w:szCs w:val="21"/>
                <w:shd w:val="clear" w:color="auto" w:fill="FFFFFF"/>
              </w:rPr>
              <w:t>行业</w:t>
            </w:r>
            <w:r>
              <w:rPr>
                <w:rFonts w:hint="eastAsia" w:ascii="仿宋_GB2312" w:hAnsi="仿宋_GB2312" w:cs="仿宋_GB2312"/>
                <w:kern w:val="0"/>
                <w:sz w:val="21"/>
                <w:szCs w:val="21"/>
                <w:lang w:bidi="ar"/>
              </w:rPr>
              <w:t>除外）</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（2）电力、热力、燃气及水生产和供应业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（3）建筑业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（4）交通运输、仓储和邮政业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（5）住宿和餐饮业</w:t>
            </w:r>
          </w:p>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（6）科学研究和技术服务业</w:t>
            </w:r>
          </w:p>
          <w:p>
            <w:pPr>
              <w:spacing w:line="270" w:lineRule="exact"/>
              <w:rPr>
                <w:rFonts w:hint="eastAsia" w:ascii="仿宋_GB2312" w:hAnsi="仿宋_GB2312" w:cs="仿宋_GB2312"/>
                <w:sz w:val="21"/>
                <w:szCs w:val="21"/>
              </w:rPr>
            </w:pPr>
            <w:r>
              <w:rPr>
                <w:rFonts w:hint="eastAsia" w:ascii="仿宋_GB2312" w:hAnsi="仿宋_GB2312" w:cs="仿宋_GB2312"/>
                <w:kern w:val="0"/>
                <w:sz w:val="21"/>
                <w:szCs w:val="21"/>
                <w:lang w:bidi="ar"/>
              </w:rPr>
              <w:t>（7）其他存在职业病危害的行业领域（采矿业、</w:t>
            </w:r>
            <w:r>
              <w:rPr>
                <w:rFonts w:hint="eastAsia" w:ascii="仿宋_GB2312" w:hAnsi="仿宋_GB2312" w:cs="仿宋_GB2312"/>
                <w:sz w:val="21"/>
                <w:szCs w:val="21"/>
                <w:shd w:val="clear" w:color="auto" w:fill="FFFFFF"/>
              </w:rPr>
              <w:t>化工、石化及医药、</w:t>
            </w:r>
            <w:r>
              <w:rPr>
                <w:rFonts w:hint="eastAsia" w:ascii="仿宋_GB2312" w:hAnsi="仿宋_GB2312" w:cs="仿宋_GB2312"/>
                <w:kern w:val="0"/>
                <w:sz w:val="21"/>
                <w:szCs w:val="21"/>
                <w:lang w:bidi="ar"/>
              </w:rPr>
              <w:t>冶金、建材除外）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5</w:t>
            </w:r>
          </w:p>
        </w:tc>
        <w:tc>
          <w:tcPr>
            <w:tcW w:w="992" w:type="dxa"/>
            <w:vMerge w:val="restart"/>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 二 类</w:t>
            </w:r>
          </w:p>
          <w:p>
            <w:pPr>
              <w:widowControl/>
              <w:spacing w:line="27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业务范围</w:t>
            </w: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核设施</w:t>
            </w:r>
          </w:p>
        </w:tc>
        <w:tc>
          <w:tcPr>
            <w:tcW w:w="6353" w:type="dxa"/>
            <w:noWrap w:val="0"/>
            <w:tcMar>
              <w:top w:w="15" w:type="dxa"/>
              <w:left w:w="15" w:type="dxa"/>
              <w:right w:w="15" w:type="dxa"/>
            </w:tcMar>
            <w:vAlign w:val="center"/>
          </w:tcPr>
          <w:p>
            <w:pPr>
              <w:widowControl/>
              <w:spacing w:line="27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（1）核动力厂（核电厂、核热电厂、核供汽供热厂等）和其他反应堆（研究堆、实验堆、临界装置等）</w:t>
            </w:r>
          </w:p>
          <w:p>
            <w:pPr>
              <w:widowControl/>
              <w:spacing w:line="27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（2）核燃料生产、加工、贮存和后处理设施</w:t>
            </w:r>
          </w:p>
          <w:p>
            <w:pPr>
              <w:widowControl/>
              <w:spacing w:line="27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（3）放射性废物的处理和处置设施</w:t>
            </w:r>
          </w:p>
          <w:p>
            <w:pPr>
              <w:widowControl/>
              <w:spacing w:line="270" w:lineRule="exact"/>
              <w:jc w:val="left"/>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（4）50MeV以上中、高能加速器</w:t>
            </w:r>
          </w:p>
          <w:p>
            <w:pPr>
              <w:widowControl/>
              <w:spacing w:line="270" w:lineRule="exact"/>
              <w:jc w:val="left"/>
              <w:rPr>
                <w:rFonts w:hint="eastAsia" w:ascii="仿宋_GB2312" w:hAnsi="仿宋_GB2312" w:cs="仿宋_GB2312"/>
                <w:sz w:val="21"/>
              </w:rPr>
            </w:pPr>
            <w:r>
              <w:rPr>
                <w:rFonts w:hint="eastAsia" w:ascii="仿宋_GB2312" w:hAnsi="仿宋_GB2312" w:cs="仿宋_GB2312"/>
                <w:kern w:val="0"/>
                <w:sz w:val="21"/>
                <w:szCs w:val="21"/>
                <w:lang w:bidi="ar"/>
              </w:rPr>
              <w:t>（5）大型辐照装置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trPr>
        <w:tc>
          <w:tcPr>
            <w:tcW w:w="723"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6</w:t>
            </w:r>
          </w:p>
        </w:tc>
        <w:tc>
          <w:tcPr>
            <w:tcW w:w="992" w:type="dxa"/>
            <w:vMerge w:val="continue"/>
            <w:noWrap w:val="0"/>
            <w:tcMar>
              <w:top w:w="15" w:type="dxa"/>
              <w:left w:w="15" w:type="dxa"/>
              <w:right w:w="15" w:type="dxa"/>
            </w:tcMar>
            <w:vAlign w:val="center"/>
          </w:tcPr>
          <w:p>
            <w:pPr>
              <w:widowControl/>
              <w:spacing w:line="270" w:lineRule="exact"/>
              <w:textAlignment w:val="center"/>
              <w:rPr>
                <w:rFonts w:hint="eastAsia" w:ascii="仿宋_GB2312" w:hAnsi="仿宋_GB2312" w:cs="仿宋_GB2312"/>
                <w:kern w:val="0"/>
                <w:sz w:val="21"/>
                <w:szCs w:val="21"/>
                <w:lang w:bidi="ar"/>
              </w:rPr>
            </w:pPr>
          </w:p>
        </w:tc>
        <w:tc>
          <w:tcPr>
            <w:tcW w:w="1102" w:type="dxa"/>
            <w:noWrap w:val="0"/>
            <w:tcMar>
              <w:top w:w="15" w:type="dxa"/>
              <w:left w:w="15" w:type="dxa"/>
              <w:right w:w="15" w:type="dxa"/>
            </w:tcMar>
            <w:vAlign w:val="center"/>
          </w:tcPr>
          <w:p>
            <w:pPr>
              <w:widowControl/>
              <w:spacing w:line="27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核技术工业应用</w:t>
            </w:r>
          </w:p>
        </w:tc>
        <w:tc>
          <w:tcPr>
            <w:tcW w:w="6353" w:type="dxa"/>
            <w:noWrap w:val="0"/>
            <w:tcMar>
              <w:top w:w="15" w:type="dxa"/>
              <w:left w:w="15" w:type="dxa"/>
              <w:right w:w="15" w:type="dxa"/>
            </w:tcMar>
            <w:vAlign w:val="center"/>
          </w:tcPr>
          <w:p>
            <w:pPr>
              <w:widowControl/>
              <w:spacing w:line="27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（1）工业辐照（大型辐照装置除外）</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（2）工业探伤</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（3）发光涂料工业</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（4）放射性同位素生产</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（5）测井</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（6）加速器运行（50MeV以上中、高能加速器除外）</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（7）行李包、车辆、集装箱等射线安全检查系统</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（8）</w:t>
            </w:r>
            <w:r>
              <w:rPr>
                <w:rFonts w:hint="eastAsia" w:ascii="仿宋_GB2312" w:hAnsi="仿宋_GB2312" w:cs="仿宋_GB2312"/>
                <w:sz w:val="21"/>
                <w:szCs w:val="21"/>
              </w:rPr>
              <w:t>伴生放射性矿</w:t>
            </w:r>
          </w:p>
          <w:p>
            <w:pPr>
              <w:widowControl/>
              <w:spacing w:line="27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（9）</w:t>
            </w:r>
            <w:r>
              <w:rPr>
                <w:rFonts w:hint="eastAsia" w:ascii="仿宋_GB2312" w:hAnsi="仿宋_GB2312" w:cs="仿宋_GB2312"/>
                <w:sz w:val="21"/>
                <w:szCs w:val="21"/>
              </w:rPr>
              <w:t>离子注入、静电消除、电子束焊接等</w:t>
            </w:r>
            <w:r>
              <w:rPr>
                <w:rFonts w:hint="eastAsia" w:ascii="仿宋_GB2312" w:hAnsi="仿宋_GB2312" w:cs="仿宋_GB2312"/>
                <w:kern w:val="0"/>
                <w:sz w:val="21"/>
                <w:szCs w:val="21"/>
                <w:lang w:bidi="ar"/>
              </w:rPr>
              <w:t>其它核技术工业应用</w:t>
            </w:r>
          </w:p>
        </w:tc>
      </w:tr>
    </w:tbl>
    <w:p>
      <w:pPr>
        <w:adjustRightInd w:val="0"/>
        <w:snapToGrid w:val="0"/>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cs="仿宋_GB2312"/>
          <w:kern w:val="0"/>
          <w:sz w:val="21"/>
          <w:szCs w:val="21"/>
        </w:rPr>
        <w:t>注：1.取得相关资质、业务范围须满足仪器设备配备要求（附录3）和检测能力要求（附录4、5）</w:t>
      </w:r>
      <w:r>
        <w:rPr>
          <w:rFonts w:hint="eastAsia" w:ascii="仿宋_GB2312" w:hAnsi="仿宋_GB2312" w:cs="仿宋_GB2312"/>
          <w:kern w:val="0"/>
          <w:sz w:val="21"/>
          <w:szCs w:val="21"/>
          <w:lang w:eastAsia="zh-CN"/>
        </w:rPr>
        <w:t>。</w:t>
      </w:r>
    </w:p>
    <w:p>
      <w:pPr>
        <w:adjustRightInd w:val="0"/>
        <w:snapToGrid w:val="0"/>
        <w:spacing w:line="340" w:lineRule="exact"/>
        <w:ind w:firstLine="420" w:firstLineChars="200"/>
        <w:jc w:val="left"/>
        <w:rPr>
          <w:rFonts w:hint="eastAsia" w:ascii="仿宋_GB2312" w:hAnsi="仿宋_GB2312" w:eastAsia="仿宋_GB2312" w:cs="仿宋_GB2312"/>
          <w:sz w:val="21"/>
          <w:lang w:eastAsia="zh-CN"/>
        </w:rPr>
      </w:pPr>
      <w:r>
        <w:rPr>
          <w:rFonts w:hint="eastAsia" w:ascii="仿宋_GB2312" w:hAnsi="仿宋_GB2312" w:cs="仿宋_GB2312"/>
          <w:sz w:val="21"/>
          <w:lang w:bidi="ar"/>
        </w:rPr>
        <w:t>2.将</w:t>
      </w:r>
      <w:r>
        <w:rPr>
          <w:rFonts w:hint="eastAsia" w:ascii="仿宋_GB2312" w:hAnsi="仿宋_GB2312" w:cs="仿宋_GB2312"/>
          <w:sz w:val="21"/>
        </w:rPr>
        <w:t>50MeV以上中、高能加速器和大型辐照装置行业领域按照核设施管理</w:t>
      </w:r>
      <w:r>
        <w:rPr>
          <w:rFonts w:hint="eastAsia" w:ascii="仿宋_GB2312" w:hAnsi="仿宋_GB2312" w:cs="仿宋_GB2312"/>
          <w:sz w:val="21"/>
          <w:lang w:eastAsia="zh-CN"/>
        </w:rPr>
        <w:t>，</w:t>
      </w:r>
      <w:r>
        <w:rPr>
          <w:rFonts w:hint="eastAsia" w:ascii="仿宋_GB2312" w:hAnsi="仿宋_GB2312" w:cs="仿宋_GB2312"/>
          <w:sz w:val="21"/>
        </w:rPr>
        <w:t>将</w:t>
      </w:r>
      <w:r>
        <w:rPr>
          <w:rFonts w:hint="eastAsia" w:ascii="仿宋_GB2312" w:hAnsi="仿宋_GB2312" w:cs="仿宋_GB2312"/>
          <w:sz w:val="21"/>
          <w:szCs w:val="21"/>
        </w:rPr>
        <w:t>伴生放射性矿</w:t>
      </w:r>
      <w:r>
        <w:rPr>
          <w:rFonts w:hint="eastAsia" w:ascii="仿宋_GB2312" w:hAnsi="仿宋_GB2312" w:cs="仿宋_GB2312"/>
          <w:sz w:val="21"/>
        </w:rPr>
        <w:t>行业领域按照</w:t>
      </w:r>
      <w:r>
        <w:rPr>
          <w:rFonts w:hint="eastAsia" w:ascii="仿宋_GB2312" w:hAnsi="仿宋_GB2312" w:cs="仿宋_GB2312"/>
          <w:kern w:val="0"/>
          <w:sz w:val="21"/>
          <w:szCs w:val="21"/>
          <w:lang w:bidi="ar"/>
        </w:rPr>
        <w:t>核技术工业应用</w:t>
      </w:r>
      <w:r>
        <w:rPr>
          <w:rFonts w:hint="eastAsia" w:ascii="仿宋_GB2312" w:hAnsi="仿宋_GB2312" w:cs="仿宋_GB2312"/>
          <w:sz w:val="21"/>
        </w:rPr>
        <w:t>管理</w:t>
      </w:r>
      <w:r>
        <w:rPr>
          <w:rFonts w:hint="eastAsia" w:ascii="仿宋_GB2312" w:hAnsi="仿宋_GB2312" w:cs="仿宋_GB2312"/>
          <w:sz w:val="21"/>
          <w:lang w:eastAsia="zh-CN"/>
        </w:rPr>
        <w:t>。</w:t>
      </w:r>
      <w:bookmarkStart w:id="0" w:name="_GoBack"/>
      <w:bookmarkEnd w:id="0"/>
    </w:p>
    <w:p>
      <w:pPr>
        <w:adjustRightInd w:val="0"/>
        <w:snapToGrid w:val="0"/>
        <w:spacing w:line="340" w:lineRule="exact"/>
        <w:ind w:firstLine="420" w:firstLineChars="200"/>
        <w:jc w:val="left"/>
        <w:rPr>
          <w:rFonts w:eastAsia="黑体"/>
          <w:b/>
          <w:bCs/>
          <w:szCs w:val="32"/>
          <w:shd w:val="clear" w:color="auto" w:fill="FFFFFF"/>
          <w:lang w:bidi="ar"/>
        </w:rPr>
      </w:pPr>
      <w:r>
        <w:rPr>
          <w:rFonts w:hint="eastAsia" w:ascii="仿宋_GB2312" w:hAnsi="仿宋_GB2312" w:cs="仿宋_GB2312"/>
          <w:sz w:val="21"/>
        </w:rPr>
        <w:t>3.</w:t>
      </w:r>
      <w:r>
        <w:rPr>
          <w:rFonts w:hint="eastAsia" w:ascii="仿宋_GB2312" w:hAnsi="仿宋_GB2312" w:cs="仿宋_GB2312"/>
          <w:sz w:val="21"/>
          <w:lang w:bidi="ar"/>
        </w:rPr>
        <w:t>具体业务行业领域按照《国民经济行业分类》（GB/T 4754—2017）执行。</w:t>
      </w:r>
      <w:r>
        <w:rPr>
          <w:rFonts w:hint="eastAsia" w:ascii="仿宋_GB2312" w:hAnsi="仿宋_GB2312" w:cs="仿宋_GB2312"/>
          <w:sz w:val="21"/>
          <w:lang w:bidi="ar"/>
        </w:rPr>
        <w:br w:type="page"/>
      </w:r>
      <w:r>
        <w:rPr>
          <w:rFonts w:hint="eastAsia" w:eastAsia="黑体"/>
          <w:szCs w:val="32"/>
          <w:shd w:val="clear" w:color="auto" w:fill="FFFFFF"/>
          <w:lang w:bidi="ar"/>
        </w:rPr>
        <w:t>附录2</w:t>
      </w:r>
    </w:p>
    <w:p>
      <w:pPr>
        <w:jc w:val="center"/>
        <w:rPr>
          <w:rFonts w:ascii="华文中宋" w:hAnsi="华文中宋" w:eastAsia="华文中宋"/>
          <w:b/>
          <w:sz w:val="36"/>
          <w:szCs w:val="36"/>
        </w:rPr>
      </w:pPr>
      <w:r>
        <w:rPr>
          <w:rFonts w:ascii="华文中宋" w:hAnsi="华文中宋" w:eastAsia="华文中宋"/>
          <w:b/>
          <w:sz w:val="36"/>
          <w:szCs w:val="36"/>
        </w:rPr>
        <w:t>职业卫生技术服务机构专业技术人员要求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5"/>
        <w:gridCol w:w="804"/>
        <w:gridCol w:w="805"/>
        <w:gridCol w:w="2100"/>
        <w:gridCol w:w="2102"/>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975" w:type="dxa"/>
            <w:vMerge w:val="restart"/>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类别</w:t>
            </w:r>
          </w:p>
        </w:tc>
        <w:tc>
          <w:tcPr>
            <w:tcW w:w="1609" w:type="dxa"/>
            <w:gridSpan w:val="2"/>
            <w:noWrap w:val="0"/>
            <w:vAlign w:val="center"/>
          </w:tcPr>
          <w:p>
            <w:pPr>
              <w:widowControl/>
              <w:spacing w:line="260" w:lineRule="exact"/>
              <w:jc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数量要求</w:t>
            </w:r>
          </w:p>
        </w:tc>
        <w:tc>
          <w:tcPr>
            <w:tcW w:w="4202" w:type="dxa"/>
            <w:gridSpan w:val="2"/>
            <w:noWrap w:val="0"/>
            <w:vAlign w:val="center"/>
          </w:tcPr>
          <w:p>
            <w:pPr>
              <w:widowControl/>
              <w:spacing w:line="260" w:lineRule="exact"/>
              <w:jc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人员条件要求</w:t>
            </w:r>
          </w:p>
        </w:tc>
        <w:tc>
          <w:tcPr>
            <w:tcW w:w="2384" w:type="dxa"/>
            <w:vMerge w:val="restart"/>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975" w:type="dxa"/>
            <w:vMerge w:val="continue"/>
            <w:noWrap w:val="0"/>
            <w:vAlign w:val="center"/>
          </w:tcPr>
          <w:p>
            <w:pPr>
              <w:widowControl/>
              <w:spacing w:line="260" w:lineRule="exact"/>
              <w:jc w:val="center"/>
              <w:rPr>
                <w:rFonts w:hint="eastAsia" w:ascii="仿宋_GB2312" w:hAnsi="仿宋_GB2312" w:cs="仿宋_GB2312"/>
                <w:b/>
                <w:sz w:val="21"/>
                <w:szCs w:val="21"/>
              </w:rPr>
            </w:pPr>
          </w:p>
        </w:tc>
        <w:tc>
          <w:tcPr>
            <w:tcW w:w="804" w:type="dxa"/>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甲级</w:t>
            </w:r>
          </w:p>
        </w:tc>
        <w:tc>
          <w:tcPr>
            <w:tcW w:w="805" w:type="dxa"/>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乙级</w:t>
            </w:r>
          </w:p>
        </w:tc>
        <w:tc>
          <w:tcPr>
            <w:tcW w:w="2100" w:type="dxa"/>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甲级</w:t>
            </w:r>
          </w:p>
        </w:tc>
        <w:tc>
          <w:tcPr>
            <w:tcW w:w="2102" w:type="dxa"/>
            <w:noWrap w:val="0"/>
            <w:vAlign w:val="center"/>
          </w:tcPr>
          <w:p>
            <w:pPr>
              <w:widowControl/>
              <w:spacing w:line="26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乙级</w:t>
            </w:r>
          </w:p>
        </w:tc>
        <w:tc>
          <w:tcPr>
            <w:tcW w:w="2384" w:type="dxa"/>
            <w:vMerge w:val="continue"/>
            <w:noWrap w:val="0"/>
            <w:vAlign w:val="center"/>
          </w:tcPr>
          <w:p>
            <w:pPr>
              <w:widowControl/>
              <w:spacing w:line="260" w:lineRule="exact"/>
              <w:jc w:val="center"/>
              <w:rPr>
                <w:rFonts w:hint="eastAsia" w:ascii="仿宋_GB2312" w:hAnsi="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3"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技术负责人</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2100"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具有高级专业技术职称和五年以上职业卫生（放射卫生）检测、评价相关工作经验的专职人员，年龄不得超过65周岁。</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具有高级专业技术职称和三年以上职业卫生（或放射卫生）检测、评价相关工作经验，或者中级专业技术职称和八年以上职业卫生（或放射卫生）检测、评价相关工作经验的专职人员，年龄不得超过65周岁。</w:t>
            </w:r>
          </w:p>
        </w:tc>
        <w:tc>
          <w:tcPr>
            <w:tcW w:w="2384" w:type="dxa"/>
            <w:noWrap w:val="0"/>
            <w:vAlign w:val="center"/>
          </w:tcPr>
          <w:p>
            <w:pPr>
              <w:widowControl/>
              <w:spacing w:line="280" w:lineRule="exact"/>
              <w:jc w:val="left"/>
              <w:rPr>
                <w:rFonts w:hint="eastAsia" w:ascii="仿宋_GB2312" w:hAnsi="仿宋_GB2312" w:cs="仿宋_GB2312"/>
                <w:sz w:val="21"/>
                <w:szCs w:val="21"/>
              </w:rPr>
            </w:pPr>
            <w:r>
              <w:rPr>
                <w:rFonts w:hint="eastAsia" w:ascii="仿宋_GB2312" w:hAnsi="仿宋_GB2312" w:cs="仿宋_GB2312"/>
                <w:kern w:val="0"/>
                <w:sz w:val="21"/>
                <w:szCs w:val="21"/>
                <w:lang w:bidi="ar"/>
              </w:rPr>
              <w:t>第一类业务范围设置职业卫生检测技术负责人、职业卫生评价技术负责人。第二类业务范围设置放射卫生技术负责人。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9"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质量控制负责人</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4202" w:type="dxa"/>
            <w:gridSpan w:val="2"/>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具有高级专业技术职称和三年以上质量管理相关工作经验，或者中级专业技术职称和五年以上质量管理相关工作经验，具有建立、维护和保证质量管理体系有效运行的能力和权力的专职人员。</w:t>
            </w:r>
          </w:p>
        </w:tc>
        <w:tc>
          <w:tcPr>
            <w:tcW w:w="2384" w:type="dxa"/>
            <w:noWrap w:val="0"/>
            <w:vAlign w:val="center"/>
          </w:tcPr>
          <w:p>
            <w:pPr>
              <w:widowControl/>
              <w:spacing w:line="260"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专业技术人员总数</w:t>
            </w:r>
          </w:p>
        </w:tc>
        <w:tc>
          <w:tcPr>
            <w:tcW w:w="804"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≥30</w:t>
            </w:r>
          </w:p>
        </w:tc>
        <w:tc>
          <w:tcPr>
            <w:tcW w:w="805"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≥15</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w:t>
            </w:r>
            <w:r>
              <w:rPr>
                <w:rFonts w:hint="eastAsia" w:ascii="仿宋_GB2312" w:hAnsi="仿宋_GB2312" w:cs="仿宋_GB2312"/>
                <w:kern w:val="0"/>
                <w:sz w:val="21"/>
                <w:szCs w:val="21"/>
                <w:lang w:val="en-US" w:eastAsia="zh-CN" w:bidi="ar"/>
              </w:rPr>
              <w:t>五</w:t>
            </w:r>
            <w:r>
              <w:rPr>
                <w:rFonts w:hint="eastAsia" w:ascii="仿宋_GB2312" w:hAnsi="仿宋_GB2312" w:cs="仿宋_GB2312"/>
                <w:kern w:val="0"/>
                <w:sz w:val="21"/>
                <w:szCs w:val="21"/>
                <w:lang w:bidi="ar"/>
              </w:rPr>
              <w:t>名；中级及以上技术职称或同等能力专业技术人员不少于专业技术人员总数的40%。</w:t>
            </w:r>
          </w:p>
        </w:tc>
        <w:tc>
          <w:tcPr>
            <w:tcW w:w="2102"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高级专业技术职称或同等能力专业技术人员不少于三名；中级及以上技术职称或同等能力专业技术人员不少于专业技术人员总数的30%。</w:t>
            </w:r>
          </w:p>
        </w:tc>
        <w:tc>
          <w:tcPr>
            <w:tcW w:w="2384" w:type="dxa"/>
            <w:noWrap w:val="0"/>
            <w:vAlign w:val="center"/>
          </w:tcPr>
          <w:p>
            <w:pPr>
              <w:widowControl/>
              <w:spacing w:line="260" w:lineRule="exact"/>
              <w:jc w:val="left"/>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职业卫生检测专业技术人员</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≥10</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≥5</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p>
        </w:tc>
        <w:tc>
          <w:tcPr>
            <w:tcW w:w="2384"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职业卫生评价专业技术人员</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≥10</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≥5</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p>
        </w:tc>
        <w:tc>
          <w:tcPr>
            <w:tcW w:w="2384"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放射卫生检测、评价人员</w:t>
            </w:r>
          </w:p>
        </w:tc>
        <w:tc>
          <w:tcPr>
            <w:tcW w:w="804"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≥10</w:t>
            </w:r>
          </w:p>
        </w:tc>
        <w:tc>
          <w:tcPr>
            <w:tcW w:w="805"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≥5</w:t>
            </w:r>
          </w:p>
        </w:tc>
        <w:tc>
          <w:tcPr>
            <w:tcW w:w="2100"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高级专业技术职称或同等能力专业技术人员不少于三名。</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高级专业技术职称或同等能力专业技术人员不少于一名。</w:t>
            </w:r>
          </w:p>
        </w:tc>
        <w:tc>
          <w:tcPr>
            <w:tcW w:w="2384"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第二类业务范围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职业卫生工程技术人员</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≥1</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高级专业技术职称或同等能力专业技术人员不少于一名。</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p>
        </w:tc>
        <w:tc>
          <w:tcPr>
            <w:tcW w:w="2384"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1"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公共卫生专业人员</w:t>
            </w:r>
          </w:p>
        </w:tc>
        <w:tc>
          <w:tcPr>
            <w:tcW w:w="804"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≥3</w:t>
            </w:r>
          </w:p>
        </w:tc>
        <w:tc>
          <w:tcPr>
            <w:tcW w:w="805" w:type="dxa"/>
            <w:noWrap w:val="0"/>
            <w:vAlign w:val="center"/>
          </w:tcPr>
          <w:p>
            <w:pPr>
              <w:widowControl/>
              <w:spacing w:line="26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≥2</w:t>
            </w:r>
          </w:p>
        </w:tc>
        <w:tc>
          <w:tcPr>
            <w:tcW w:w="2100" w:type="dxa"/>
            <w:noWrap w:val="0"/>
            <w:vAlign w:val="center"/>
          </w:tcPr>
          <w:p>
            <w:pPr>
              <w:widowControl/>
              <w:spacing w:line="26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高级专业技术职称或同等能力专业技术人员不少于一名。</w:t>
            </w:r>
          </w:p>
        </w:tc>
        <w:tc>
          <w:tcPr>
            <w:tcW w:w="2102" w:type="dxa"/>
            <w:noWrap w:val="0"/>
            <w:vAlign w:val="center"/>
          </w:tcPr>
          <w:p>
            <w:pPr>
              <w:widowControl/>
              <w:spacing w:line="26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中级及以上专业技术职称或同等能力专业技术人员不少于一名。</w:t>
            </w:r>
          </w:p>
        </w:tc>
        <w:tc>
          <w:tcPr>
            <w:tcW w:w="2384" w:type="dxa"/>
            <w:noWrap w:val="0"/>
            <w:vAlign w:val="center"/>
          </w:tcPr>
          <w:p>
            <w:pPr>
              <w:widowControl/>
              <w:spacing w:line="260" w:lineRule="exact"/>
              <w:jc w:val="left"/>
              <w:textAlignment w:val="center"/>
              <w:rPr>
                <w:rFonts w:hint="eastAsia"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975" w:type="dxa"/>
            <w:noWrap w:val="0"/>
            <w:vAlign w:val="center"/>
          </w:tcPr>
          <w:p>
            <w:pPr>
              <w:widowControl/>
              <w:spacing w:line="260" w:lineRule="exact"/>
              <w:jc w:val="center"/>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行业工程技术人员</w:t>
            </w:r>
          </w:p>
        </w:tc>
        <w:tc>
          <w:tcPr>
            <w:tcW w:w="804" w:type="dxa"/>
            <w:noWrap w:val="0"/>
            <w:vAlign w:val="center"/>
          </w:tcPr>
          <w:p>
            <w:pPr>
              <w:widowControl/>
              <w:spacing w:line="28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rPr>
              <w:t>一个“</w:t>
            </w:r>
            <w:r>
              <w:rPr>
                <w:rFonts w:hint="eastAsia" w:ascii="仿宋_GB2312" w:hAnsi="仿宋_GB2312" w:cs="仿宋_GB2312"/>
                <w:kern w:val="0"/>
                <w:sz w:val="21"/>
                <w:szCs w:val="21"/>
              </w:rPr>
              <w:sym w:font="Wingdings" w:char="006C"/>
            </w:r>
            <w:r>
              <w:rPr>
                <w:rFonts w:hint="eastAsia" w:ascii="仿宋_GB2312" w:hAnsi="仿宋_GB2312" w:cs="仿宋_GB2312"/>
                <w:kern w:val="0"/>
                <w:sz w:val="21"/>
                <w:szCs w:val="21"/>
              </w:rPr>
              <w:t>”应至少配备一名行业工程技术人员；一个“</w:t>
            </w:r>
            <w:r>
              <w:rPr>
                <w:rFonts w:hint="eastAsia" w:ascii="仿宋_GB2312" w:hAnsi="仿宋_GB2312" w:cs="仿宋_GB2312"/>
                <w:kern w:val="0"/>
                <w:sz w:val="21"/>
                <w:szCs w:val="21"/>
              </w:rPr>
              <w:sym w:font="Wingdings" w:char="0075"/>
            </w:r>
            <w:r>
              <w:rPr>
                <w:rFonts w:hint="eastAsia" w:ascii="仿宋_GB2312" w:hAnsi="仿宋_GB2312" w:cs="仿宋_GB2312"/>
                <w:kern w:val="0"/>
                <w:sz w:val="21"/>
                <w:szCs w:val="21"/>
              </w:rPr>
              <w:t>”应至少配备两名行业工程技术人员。</w:t>
            </w:r>
          </w:p>
        </w:tc>
        <w:tc>
          <w:tcPr>
            <w:tcW w:w="805" w:type="dxa"/>
            <w:noWrap w:val="0"/>
            <w:vAlign w:val="center"/>
          </w:tcPr>
          <w:p>
            <w:pPr>
              <w:widowControl/>
              <w:spacing w:line="28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rPr>
              <w:t>一个“</w:t>
            </w:r>
            <w:r>
              <w:rPr>
                <w:rFonts w:hint="eastAsia" w:ascii="仿宋_GB2312" w:hAnsi="仿宋_GB2312" w:cs="仿宋_GB2312"/>
                <w:kern w:val="0"/>
                <w:sz w:val="21"/>
                <w:szCs w:val="21"/>
              </w:rPr>
              <w:sym w:font="Wingdings" w:char="006C"/>
            </w:r>
            <w:r>
              <w:rPr>
                <w:rFonts w:hint="eastAsia" w:ascii="仿宋_GB2312" w:hAnsi="仿宋_GB2312" w:cs="仿宋_GB2312"/>
                <w:kern w:val="0"/>
                <w:sz w:val="21"/>
                <w:szCs w:val="21"/>
              </w:rPr>
              <w:t>”或“</w:t>
            </w:r>
            <w:r>
              <w:rPr>
                <w:rFonts w:hint="eastAsia" w:ascii="仿宋_GB2312" w:hAnsi="仿宋_GB2312" w:cs="仿宋_GB2312"/>
                <w:kern w:val="0"/>
                <w:sz w:val="21"/>
                <w:szCs w:val="21"/>
              </w:rPr>
              <w:sym w:font="Wingdings" w:char="0075"/>
            </w:r>
            <w:r>
              <w:rPr>
                <w:rFonts w:hint="eastAsia" w:ascii="仿宋_GB2312" w:hAnsi="仿宋_GB2312" w:cs="仿宋_GB2312"/>
                <w:kern w:val="0"/>
                <w:sz w:val="21"/>
                <w:szCs w:val="21"/>
              </w:rPr>
              <w:t>”应至少配备一名行业工程技术人员。</w:t>
            </w:r>
          </w:p>
        </w:tc>
        <w:tc>
          <w:tcPr>
            <w:tcW w:w="4202" w:type="dxa"/>
            <w:gridSpan w:val="2"/>
            <w:noWrap w:val="0"/>
            <w:vAlign w:val="center"/>
          </w:tcPr>
          <w:p>
            <w:pPr>
              <w:spacing w:line="280" w:lineRule="exact"/>
              <w:rPr>
                <w:rFonts w:hint="eastAsia" w:ascii="仿宋_GB2312" w:hAnsi="仿宋_GB2312" w:cs="仿宋_GB2312"/>
                <w:sz w:val="21"/>
                <w:szCs w:val="21"/>
              </w:rPr>
            </w:pPr>
            <w:r>
              <w:rPr>
                <w:rFonts w:hint="eastAsia" w:ascii="仿宋_GB2312" w:hAnsi="仿宋_GB2312" w:cs="仿宋_GB2312"/>
                <w:sz w:val="21"/>
                <w:szCs w:val="21"/>
              </w:rPr>
              <w:t>每项业务范围应配备本科及以上学历行业工程技术人员，专业要求：</w:t>
            </w:r>
          </w:p>
          <w:p>
            <w:pPr>
              <w:spacing w:line="280" w:lineRule="exact"/>
              <w:rPr>
                <w:rFonts w:hint="eastAsia" w:ascii="仿宋_GB2312" w:hAnsi="仿宋_GB2312" w:cs="仿宋_GB2312"/>
                <w:sz w:val="21"/>
                <w:szCs w:val="21"/>
              </w:rPr>
            </w:pPr>
            <w:r>
              <w:rPr>
                <w:rFonts w:hint="eastAsia" w:ascii="仿宋_GB2312" w:hAnsi="仿宋_GB2312" w:cs="仿宋_GB2312"/>
                <w:kern w:val="0"/>
                <w:sz w:val="21"/>
                <w:szCs w:val="21"/>
                <w:lang w:bidi="ar"/>
              </w:rPr>
              <w:t>1.采矿业：</w:t>
            </w:r>
            <w:r>
              <w:rPr>
                <w:rFonts w:hint="eastAsia" w:ascii="仿宋_GB2312" w:hAnsi="仿宋_GB2312" w:cs="仿宋_GB2312"/>
                <w:sz w:val="21"/>
                <w:szCs w:val="21"/>
              </w:rPr>
              <w:sym w:font="Wingdings" w:char="006C"/>
            </w:r>
            <w:r>
              <w:rPr>
                <w:rFonts w:hint="eastAsia" w:ascii="仿宋_GB2312" w:hAnsi="仿宋_GB2312" w:cs="仿宋_GB2312"/>
                <w:sz w:val="21"/>
                <w:szCs w:val="21"/>
              </w:rPr>
              <w:t>矿业类专业；</w:t>
            </w:r>
          </w:p>
          <w:p>
            <w:pPr>
              <w:spacing w:line="280" w:lineRule="exact"/>
              <w:rPr>
                <w:rFonts w:hint="eastAsia" w:ascii="仿宋_GB2312" w:hAnsi="仿宋_GB2312" w:cs="仿宋_GB2312"/>
                <w:sz w:val="21"/>
                <w:szCs w:val="21"/>
              </w:rPr>
            </w:pPr>
            <w:r>
              <w:rPr>
                <w:rFonts w:hint="eastAsia" w:ascii="仿宋_GB2312" w:hAnsi="仿宋_GB2312" w:cs="仿宋_GB2312"/>
                <w:sz w:val="21"/>
                <w:szCs w:val="21"/>
              </w:rPr>
              <w:t>2.化工、石化及医药：</w:t>
            </w:r>
            <w:r>
              <w:rPr>
                <w:rFonts w:hint="eastAsia" w:ascii="仿宋_GB2312" w:hAnsi="仿宋_GB2312" w:cs="仿宋_GB2312"/>
                <w:sz w:val="21"/>
                <w:szCs w:val="21"/>
              </w:rPr>
              <w:sym w:font="Wingdings" w:char="006C"/>
            </w:r>
            <w:r>
              <w:rPr>
                <w:rFonts w:hint="eastAsia" w:ascii="仿宋_GB2312" w:hAnsi="仿宋_GB2312" w:cs="仿宋_GB2312"/>
                <w:sz w:val="21"/>
                <w:szCs w:val="21"/>
              </w:rPr>
              <w:t>化工与制药类专业；</w:t>
            </w:r>
          </w:p>
          <w:p>
            <w:pPr>
              <w:spacing w:line="280" w:lineRule="exact"/>
              <w:rPr>
                <w:rFonts w:hint="eastAsia" w:ascii="仿宋_GB2312" w:hAnsi="仿宋_GB2312" w:cs="仿宋_GB2312"/>
                <w:sz w:val="21"/>
                <w:szCs w:val="21"/>
              </w:rPr>
            </w:pPr>
            <w:r>
              <w:rPr>
                <w:rFonts w:hint="eastAsia" w:ascii="仿宋_GB2312" w:hAnsi="仿宋_GB2312" w:cs="仿宋_GB2312"/>
                <w:sz w:val="21"/>
                <w:szCs w:val="21"/>
              </w:rPr>
              <w:t>3.冶金、建材：</w:t>
            </w:r>
            <w:r>
              <w:rPr>
                <w:rFonts w:hint="eastAsia" w:ascii="仿宋_GB2312" w:hAnsi="仿宋_GB2312" w:cs="仿宋_GB2312"/>
                <w:sz w:val="21"/>
                <w:szCs w:val="21"/>
              </w:rPr>
              <w:sym w:font="Wingdings" w:char="006C"/>
            </w:r>
            <w:r>
              <w:rPr>
                <w:rFonts w:hint="eastAsia" w:ascii="仿宋_GB2312" w:hAnsi="仿宋_GB2312" w:cs="仿宋_GB2312"/>
                <w:sz w:val="21"/>
                <w:szCs w:val="21"/>
              </w:rPr>
              <w:t>材料类专业；</w:t>
            </w:r>
          </w:p>
          <w:p>
            <w:pPr>
              <w:spacing w:line="280" w:lineRule="exact"/>
              <w:rPr>
                <w:rFonts w:hint="eastAsia" w:ascii="仿宋_GB2312" w:hAnsi="仿宋_GB2312" w:cs="仿宋_GB2312"/>
                <w:sz w:val="21"/>
                <w:szCs w:val="21"/>
              </w:rPr>
            </w:pPr>
            <w:r>
              <w:rPr>
                <w:rFonts w:hint="eastAsia" w:ascii="仿宋_GB2312" w:hAnsi="仿宋_GB2312" w:cs="仿宋_GB2312"/>
                <w:sz w:val="21"/>
                <w:szCs w:val="21"/>
              </w:rPr>
              <w:t>4.机械设备制造、电力、建筑和交通运输等行业：</w:t>
            </w:r>
            <w:r>
              <w:rPr>
                <w:rFonts w:hint="eastAsia" w:ascii="仿宋_GB2312" w:hAnsi="仿宋_GB2312" w:cs="仿宋_GB2312"/>
                <w:sz w:val="21"/>
                <w:szCs w:val="21"/>
              </w:rPr>
              <w:sym w:font="Wingdings" w:char="0075"/>
            </w:r>
            <w:r>
              <w:rPr>
                <w:rFonts w:hint="eastAsia" w:ascii="仿宋_GB2312" w:hAnsi="仿宋_GB2312" w:cs="仿宋_GB2312"/>
                <w:sz w:val="21"/>
                <w:szCs w:val="21"/>
              </w:rPr>
              <w:t>机械类、仪器类、建筑类、能源动力类、电气类、电子信息类、自动化类、土木类、水利类、地质类、纺织类、轻工类、交通运输类、海洋工程类、航空航天类、兵器类、农业工程类、林业工程类、环境科学与工程类、食品科学与工程类、安全科学与工程类等专业；</w:t>
            </w:r>
          </w:p>
          <w:p>
            <w:pPr>
              <w:spacing w:line="280" w:lineRule="exact"/>
              <w:rPr>
                <w:rFonts w:hint="eastAsia" w:ascii="仿宋_GB2312" w:hAnsi="仿宋_GB2312" w:cs="仿宋_GB2312"/>
                <w:sz w:val="21"/>
                <w:szCs w:val="21"/>
              </w:rPr>
            </w:pPr>
            <w:r>
              <w:rPr>
                <w:rFonts w:hint="eastAsia" w:ascii="仿宋_GB2312" w:hAnsi="仿宋_GB2312" w:cs="仿宋_GB2312"/>
                <w:sz w:val="21"/>
                <w:szCs w:val="21"/>
              </w:rPr>
              <w:t>5.核设施：</w:t>
            </w:r>
            <w:r>
              <w:rPr>
                <w:rFonts w:hint="eastAsia" w:ascii="仿宋_GB2312" w:hAnsi="仿宋_GB2312" w:cs="仿宋_GB2312"/>
                <w:sz w:val="21"/>
                <w:szCs w:val="21"/>
              </w:rPr>
              <w:sym w:font="Wingdings" w:char="006C"/>
            </w:r>
            <w:r>
              <w:rPr>
                <w:rFonts w:hint="eastAsia" w:ascii="仿宋_GB2312" w:hAnsi="仿宋_GB2312" w:cs="仿宋_GB2312"/>
                <w:sz w:val="21"/>
                <w:szCs w:val="21"/>
              </w:rPr>
              <w:t>核工程类、核科学与技术；</w:t>
            </w:r>
            <w:r>
              <w:rPr>
                <w:rFonts w:hint="eastAsia" w:ascii="仿宋_GB2312" w:hAnsi="仿宋_GB2312" w:cs="仿宋_GB2312"/>
                <w:sz w:val="21"/>
                <w:szCs w:val="21"/>
              </w:rPr>
              <w:sym w:font="Wingdings" w:char="006C"/>
            </w:r>
            <w:r>
              <w:rPr>
                <w:rFonts w:hint="eastAsia" w:ascii="仿宋_GB2312" w:hAnsi="仿宋_GB2312" w:cs="仿宋_GB2312"/>
                <w:sz w:val="21"/>
                <w:szCs w:val="21"/>
              </w:rPr>
              <w:t>放射医学；</w:t>
            </w:r>
            <w:r>
              <w:rPr>
                <w:rFonts w:hint="eastAsia" w:ascii="仿宋_GB2312" w:hAnsi="仿宋_GB2312" w:cs="仿宋_GB2312"/>
                <w:sz w:val="21"/>
                <w:szCs w:val="21"/>
              </w:rPr>
              <w:sym w:font="Wingdings" w:char="006C"/>
            </w:r>
            <w:r>
              <w:rPr>
                <w:rFonts w:hint="eastAsia" w:ascii="仿宋_GB2312" w:hAnsi="仿宋_GB2312" w:cs="仿宋_GB2312"/>
                <w:sz w:val="21"/>
                <w:szCs w:val="21"/>
              </w:rPr>
              <w:t>核物理、放射化学</w:t>
            </w:r>
            <w:r>
              <w:rPr>
                <w:rFonts w:hint="eastAsia" w:ascii="仿宋_GB2312" w:hAnsi="仿宋_GB2312" w:cs="仿宋_GB2312"/>
                <w:sz w:val="21"/>
                <w:szCs w:val="21"/>
                <w:lang w:bidi="ar"/>
              </w:rPr>
              <w:t>、</w:t>
            </w:r>
            <w:r>
              <w:rPr>
                <w:rFonts w:hint="eastAsia" w:ascii="仿宋_GB2312" w:hAnsi="仿宋_GB2312" w:cs="仿宋_GB2312"/>
                <w:sz w:val="21"/>
                <w:szCs w:val="21"/>
              </w:rPr>
              <w:t>核生化消防、核电技术与控制工程等</w:t>
            </w:r>
            <w:r>
              <w:rPr>
                <w:rFonts w:hint="eastAsia" w:ascii="仿宋_GB2312" w:hAnsi="仿宋_GB2312" w:cs="仿宋_GB2312"/>
                <w:sz w:val="21"/>
                <w:szCs w:val="21"/>
                <w:lang w:bidi="ar"/>
              </w:rPr>
              <w:t>专业</w:t>
            </w:r>
            <w:r>
              <w:rPr>
                <w:rFonts w:hint="eastAsia" w:ascii="仿宋_GB2312" w:hAnsi="仿宋_GB2312" w:cs="仿宋_GB2312"/>
                <w:sz w:val="21"/>
                <w:szCs w:val="21"/>
              </w:rPr>
              <w:t>；</w:t>
            </w:r>
          </w:p>
          <w:p>
            <w:pPr>
              <w:spacing w:line="280" w:lineRule="exact"/>
              <w:rPr>
                <w:rFonts w:hint="eastAsia" w:ascii="仿宋_GB2312" w:hAnsi="仿宋_GB2312" w:cs="仿宋_GB2312"/>
                <w:kern w:val="0"/>
                <w:sz w:val="21"/>
                <w:szCs w:val="21"/>
                <w:lang w:bidi="ar"/>
              </w:rPr>
            </w:pPr>
            <w:r>
              <w:rPr>
                <w:rFonts w:hint="eastAsia" w:ascii="仿宋_GB2312" w:hAnsi="仿宋_GB2312" w:cs="仿宋_GB2312"/>
                <w:sz w:val="21"/>
                <w:szCs w:val="21"/>
              </w:rPr>
              <w:t>6.核技术工业应用：</w:t>
            </w:r>
            <w:r>
              <w:rPr>
                <w:rFonts w:hint="eastAsia" w:ascii="仿宋_GB2312" w:hAnsi="仿宋_GB2312" w:cs="仿宋_GB2312"/>
                <w:sz w:val="21"/>
                <w:szCs w:val="21"/>
              </w:rPr>
              <w:sym w:font="Wingdings" w:char="006C"/>
            </w:r>
            <w:r>
              <w:rPr>
                <w:rFonts w:hint="eastAsia" w:ascii="仿宋_GB2312" w:hAnsi="仿宋_GB2312" w:cs="仿宋_GB2312"/>
                <w:sz w:val="21"/>
                <w:szCs w:val="21"/>
              </w:rPr>
              <w:t>核工程</w:t>
            </w:r>
            <w:r>
              <w:rPr>
                <w:rFonts w:hint="eastAsia" w:ascii="仿宋_GB2312" w:hAnsi="仿宋_GB2312" w:cs="仿宋_GB2312"/>
                <w:sz w:val="21"/>
                <w:szCs w:val="21"/>
                <w:lang w:bidi="ar"/>
              </w:rPr>
              <w:t>类、</w:t>
            </w:r>
            <w:r>
              <w:rPr>
                <w:rFonts w:hint="eastAsia" w:ascii="仿宋_GB2312" w:hAnsi="仿宋_GB2312" w:cs="仿宋_GB2312"/>
                <w:sz w:val="21"/>
                <w:szCs w:val="21"/>
              </w:rPr>
              <w:t>核科学与技术、</w:t>
            </w:r>
            <w:r>
              <w:rPr>
                <w:rFonts w:hint="eastAsia" w:ascii="仿宋_GB2312" w:hAnsi="仿宋_GB2312" w:cs="仿宋_GB2312"/>
                <w:sz w:val="21"/>
                <w:szCs w:val="21"/>
                <w:lang w:bidi="ar"/>
              </w:rPr>
              <w:t>放射医学、核物理、放射化学、</w:t>
            </w:r>
            <w:r>
              <w:rPr>
                <w:rFonts w:hint="eastAsia" w:ascii="仿宋_GB2312" w:hAnsi="仿宋_GB2312" w:cs="仿宋_GB2312"/>
                <w:sz w:val="21"/>
                <w:szCs w:val="21"/>
              </w:rPr>
              <w:t>核生化消防、核电技术与控制工程等</w:t>
            </w:r>
            <w:r>
              <w:rPr>
                <w:rFonts w:hint="eastAsia" w:ascii="仿宋_GB2312" w:hAnsi="仿宋_GB2312" w:cs="仿宋_GB2312"/>
                <w:sz w:val="21"/>
                <w:szCs w:val="21"/>
                <w:lang w:bidi="ar"/>
              </w:rPr>
              <w:t>专业</w:t>
            </w:r>
            <w:r>
              <w:rPr>
                <w:rFonts w:hint="eastAsia" w:ascii="仿宋_GB2312" w:hAnsi="仿宋_GB2312" w:cs="仿宋_GB2312"/>
                <w:kern w:val="0"/>
                <w:sz w:val="21"/>
                <w:szCs w:val="21"/>
              </w:rPr>
              <w:t>。</w:t>
            </w:r>
          </w:p>
        </w:tc>
        <w:tc>
          <w:tcPr>
            <w:tcW w:w="2384" w:type="dxa"/>
            <w:noWrap w:val="0"/>
            <w:vAlign w:val="center"/>
          </w:tcPr>
          <w:p>
            <w:pPr>
              <w:spacing w:line="260" w:lineRule="exact"/>
              <w:rPr>
                <w:rFonts w:hint="eastAsia" w:ascii="仿宋_GB2312" w:hAnsi="仿宋_GB2312" w:cs="仿宋_GB2312"/>
                <w:sz w:val="21"/>
                <w:szCs w:val="21"/>
              </w:rPr>
            </w:pPr>
          </w:p>
          <w:p>
            <w:pPr>
              <w:spacing w:line="260" w:lineRule="exact"/>
              <w:rPr>
                <w:rFonts w:hint="eastAsia" w:ascii="仿宋_GB2312" w:hAnsi="仿宋_GB2312" w:cs="仿宋_GB2312"/>
                <w:sz w:val="21"/>
                <w:szCs w:val="21"/>
              </w:rPr>
            </w:pPr>
          </w:p>
          <w:p>
            <w:pPr>
              <w:spacing w:line="260" w:lineRule="exact"/>
              <w:rPr>
                <w:rFonts w:hint="eastAsia" w:ascii="仿宋_GB2312" w:hAnsi="仿宋_GB2312" w:cs="仿宋_GB2312"/>
                <w:sz w:val="21"/>
                <w:szCs w:val="21"/>
              </w:rPr>
            </w:pPr>
          </w:p>
          <w:p>
            <w:pPr>
              <w:spacing w:line="260" w:lineRule="exact"/>
              <w:rPr>
                <w:rFonts w:hint="eastAsia" w:ascii="仿宋_GB2312" w:hAnsi="仿宋_GB2312" w:cs="仿宋_GB2312"/>
                <w:sz w:val="21"/>
                <w:szCs w:val="21"/>
              </w:rPr>
            </w:pPr>
          </w:p>
          <w:p>
            <w:pPr>
              <w:spacing w:line="260" w:lineRule="exact"/>
              <w:rPr>
                <w:rFonts w:hint="eastAsia" w:ascii="仿宋_GB2312" w:hAnsi="仿宋_GB2312" w:cs="仿宋_GB2312"/>
                <w:sz w:val="21"/>
                <w:szCs w:val="21"/>
              </w:rPr>
            </w:pPr>
          </w:p>
          <w:p>
            <w:pPr>
              <w:widowControl/>
              <w:spacing w:line="260" w:lineRule="exact"/>
              <w:jc w:val="left"/>
              <w:textAlignment w:val="center"/>
              <w:rPr>
                <w:rFonts w:hint="eastAsia" w:ascii="仿宋_GB2312" w:hAnsi="仿宋_GB2312" w:cs="仿宋_GB2312"/>
                <w:kern w:val="0"/>
                <w:sz w:val="21"/>
                <w:szCs w:val="21"/>
                <w:lang w:bidi="ar"/>
              </w:rPr>
            </w:pPr>
          </w:p>
        </w:tc>
      </w:tr>
    </w:tbl>
    <w:p>
      <w:pPr>
        <w:adjustRightInd w:val="0"/>
        <w:snapToGrid w:val="0"/>
        <w:spacing w:after="0" w:line="34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说明：</w:t>
      </w:r>
    </w:p>
    <w:p>
      <w:pPr>
        <w:spacing w:after="0" w:line="360" w:lineRule="exact"/>
        <w:ind w:firstLine="420"/>
        <w:jc w:val="left"/>
        <w:rPr>
          <w:rFonts w:hint="eastAsia" w:ascii="仿宋_GB2312" w:hAnsi="仿宋_GB2312" w:cs="仿宋_GB2312"/>
          <w:kern w:val="0"/>
          <w:sz w:val="21"/>
          <w:szCs w:val="21"/>
        </w:rPr>
      </w:pPr>
      <w:r>
        <w:rPr>
          <w:rFonts w:hint="eastAsia" w:ascii="仿宋_GB2312" w:hAnsi="仿宋_GB2312" w:cs="仿宋_GB2312"/>
          <w:kern w:val="0"/>
          <w:sz w:val="21"/>
          <w:szCs w:val="21"/>
        </w:rPr>
        <w:t>1.以上所涉及人员数量均是指达到考核评估合格要求的人员数量。2017年12月31日前已取得原省级以上安全监管部门指定机构颁发的培训合格证书，免于能力考核评估或取得全国卫生专业技术资格考试合格证书（理化检验技术中级，代码383）的专业技术人员，免于能力考核评估。</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2.中级专业技术职称同等能力可以通过下列方式认定：①博士研究生，从取得毕业证书之日起从事职业卫生相关工作满1年；②硕士研究生，从取得毕业证书之日起从事职业卫生相关工作满4年；③大学本科毕业，从取得毕业证书之日起从事职业卫生相关工作满6年；④大学专科毕业，从取得毕业证书之日起从事职业卫生相关工作满8年。</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3.高级专业技术职称同等能力可以通过下列方式认定：①博士研究生，从取得毕业证书之日起从事职业卫生相关工作满7年；②硕士研究生，从取得毕业证书之日起从事职业卫生相关工作满10年；③大学本科毕业，从取得毕业证书之日起从事职业卫生相关工作满12年</w:t>
      </w:r>
      <w:r>
        <w:rPr>
          <w:rFonts w:hint="eastAsia" w:ascii="仿宋_GB2312" w:hAnsi="仿宋_GB2312" w:cs="仿宋_GB2312"/>
          <w:kern w:val="0"/>
          <w:sz w:val="21"/>
          <w:szCs w:val="21"/>
          <w:lang w:eastAsia="zh-CN"/>
        </w:rPr>
        <w:t>；</w:t>
      </w:r>
      <w:r>
        <w:rPr>
          <w:rFonts w:hint="eastAsia" w:ascii="仿宋_GB2312" w:hAnsi="仿宋_GB2312" w:cs="仿宋_GB2312"/>
          <w:kern w:val="0"/>
          <w:sz w:val="21"/>
          <w:szCs w:val="21"/>
        </w:rPr>
        <w:t>④大学专科毕业，从取得毕业证书之日起从事职业卫生相关工作满14年。</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4.职业卫生检测、评价专业技术人员指从事职业卫生检测、评价相关工作的专业技术人员。</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5.放射卫生检测、评价人员指从事放射卫生检测、评价相关工作的专业技术人员。</w:t>
      </w:r>
    </w:p>
    <w:p>
      <w:pPr>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6.职业卫生工程技术人员指所学专业为职业卫生工程、安全工程、环境工程、劳动保护、暖通空调、供热与通风等相关专业或具有相关专业能力的技术人员。</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7.公共卫生专业人员指所学专业为预防医学、公共卫生、劳动卫生、职业卫生等相关专业或具有相关专业能力的技术人员。</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8.相关专业能力可通过中级及以上专业技术职称或学术专著（主编或副主编）、科研论文（第一作者或通讯作者、国家中文核心期刊及以上）、发明专利（署名前三）、科技进步奖（排名前三）等从业经历证明材料认定。</w:t>
      </w:r>
    </w:p>
    <w:p>
      <w:pPr>
        <w:adjustRightInd w:val="0"/>
        <w:snapToGrid w:val="0"/>
        <w:spacing w:after="0" w:line="360" w:lineRule="exact"/>
        <w:ind w:firstLine="420" w:firstLineChars="200"/>
        <w:jc w:val="left"/>
        <w:rPr>
          <w:rFonts w:hint="eastAsia" w:ascii="仿宋_GB2312" w:hAnsi="仿宋_GB2312" w:cs="仿宋_GB2312"/>
          <w:kern w:val="0"/>
          <w:sz w:val="21"/>
          <w:szCs w:val="21"/>
        </w:rPr>
      </w:pPr>
      <w:r>
        <w:rPr>
          <w:rFonts w:hint="eastAsia" w:ascii="仿宋_GB2312" w:hAnsi="仿宋_GB2312" w:cs="仿宋_GB2312"/>
          <w:kern w:val="0"/>
          <w:sz w:val="21"/>
          <w:szCs w:val="21"/>
        </w:rPr>
        <w:t>9.取得“注册安全工程师”资格的人员可以认定为职业卫生工程技术人员，按照注册专业的类别可以认定为相应行业工程技术人员。取得“注册核安全工程师”资格的人员可以认定为“核工程类专业”</w:t>
      </w:r>
      <w:r>
        <w:rPr>
          <w:rFonts w:hint="eastAsia" w:ascii="仿宋_GB2312" w:hAnsi="仿宋_GB2312" w:cs="仿宋_GB2312"/>
          <w:kern w:val="0"/>
          <w:sz w:val="21"/>
          <w:szCs w:val="21"/>
          <w:lang w:bidi="ar"/>
        </w:rPr>
        <w:t>行业工程技术人员</w:t>
      </w:r>
      <w:r>
        <w:rPr>
          <w:rFonts w:hint="eastAsia" w:ascii="仿宋_GB2312" w:hAnsi="仿宋_GB2312" w:cs="仿宋_GB2312"/>
          <w:kern w:val="0"/>
          <w:sz w:val="21"/>
          <w:szCs w:val="21"/>
        </w:rPr>
        <w:t>。</w:t>
      </w:r>
    </w:p>
    <w:p>
      <w:pPr>
        <w:adjustRightInd w:val="0"/>
        <w:snapToGrid w:val="0"/>
        <w:spacing w:after="0" w:line="360" w:lineRule="exact"/>
        <w:ind w:firstLine="420" w:firstLineChars="200"/>
        <w:jc w:val="left"/>
        <w:rPr>
          <w:rFonts w:eastAsia="黑体"/>
          <w:kern w:val="0"/>
          <w:szCs w:val="32"/>
        </w:rPr>
      </w:pPr>
      <w:r>
        <w:rPr>
          <w:rFonts w:hint="eastAsia" w:ascii="仿宋_GB2312" w:hAnsi="仿宋_GB2312" w:cs="仿宋_GB2312"/>
          <w:kern w:val="0"/>
          <w:sz w:val="21"/>
          <w:szCs w:val="21"/>
        </w:rPr>
        <w:t>10.各类人员可重复认定。</w:t>
      </w:r>
      <w:r>
        <w:rPr>
          <w:rFonts w:hint="eastAsia" w:ascii="仿宋_GB2312" w:hAnsi="仿宋_GB2312" w:cs="仿宋_GB2312"/>
          <w:kern w:val="0"/>
          <w:sz w:val="24"/>
        </w:rPr>
        <w:br w:type="page"/>
      </w:r>
      <w:r>
        <w:rPr>
          <w:rFonts w:hint="eastAsia" w:eastAsia="黑体"/>
          <w:szCs w:val="32"/>
          <w:shd w:val="clear" w:color="auto" w:fill="FFFFFF"/>
          <w:lang w:bidi="ar"/>
        </w:rPr>
        <w:t>附录3</w:t>
      </w:r>
    </w:p>
    <w:p>
      <w:pPr>
        <w:jc w:val="center"/>
        <w:rPr>
          <w:rFonts w:ascii="华文中宋" w:hAnsi="华文中宋" w:eastAsia="华文中宋"/>
          <w:b/>
          <w:sz w:val="36"/>
          <w:szCs w:val="36"/>
        </w:rPr>
      </w:pPr>
      <w:r>
        <w:rPr>
          <w:rFonts w:hint="eastAsia" w:ascii="华文中宋" w:hAnsi="华文中宋" w:eastAsia="华文中宋"/>
          <w:b/>
          <w:sz w:val="36"/>
          <w:szCs w:val="36"/>
        </w:rPr>
        <w:t>职业卫生技术服务机构主要仪器设备要求</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869"/>
        <w:gridCol w:w="2955"/>
        <w:gridCol w:w="1203"/>
        <w:gridCol w:w="1163"/>
        <w:gridCol w:w="3198"/>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92" w:hRule="atLeast"/>
          <w:jc w:val="center"/>
        </w:trPr>
        <w:tc>
          <w:tcPr>
            <w:tcW w:w="869"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kern w:val="0"/>
                <w:sz w:val="21"/>
                <w:szCs w:val="21"/>
                <w:lang w:bidi="ar"/>
              </w:rPr>
            </w:pPr>
            <w:r>
              <w:rPr>
                <w:rFonts w:hint="eastAsia" w:ascii="仿宋_GB2312" w:hAnsi="仿宋_GB2312" w:cs="仿宋_GB2312"/>
                <w:b/>
                <w:color w:val="000000"/>
                <w:kern w:val="0"/>
                <w:sz w:val="21"/>
                <w:szCs w:val="21"/>
                <w:lang w:bidi="ar"/>
              </w:rPr>
              <w:t>设备</w:t>
            </w:r>
          </w:p>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编号</w:t>
            </w:r>
          </w:p>
        </w:tc>
        <w:tc>
          <w:tcPr>
            <w:tcW w:w="2955"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设备名称、规格</w:t>
            </w:r>
          </w:p>
        </w:tc>
        <w:tc>
          <w:tcPr>
            <w:tcW w:w="2366" w:type="dxa"/>
            <w:gridSpan w:val="2"/>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数量要求（台/件）</w:t>
            </w:r>
          </w:p>
        </w:tc>
        <w:tc>
          <w:tcPr>
            <w:tcW w:w="3198"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869" w:type="dxa"/>
            <w:vMerge w:val="continue"/>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p>
        </w:tc>
        <w:tc>
          <w:tcPr>
            <w:tcW w:w="2955"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b/>
                <w:color w:val="000000"/>
                <w:sz w:val="21"/>
                <w:szCs w:val="21"/>
              </w:rPr>
            </w:pP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甲级</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乙级</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b/>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388" w:type="dxa"/>
            <w:gridSpan w:val="5"/>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一、第一类业务范围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（一）</w:t>
            </w:r>
          </w:p>
        </w:tc>
        <w:tc>
          <w:tcPr>
            <w:tcW w:w="8519" w:type="dxa"/>
            <w:gridSpan w:val="4"/>
            <w:noWrap w:val="0"/>
            <w:tcMar>
              <w:top w:w="11" w:type="dxa"/>
              <w:left w:w="125" w:type="dxa"/>
              <w:right w:w="125" w:type="dxa"/>
            </w:tcMar>
            <w:vAlign w:val="center"/>
          </w:tcPr>
          <w:p>
            <w:pPr>
              <w:spacing w:line="280" w:lineRule="exact"/>
              <w:jc w:val="left"/>
              <w:rPr>
                <w:rFonts w:hint="eastAsia" w:ascii="仿宋_GB2312" w:hAnsi="仿宋_GB2312" w:cs="仿宋_GB2312"/>
                <w:color w:val="000000"/>
                <w:sz w:val="21"/>
                <w:szCs w:val="21"/>
              </w:rPr>
            </w:pPr>
            <w:r>
              <w:rPr>
                <w:rFonts w:hint="eastAsia" w:ascii="仿宋_GB2312" w:hAnsi="仿宋_GB2312" w:cs="仿宋_GB2312"/>
                <w:b/>
                <w:color w:val="000000"/>
                <w:kern w:val="0"/>
                <w:sz w:val="21"/>
                <w:szCs w:val="21"/>
                <w:lang w:bidi="ar"/>
              </w:rPr>
              <w:t>采样设备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采样泵（包括防爆采样泵）</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20（10）</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10（5）</w:t>
            </w:r>
          </w:p>
        </w:tc>
        <w:tc>
          <w:tcPr>
            <w:tcW w:w="3198"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应满足20mL/min～500mL/min采样流量要求，流量精度要求&lt;5%。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采样泵（包括防爆采样泵）</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20（10）</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10（5）</w:t>
            </w:r>
          </w:p>
        </w:tc>
        <w:tc>
          <w:tcPr>
            <w:tcW w:w="3198"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应满足1L/min～5L/min采样流量要求，流量精度要求&lt;5%。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采样泵（包括防爆采样泵）</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10（5）</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10（5）</w:t>
            </w:r>
          </w:p>
        </w:tc>
        <w:tc>
          <w:tcPr>
            <w:tcW w:w="3198"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应满足5L/min～20L/min采样流量要求，流量精度要求&lt;5%。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流量计（皂膜或干式流量计）20mL/min～20L/min</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2套</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2套</w:t>
            </w:r>
          </w:p>
        </w:tc>
        <w:tc>
          <w:tcPr>
            <w:tcW w:w="3198"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流量计范围满足采样流量测定要求。</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w:t>
            </w:r>
          </w:p>
        </w:tc>
        <w:tc>
          <w:tcPr>
            <w:tcW w:w="2955" w:type="dxa"/>
            <w:noWrap w:val="0"/>
            <w:tcMar>
              <w:top w:w="11" w:type="dxa"/>
              <w:left w:w="85" w:type="dxa"/>
              <w:right w:w="28"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各种空气样品收集器（大型气泡吸收管、小型气泡吸收管、多孔玻板吸收管、冲击式吸收管、各种型号固体吸附剂管等）</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15（每种）</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15（每种）</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（二）</w:t>
            </w:r>
          </w:p>
        </w:tc>
        <w:tc>
          <w:tcPr>
            <w:tcW w:w="8519" w:type="dxa"/>
            <w:gridSpan w:val="4"/>
            <w:noWrap w:val="0"/>
            <w:tcMar>
              <w:top w:w="10" w:type="dxa"/>
              <w:left w:w="10" w:type="dxa"/>
              <w:right w:w="10" w:type="dxa"/>
            </w:tcMar>
            <w:vAlign w:val="center"/>
          </w:tcPr>
          <w:p>
            <w:pPr>
              <w:spacing w:line="280" w:lineRule="exact"/>
              <w:jc w:val="left"/>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现场检测设备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6</w:t>
            </w:r>
          </w:p>
        </w:tc>
        <w:tc>
          <w:tcPr>
            <w:tcW w:w="2955" w:type="dxa"/>
            <w:noWrap w:val="0"/>
            <w:tcMar>
              <w:top w:w="11" w:type="dxa"/>
              <w:left w:w="125" w:type="dxa"/>
              <w:right w:w="28"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个体噪声剂量计（包括防爆）</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10（4）</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5（2）</w:t>
            </w:r>
          </w:p>
        </w:tc>
        <w:tc>
          <w:tcPr>
            <w:tcW w:w="3198"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7</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积分声级计（包括防爆）</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8</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照度计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9</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紫外线测定仪（含UVA,UVB,UVC</w:t>
            </w:r>
            <w:r>
              <w:rPr>
                <w:rFonts w:hint="eastAsia" w:ascii="仿宋_GB2312" w:hAnsi="仿宋_GB2312" w:cs="仿宋_GB2312"/>
                <w:color w:val="000000"/>
                <w:kern w:val="0"/>
                <w:sz w:val="21"/>
                <w:szCs w:val="21"/>
                <w:lang w:val="en-US" w:eastAsia="zh-CN" w:bidi="ar"/>
              </w:rPr>
              <w:t xml:space="preserve"> </w:t>
            </w:r>
            <w:r>
              <w:rPr>
                <w:rFonts w:hint="eastAsia" w:ascii="仿宋_GB2312" w:hAnsi="仿宋_GB2312" w:cs="仿宋_GB2312"/>
                <w:color w:val="000000"/>
                <w:kern w:val="0"/>
                <w:sz w:val="21"/>
                <w:szCs w:val="21"/>
                <w:lang w:bidi="ar"/>
              </w:rPr>
              <w:t>3个探头）</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10</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不分光红外线分析仪（含CO和CO</w:t>
            </w:r>
            <w:r>
              <w:rPr>
                <w:rFonts w:hint="eastAsia" w:ascii="仿宋_GB2312" w:hAnsi="仿宋_GB2312" w:cs="仿宋_GB2312"/>
                <w:color w:val="000000"/>
                <w:kern w:val="0"/>
                <w:sz w:val="21"/>
                <w:szCs w:val="21"/>
                <w:vertAlign w:val="subscript"/>
                <w:lang w:bidi="ar"/>
              </w:rPr>
              <w:t>2</w:t>
            </w:r>
            <w:r>
              <w:rPr>
                <w:rFonts w:hint="eastAsia" w:ascii="仿宋_GB2312" w:hAnsi="仿宋_GB2312" w:cs="仿宋_GB2312"/>
                <w:color w:val="000000"/>
                <w:kern w:val="0"/>
                <w:sz w:val="21"/>
                <w:szCs w:val="21"/>
                <w:lang w:bidi="ar"/>
              </w:rPr>
              <w:t>）</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11</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WBGT指数仪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12</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倍频程声级计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13</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手传振动测定仪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312"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14</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电磁场测定仪</w:t>
            </w:r>
          </w:p>
        </w:tc>
        <w:tc>
          <w:tcPr>
            <w:tcW w:w="1203"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1（探头含高频、超高频、1Hz-100kHz电磁场及微波等频段）</w:t>
            </w:r>
          </w:p>
        </w:tc>
        <w:tc>
          <w:tcPr>
            <w:tcW w:w="1163" w:type="dxa"/>
            <w:noWrap w:val="0"/>
            <w:tcMar>
              <w:top w:w="10" w:type="dxa"/>
              <w:left w:w="10" w:type="dxa"/>
              <w:right w:w="10"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1（探头含高频、超高频、1Hz-100kHz电磁场及微波等频段）</w:t>
            </w:r>
          </w:p>
        </w:tc>
        <w:tc>
          <w:tcPr>
            <w:tcW w:w="3198"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也可为分别测量1Hz-100kHz电磁场、高频、超高频、微波的设备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15</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风速仪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2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16</w:t>
            </w:r>
          </w:p>
        </w:tc>
        <w:tc>
          <w:tcPr>
            <w:tcW w:w="2955" w:type="dxa"/>
            <w:noWrap w:val="0"/>
            <w:tcMar>
              <w:top w:w="11" w:type="dxa"/>
              <w:left w:w="125" w:type="dxa"/>
              <w:right w:w="125"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皮托管+微压计</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可选用更先进的设备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（三）</w:t>
            </w:r>
          </w:p>
        </w:tc>
        <w:tc>
          <w:tcPr>
            <w:tcW w:w="8519" w:type="dxa"/>
            <w:gridSpan w:val="4"/>
            <w:noWrap w:val="0"/>
            <w:tcMar>
              <w:top w:w="11" w:type="dxa"/>
              <w:left w:w="125" w:type="dxa"/>
              <w:right w:w="125" w:type="dxa"/>
            </w:tcMar>
            <w:vAlign w:val="center"/>
          </w:tcPr>
          <w:p>
            <w:pPr>
              <w:spacing w:line="280" w:lineRule="exact"/>
              <w:jc w:val="left"/>
              <w:rPr>
                <w:rFonts w:hint="eastAsia" w:ascii="仿宋_GB2312" w:hAnsi="仿宋_GB2312" w:cs="仿宋_GB2312"/>
                <w:color w:val="000000"/>
                <w:sz w:val="21"/>
                <w:szCs w:val="21"/>
              </w:rPr>
            </w:pPr>
            <w:r>
              <w:rPr>
                <w:rFonts w:hint="eastAsia" w:ascii="仿宋_GB2312" w:hAnsi="仿宋_GB2312" w:cs="仿宋_GB2312"/>
                <w:b/>
                <w:color w:val="000000"/>
                <w:kern w:val="0"/>
                <w:sz w:val="21"/>
                <w:szCs w:val="21"/>
                <w:lang w:bidi="ar"/>
              </w:rPr>
              <w:t>实验室检测主要仪器设备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17</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气相色谱仪（配FID、ECD、FPD检测器）</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18</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气相色谱-质谱联用仪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19</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液相色谱仪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20</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离子色谱仪（阴离子体系）</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sz w:val="22"/>
          <w:szCs w:val="20"/>
        </w:rP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869"/>
        <w:gridCol w:w="2955"/>
        <w:gridCol w:w="1203"/>
        <w:gridCol w:w="1163"/>
        <w:gridCol w:w="3198"/>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21</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原子吸收光谱仪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22</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原子荧光光谱仪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869" w:type="dxa"/>
            <w:noWrap w:val="0"/>
            <w:tcMar>
              <w:top w:w="10" w:type="dxa"/>
              <w:left w:w="10" w:type="dxa"/>
              <w:right w:w="10" w:type="dxa"/>
            </w:tcMar>
            <w:vAlign w:val="center"/>
          </w:tcPr>
          <w:p>
            <w:pPr>
              <w:spacing w:line="280" w:lineRule="exact"/>
              <w:jc w:val="center"/>
              <w:rPr>
                <w:rFonts w:hint="eastAsia" w:ascii="仿宋_GB2312" w:hAnsi="仿宋_GB2312" w:cs="仿宋_GB2312"/>
                <w:sz w:val="21"/>
              </w:rPr>
            </w:pPr>
            <w:r>
              <w:rPr>
                <w:rFonts w:hint="eastAsia" w:ascii="仿宋_GB2312" w:hAnsi="仿宋_GB2312" w:cs="仿宋_GB2312"/>
                <w:sz w:val="21"/>
              </w:rPr>
              <w:t>23</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分析天平(1/10000)</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vMerge w:val="restart"/>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可二合一</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24</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精密分析天平(1/100000)</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25</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样品消化装置</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26</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马弗炉</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27</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铂金坩埚</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28</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普通坩埚</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29</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玛瑙研钵</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30</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可见分光光度计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可二合一</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31</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紫外分光光度计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32</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冰箱</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33</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热解吸仪</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34</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超声波清洗器</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98"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35</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分散度测定器</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36</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恒温水浴箱</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37</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酸度计</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869"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38</w:t>
            </w:r>
          </w:p>
        </w:tc>
        <w:tc>
          <w:tcPr>
            <w:tcW w:w="2955" w:type="dxa"/>
            <w:noWrap w:val="0"/>
            <w:tcMar>
              <w:top w:w="10" w:type="dxa"/>
              <w:left w:w="113" w:type="dxa"/>
              <w:right w:w="113" w:type="dxa"/>
            </w:tcMar>
            <w:vAlign w:val="center"/>
          </w:tcPr>
          <w:p>
            <w:pPr>
              <w:widowControl/>
              <w:spacing w:line="280" w:lineRule="exact"/>
              <w:jc w:val="left"/>
              <w:textAlignment w:val="top"/>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相差显微镜</w:t>
            </w:r>
          </w:p>
        </w:tc>
        <w:tc>
          <w:tcPr>
            <w:tcW w:w="120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388" w:type="dxa"/>
            <w:gridSpan w:val="5"/>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eastAsia="zh-CN" w:bidi="ar"/>
              </w:rPr>
              <w:t>二</w:t>
            </w:r>
            <w:r>
              <w:rPr>
                <w:rFonts w:hint="eastAsia" w:ascii="仿宋_GB2312" w:hAnsi="仿宋_GB2312" w:cs="仿宋_GB2312"/>
                <w:b/>
                <w:color w:val="000000"/>
                <w:kern w:val="0"/>
                <w:sz w:val="21"/>
                <w:szCs w:val="21"/>
                <w:lang w:bidi="ar"/>
              </w:rPr>
              <w:t>、第</w:t>
            </w:r>
            <w:r>
              <w:rPr>
                <w:rFonts w:hint="eastAsia" w:ascii="仿宋_GB2312" w:hAnsi="仿宋_GB2312" w:cs="仿宋_GB2312"/>
                <w:b/>
                <w:color w:val="000000"/>
                <w:kern w:val="0"/>
                <w:sz w:val="21"/>
                <w:szCs w:val="21"/>
                <w:lang w:eastAsia="zh-CN" w:bidi="ar"/>
              </w:rPr>
              <w:t>二</w:t>
            </w:r>
            <w:r>
              <w:rPr>
                <w:rFonts w:hint="eastAsia" w:ascii="仿宋_GB2312" w:hAnsi="仿宋_GB2312" w:cs="仿宋_GB2312"/>
                <w:b/>
                <w:color w:val="000000"/>
                <w:kern w:val="0"/>
                <w:sz w:val="21"/>
                <w:szCs w:val="21"/>
                <w:lang w:bidi="ar"/>
              </w:rPr>
              <w:t>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(四)</w:t>
            </w:r>
          </w:p>
        </w:tc>
        <w:tc>
          <w:tcPr>
            <w:tcW w:w="8519" w:type="dxa"/>
            <w:gridSpan w:val="4"/>
            <w:noWrap w:val="0"/>
            <w:tcMar>
              <w:top w:w="10" w:type="dxa"/>
              <w:left w:w="113" w:type="dxa"/>
              <w:right w:w="113" w:type="dxa"/>
            </w:tcMar>
            <w:vAlign w:val="center"/>
          </w:tcPr>
          <w:p>
            <w:pPr>
              <w:spacing w:line="280" w:lineRule="exact"/>
              <w:jc w:val="left"/>
              <w:rPr>
                <w:rFonts w:hint="eastAsia" w:ascii="仿宋_GB2312" w:hAnsi="仿宋_GB2312" w:cs="仿宋_GB2312"/>
                <w:b/>
                <w:color w:val="000000"/>
                <w:sz w:val="21"/>
                <w:szCs w:val="21"/>
              </w:rPr>
            </w:pPr>
            <w:r>
              <w:rPr>
                <w:rFonts w:hint="eastAsia" w:ascii="仿宋_GB2312" w:hAnsi="仿宋_GB2312" w:cs="仿宋_GB2312"/>
                <w:b/>
                <w:color w:val="000000"/>
                <w:kern w:val="0"/>
                <w:sz w:val="21"/>
                <w:szCs w:val="21"/>
                <w:lang w:bidi="ar"/>
              </w:rPr>
              <w:t>放射卫生检测设备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39</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防护级X、γ剂量率仪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40</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环境级X、γ剂量率仪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41</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α、β表面污染监测仪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2</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55"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42</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中子测量装置</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43</w:t>
            </w:r>
          </w:p>
        </w:tc>
        <w:tc>
          <w:tcPr>
            <w:tcW w:w="2955" w:type="dxa"/>
            <w:noWrap w:val="0"/>
            <w:tcMar>
              <w:top w:w="10" w:type="dxa"/>
              <w:left w:w="113" w:type="dxa"/>
              <w:right w:w="113" w:type="dxa"/>
            </w:tcMar>
            <w:vAlign w:val="center"/>
          </w:tcPr>
          <w:p>
            <w:pPr>
              <w:widowControl/>
              <w:spacing w:line="280" w:lineRule="exact"/>
              <w:jc w:val="left"/>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氡及其子体测量装置</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44</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空气采样装置</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3198"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4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45</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实验室γ能谱仪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restart"/>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申请核设施业务范围的。</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46</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灰化装置</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47</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低本底α、β测量仪</w:t>
            </w:r>
          </w:p>
        </w:tc>
        <w:tc>
          <w:tcPr>
            <w:tcW w:w="1203" w:type="dxa"/>
            <w:noWrap w:val="0"/>
            <w:tcMar>
              <w:top w:w="10" w:type="dxa"/>
              <w:left w:w="10" w:type="dxa"/>
              <w:right w:w="10" w:type="dxa"/>
            </w:tcMar>
            <w:vAlign w:val="center"/>
          </w:tcPr>
          <w:p>
            <w:pPr>
              <w:widowControl/>
              <w:spacing w:line="280" w:lineRule="exact"/>
              <w:jc w:val="center"/>
              <w:textAlignment w:val="top"/>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1</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48</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固体径迹探测系统</w:t>
            </w:r>
          </w:p>
        </w:tc>
        <w:tc>
          <w:tcPr>
            <w:tcW w:w="120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49</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低本底α能谱仪</w:t>
            </w:r>
          </w:p>
        </w:tc>
        <w:tc>
          <w:tcPr>
            <w:tcW w:w="120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9" w:type="dxa"/>
            <w:noWrap w:val="0"/>
            <w:tcMar>
              <w:top w:w="10" w:type="dxa"/>
              <w:left w:w="10" w:type="dxa"/>
              <w:right w:w="10" w:type="dxa"/>
            </w:tcMar>
            <w:vAlign w:val="center"/>
          </w:tcPr>
          <w:p>
            <w:pPr>
              <w:widowControl/>
              <w:spacing w:line="280" w:lineRule="exact"/>
              <w:jc w:val="center"/>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50</w:t>
            </w:r>
          </w:p>
        </w:tc>
        <w:tc>
          <w:tcPr>
            <w:tcW w:w="2955" w:type="dxa"/>
            <w:noWrap w:val="0"/>
            <w:tcMar>
              <w:top w:w="10" w:type="dxa"/>
              <w:left w:w="113" w:type="dxa"/>
              <w:right w:w="113" w:type="dxa"/>
            </w:tcMar>
            <w:vAlign w:val="center"/>
          </w:tcPr>
          <w:p>
            <w:pPr>
              <w:widowControl/>
              <w:spacing w:line="280" w:lineRule="exact"/>
              <w:jc w:val="left"/>
              <w:textAlignment w:val="center"/>
              <w:rPr>
                <w:rFonts w:hint="eastAsia" w:ascii="仿宋_GB2312" w:hAnsi="仿宋_GB2312" w:cs="仿宋_GB2312"/>
                <w:color w:val="000000"/>
                <w:sz w:val="21"/>
                <w:szCs w:val="21"/>
              </w:rPr>
            </w:pPr>
            <w:r>
              <w:rPr>
                <w:rFonts w:hint="eastAsia" w:ascii="仿宋_GB2312" w:hAnsi="仿宋_GB2312" w:cs="仿宋_GB2312"/>
                <w:color w:val="000000"/>
                <w:kern w:val="0"/>
                <w:sz w:val="21"/>
                <w:szCs w:val="21"/>
                <w:lang w:bidi="ar"/>
              </w:rPr>
              <w:t>低本底液闪测量仪</w:t>
            </w:r>
          </w:p>
        </w:tc>
        <w:tc>
          <w:tcPr>
            <w:tcW w:w="120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1163" w:type="dxa"/>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w:t>
            </w:r>
          </w:p>
        </w:tc>
        <w:tc>
          <w:tcPr>
            <w:tcW w:w="3198" w:type="dxa"/>
            <w:vMerge w:val="continue"/>
            <w:noWrap w:val="0"/>
            <w:tcMar>
              <w:top w:w="10" w:type="dxa"/>
              <w:left w:w="10" w:type="dxa"/>
              <w:right w:w="10" w:type="dxa"/>
            </w:tcMar>
            <w:vAlign w:val="center"/>
          </w:tcPr>
          <w:p>
            <w:pPr>
              <w:spacing w:line="280" w:lineRule="exact"/>
              <w:jc w:val="center"/>
              <w:rPr>
                <w:rFonts w:hint="eastAsia" w:ascii="仿宋_GB2312" w:hAnsi="仿宋_GB2312" w:cs="仿宋_GB2312"/>
                <w:color w:val="000000"/>
                <w:sz w:val="21"/>
                <w:szCs w:val="21"/>
              </w:rPr>
            </w:pPr>
          </w:p>
        </w:tc>
      </w:tr>
    </w:tbl>
    <w:p>
      <w:pPr>
        <w:adjustRightInd w:val="0"/>
        <w:snapToGrid w:val="0"/>
        <w:spacing w:line="260" w:lineRule="auto"/>
        <w:rPr>
          <w:rFonts w:hint="eastAsia" w:ascii="仿宋_GB2312" w:hAnsi="仿宋_GB2312" w:cs="仿宋_GB2312"/>
          <w:sz w:val="20"/>
          <w:szCs w:val="20"/>
        </w:rPr>
      </w:pPr>
      <w:r>
        <w:rPr>
          <w:rFonts w:hint="eastAsia" w:ascii="仿宋_GB2312" w:hAnsi="仿宋_GB2312" w:cs="仿宋_GB2312"/>
          <w:sz w:val="20"/>
          <w:szCs w:val="20"/>
        </w:rPr>
        <w:t>注：1.机构应根据实际工作需要配置干燥箱、压力计、温湿度计、离心机等辅助设备；</w:t>
      </w:r>
    </w:p>
    <w:p>
      <w:pPr>
        <w:adjustRightInd w:val="0"/>
        <w:snapToGrid w:val="0"/>
        <w:spacing w:line="260" w:lineRule="auto"/>
        <w:rPr>
          <w:rFonts w:hint="eastAsia" w:ascii="仿宋_GB2312" w:hAnsi="仿宋_GB2312" w:cs="仿宋_GB2312"/>
          <w:sz w:val="20"/>
          <w:szCs w:val="20"/>
        </w:rPr>
      </w:pPr>
      <w:r>
        <w:rPr>
          <w:rFonts w:hint="eastAsia" w:ascii="仿宋_GB2312" w:hAnsi="仿宋_GB2312" w:cs="仿宋_GB2312"/>
          <w:sz w:val="20"/>
          <w:szCs w:val="20"/>
        </w:rPr>
        <w:t xml:space="preserve">    2.标注“/”的设备不做要求，机构可根据实际需要配置。</w:t>
      </w:r>
    </w:p>
    <w:p>
      <w:pPr>
        <w:widowControl/>
        <w:jc w:val="left"/>
        <w:rPr>
          <w:rFonts w:ascii="黑体" w:hAnsi="黑体" w:eastAsia="黑体" w:cs="黑体"/>
          <w:szCs w:val="32"/>
          <w:shd w:val="clear" w:color="auto" w:fill="FFFFFF"/>
          <w:lang w:bidi="ar"/>
        </w:rPr>
      </w:pPr>
      <w:r>
        <w:rPr>
          <w:rFonts w:eastAsia="宋体"/>
          <w:sz w:val="20"/>
          <w:szCs w:val="20"/>
        </w:rPr>
        <w:br w:type="page"/>
      </w:r>
      <w:r>
        <w:rPr>
          <w:rFonts w:hint="eastAsia" w:ascii="黑体" w:hAnsi="黑体" w:eastAsia="黑体" w:cs="黑体"/>
          <w:szCs w:val="32"/>
          <w:shd w:val="clear" w:color="auto" w:fill="FFFFFF"/>
          <w:lang w:bidi="ar"/>
        </w:rPr>
        <w:t>附录4</w:t>
      </w:r>
    </w:p>
    <w:p>
      <w:pPr>
        <w:jc w:val="center"/>
        <w:rPr>
          <w:rFonts w:hint="eastAsia" w:ascii="华文中宋" w:hAnsi="华文中宋" w:eastAsia="华文中宋"/>
          <w:b/>
          <w:sz w:val="36"/>
          <w:szCs w:val="36"/>
        </w:rPr>
      </w:pPr>
      <w:r>
        <w:rPr>
          <w:rFonts w:hint="eastAsia" w:ascii="华文中宋" w:hAnsi="华文中宋" w:eastAsia="华文中宋"/>
          <w:b/>
          <w:sz w:val="36"/>
          <w:szCs w:val="36"/>
        </w:rPr>
        <w:t>第一类业务范围检测项目表</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7"/>
        <w:gridCol w:w="3762"/>
        <w:gridCol w:w="713"/>
        <w:gridCol w:w="998"/>
        <w:gridCol w:w="713"/>
        <w:gridCol w:w="1426"/>
        <w:gridCol w:w="10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vMerge w:val="restart"/>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项目</w:t>
            </w:r>
          </w:p>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编号</w:t>
            </w:r>
          </w:p>
        </w:tc>
        <w:tc>
          <w:tcPr>
            <w:tcW w:w="3762" w:type="dxa"/>
            <w:vMerge w:val="restart"/>
            <w:noWrap w:val="0"/>
            <w:tcMar>
              <w:top w:w="15" w:type="dxa"/>
              <w:left w:w="113" w:type="dxa"/>
              <w:right w:w="28"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检  测  项  目</w:t>
            </w:r>
          </w:p>
        </w:tc>
        <w:tc>
          <w:tcPr>
            <w:tcW w:w="3850" w:type="dxa"/>
            <w:gridSpan w:val="4"/>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条  件  要  求</w:t>
            </w:r>
          </w:p>
        </w:tc>
        <w:tc>
          <w:tcPr>
            <w:tcW w:w="105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507" w:type="dxa"/>
            <w:vMerge w:val="continue"/>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3762" w:type="dxa"/>
            <w:vMerge w:val="continue"/>
            <w:noWrap w:val="0"/>
            <w:tcMar>
              <w:top w:w="15" w:type="dxa"/>
              <w:left w:w="113" w:type="dxa"/>
              <w:right w:w="28" w:type="dxa"/>
            </w:tcMar>
            <w:vAlign w:val="center"/>
          </w:tcPr>
          <w:p>
            <w:pPr>
              <w:spacing w:line="300" w:lineRule="exact"/>
              <w:jc w:val="left"/>
              <w:rPr>
                <w:rFonts w:hint="eastAsia" w:ascii="仿宋_GB2312" w:hAnsi="仿宋_GB2312" w:cs="仿宋_GB2312"/>
                <w:bCs/>
                <w:sz w:val="21"/>
                <w:szCs w:val="21"/>
              </w:rPr>
            </w:pP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采矿业</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化工、石化及医药</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冶金</w:t>
            </w:r>
          </w:p>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、建材</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机械制造、电力、纺织、建筑和交通运输等行业领域</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一</w:t>
            </w:r>
          </w:p>
        </w:tc>
        <w:tc>
          <w:tcPr>
            <w:tcW w:w="8663" w:type="dxa"/>
            <w:gridSpan w:val="6"/>
            <w:noWrap w:val="0"/>
            <w:tcMar>
              <w:top w:w="15" w:type="dxa"/>
              <w:left w:w="113" w:type="dxa"/>
              <w:right w:w="28" w:type="dxa"/>
            </w:tcMar>
            <w:vAlign w:val="center"/>
          </w:tcPr>
          <w:p>
            <w:pPr>
              <w:spacing w:line="300" w:lineRule="exact"/>
              <w:jc w:val="left"/>
              <w:rPr>
                <w:rFonts w:hint="eastAsia" w:ascii="仿宋_GB2312" w:hAnsi="仿宋_GB2312" w:cs="仿宋_GB2312"/>
                <w:bCs/>
                <w:sz w:val="21"/>
                <w:szCs w:val="21"/>
              </w:rPr>
            </w:pPr>
            <w:r>
              <w:rPr>
                <w:rFonts w:hint="eastAsia" w:ascii="仿宋_GB2312" w:hAnsi="仿宋_GB2312" w:cs="仿宋_GB2312"/>
                <w:bCs/>
                <w:kern w:val="0"/>
                <w:sz w:val="21"/>
                <w:szCs w:val="21"/>
              </w:rPr>
              <w:t>化学有害因素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安妥</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氨</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2-氨基吡啶</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氨基磺酸铵</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氨基氰</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奥克托今</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巴豆醛（丁烯醛）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百草枯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百菌清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钡及其可溶性化合物（按Ba计）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倍硫磷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苯基醚（二苯醚）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苯醌</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吡啶</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苄基氯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丙酮氰醇（按CN计）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丙烯腈</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丙烯菊酯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丙烯酸甲酯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丙烯酸正丁酯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丙烯酰胺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草甘膦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草酸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抽余油（60℃</w:t>
            </w:r>
            <w:r>
              <w:rPr>
                <w:rFonts w:hint="eastAsia" w:ascii="微软雅黑" w:hAnsi="微软雅黑" w:eastAsia="微软雅黑" w:cs="微软雅黑"/>
                <w:bCs/>
                <w:kern w:val="0"/>
                <w:sz w:val="21"/>
                <w:szCs w:val="21"/>
              </w:rPr>
              <w:t>〜</w:t>
            </w:r>
            <w:r>
              <w:rPr>
                <w:rFonts w:hint="eastAsia" w:ascii="仿宋_GB2312" w:hAnsi="仿宋_GB2312" w:cs="仿宋_GB2312"/>
                <w:bCs/>
                <w:kern w:val="0"/>
                <w:sz w:val="21"/>
                <w:szCs w:val="21"/>
              </w:rPr>
              <w:t>220℃）</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重氮甲烷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臭氧</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o,o-二甲基-S-（甲基氨基甲酰甲基）二硫代磷酸酯（乐果）</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lang w:val="en-US" w:eastAsia="zh-CN"/>
              </w:rPr>
              <w:t>o</w:t>
            </w:r>
            <w:r>
              <w:rPr>
                <w:rFonts w:hint="eastAsia" w:ascii="仿宋_GB2312" w:hAnsi="仿宋_GB2312" w:cs="仿宋_GB2312"/>
                <w:bCs/>
                <w:kern w:val="0"/>
                <w:sz w:val="21"/>
                <w:szCs w:val="21"/>
              </w:rPr>
              <w:t>,</w:t>
            </w:r>
            <w:r>
              <w:rPr>
                <w:rFonts w:hint="eastAsia" w:ascii="仿宋_GB2312" w:hAnsi="仿宋_GB2312" w:cs="仿宋_GB2312"/>
                <w:bCs/>
                <w:kern w:val="0"/>
                <w:sz w:val="21"/>
                <w:szCs w:val="21"/>
                <w:lang w:val="en-US" w:eastAsia="zh-CN"/>
              </w:rPr>
              <w:t>o</w:t>
            </w:r>
            <w:r>
              <w:rPr>
                <w:rFonts w:hint="eastAsia" w:ascii="仿宋_GB2312" w:hAnsi="仿宋_GB2312" w:cs="仿宋_GB2312"/>
                <w:bCs/>
                <w:kern w:val="0"/>
                <w:sz w:val="21"/>
                <w:szCs w:val="21"/>
              </w:rPr>
              <w:t>-二甲基-（2,2,2-三氯-1-羟基乙基）磷酸酯（敌百虫）</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N-3,4-二氯苯基-N`,N`-二甲基脲（敌草隆）</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2,4-二氯苯氧基乙酸（2,4-滴）</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sz w:val="21"/>
              </w:rPr>
              <w:fldChar w:fldCharType="begin"/>
            </w:r>
            <w:r>
              <w:rPr>
                <w:rFonts w:hint="eastAsia" w:ascii="仿宋_GB2312" w:hAnsi="仿宋_GB2312" w:cs="仿宋_GB2312"/>
                <w:sz w:val="21"/>
              </w:rPr>
              <w:instrText xml:space="preserve"> HYPERLINK "http://www.bing.com/knows/search?q=%E5%8F%8C%E5%AF%B9%E6%B0%AF%E8%8B%AF%E5%9F%BA%E4%B8%89%E6%B0%AF%E4%B9%99%E7%83%B7&amp;mkt=zh-cn&amp;mkt=zh-cn&amp;form=BKACAI" \o "http://www.bing.com/knows/search?q=%E5%8F%8C%E5%AF%B9%E6%B0%AF%E8%8B%AF%E5%9F%BA%E4%B8%89%E6%B0%AF%E4%B9%99%E7%83%B7&amp;mkt=zh-cn&amp;mkt=zh-cn&amp;form=BKACAI" </w:instrText>
            </w:r>
            <w:r>
              <w:rPr>
                <w:rFonts w:hint="eastAsia" w:ascii="仿宋_GB2312" w:hAnsi="仿宋_GB2312" w:cs="仿宋_GB2312"/>
                <w:sz w:val="21"/>
              </w:rPr>
              <w:fldChar w:fldCharType="separate"/>
            </w:r>
            <w:r>
              <w:rPr>
                <w:rFonts w:hint="eastAsia" w:ascii="仿宋_GB2312" w:hAnsi="仿宋_GB2312" w:cs="仿宋_GB2312"/>
                <w:bCs/>
                <w:kern w:val="0"/>
                <w:sz w:val="21"/>
                <w:szCs w:val="21"/>
              </w:rPr>
              <w:t>二氯二苯基三氯乙烷（滴滴涕，DDT）</w:t>
            </w:r>
            <w:r>
              <w:rPr>
                <w:rFonts w:hint="eastAsia" w:ascii="仿宋_GB2312" w:hAnsi="仿宋_GB2312" w:cs="仿宋_GB2312"/>
                <w:bCs/>
                <w:kern w:val="0"/>
                <w:sz w:val="21"/>
                <w:szCs w:val="21"/>
              </w:rPr>
              <w:fldChar w:fldCharType="end"/>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碲及其化合物（不含碲化氢）（按Te计）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碲化铋（按Bi</w:t>
            </w:r>
            <w:r>
              <w:rPr>
                <w:rFonts w:hint="eastAsia" w:ascii="仿宋_GB2312" w:hAnsi="仿宋_GB2312" w:cs="仿宋_GB2312"/>
                <w:bCs/>
                <w:kern w:val="0"/>
                <w:sz w:val="21"/>
                <w:szCs w:val="21"/>
                <w:vertAlign w:val="subscript"/>
              </w:rPr>
              <w:t>2</w:t>
            </w:r>
            <w:r>
              <w:rPr>
                <w:rFonts w:hint="eastAsia" w:ascii="仿宋_GB2312" w:hAnsi="仿宋_GB2312" w:cs="仿宋_GB2312"/>
                <w:bCs/>
                <w:kern w:val="0"/>
                <w:sz w:val="21"/>
                <w:szCs w:val="21"/>
              </w:rPr>
              <w:t>Te</w:t>
            </w:r>
            <w:r>
              <w:rPr>
                <w:rFonts w:hint="eastAsia" w:ascii="仿宋_GB2312" w:hAnsi="仿宋_GB2312" w:cs="仿宋_GB2312"/>
                <w:bCs/>
                <w:kern w:val="0"/>
                <w:sz w:val="21"/>
                <w:szCs w:val="21"/>
                <w:vertAlign w:val="subscript"/>
              </w:rPr>
              <w:t>3</w:t>
            </w:r>
            <w:r>
              <w:rPr>
                <w:rFonts w:hint="eastAsia" w:ascii="仿宋_GB2312" w:hAnsi="仿宋_GB2312" w:cs="仿宋_GB2312"/>
                <w:bCs/>
                <w:kern w:val="0"/>
                <w:sz w:val="21"/>
                <w:szCs w:val="21"/>
              </w:rPr>
              <w:t>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碘仿</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碘甲烷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叠氮酸蒸气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叠氮化钠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1,3-丁二烯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2-丁氧基乙醇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丁烯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毒死蜱</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52</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对苯二胺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对苯二甲酸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对二氯苯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对特丁基甲苯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对硝基苯胺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对硝基氯苯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59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多次甲基多苯基多异氰酸酯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二苯基甲烷二异氰酸酯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二丙二醇甲醚（2-甲氧基甲乙氧基丙醇）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二丙酮醇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2-N-二丁氨基乙醇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二噁烷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二噁英类化合物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二氟氯甲烷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二甲胺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69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二甲苯（全部异构体）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N,N-二甲基苯胺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bl>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7"/>
        <w:gridCol w:w="3762"/>
        <w:gridCol w:w="713"/>
        <w:gridCol w:w="998"/>
        <w:gridCol w:w="713"/>
        <w:gridCol w:w="1426"/>
        <w:gridCol w:w="10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1,3-二甲基丁基乙酸酯（仲-乙酸己酯）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二甲基二氯硅烷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N,N-二甲基甲酰胺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3,3-二甲基联苯胺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75</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二甲基亚砜</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N,N-二甲基乙酰胺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二甲氧基甲烷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二聚环戊二烯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79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二硫化碳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1,1-二氯-1-硝基乙烷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1,3-二氯丙醇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1,2-二氯丙烷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1,3-二氯丙烯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二氯二氟甲烷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二氯甲烷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二氯乙炔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1,2-二氯乙烷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1,2-二氯乙烯（全部异构体）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89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二硼烷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二缩水甘油醚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二硝基苯（全部异构体）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二硝基甲苯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4,6-二硝基邻甲酚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2,4-二硝基氯苯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氮氧化物（一氧化氮和二氧化氮）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二氧化硫</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二氧化氯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二氧化碳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99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二氧化锡（按Sn计）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2-二乙氨基乙醇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二乙烯三胺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二乙基甲酮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二乙烯基苯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二异丁基甲酮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甲苯-2,4-二异氰酸酯（TDI）</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二月桂酸二丁基锡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钒及其化合物（按V计）</w:t>
            </w:r>
          </w:p>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五氧化二钒烟尘</w:t>
            </w:r>
          </w:p>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钒铁合金尘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109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呋喃</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氟化氢（按F计）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氟及其化合物（不含氟化氢）（按F计）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锆及其化合物（按Zr计）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镉及其化合物（按Cd计）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汞-金属汞（蒸气）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汞-有机汞化合物（按Hg计）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钴及其化合物（按Co计）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过氧化苯甲酰</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过氧化甲乙酮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过氧化氢</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环己胺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环己醇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环己酮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环己烷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环三次甲基三硝胺（黑索金）</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环氧丙烷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环氧氯丙烷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环氧乙烷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黄磷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129</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邻-茴香胺</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对-茴香胺</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己二醇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1,6-己二异氰酸酯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己内酰胺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2-己酮（甲基正丁基甲酮）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一甲胺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甲拌磷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137</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N-甲苯胺</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o-甲苯胺</w:t>
            </w:r>
          </w:p>
        </w:tc>
        <w:tc>
          <w:tcPr>
            <w:tcW w:w="71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139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甲酚（全部异构体）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甲基丙烯腈</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甲基丙烯酸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甲基丙烯酸甲酯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甲基丙烯酸缩水甘油酯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甲基内吸磷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18-甲基炔诺酮（炔诺孕酮）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甲基叔丁基醚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甲硫醇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149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150</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甲乙酮（2-丁酮）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2-甲氧基乙醇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2-甲氧基乙基乙酸酯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甲氧氯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间苯二酚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焦炉逸散物（按苯溶物计）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久效磷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159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糠醇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糠醛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考的松</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苦味酸（2,4,6-三硝基苯酚）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癸硼烷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联苯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邻苯二甲酸二丁酯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邻苯二甲酸酐</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邻二氯苯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top"/>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邻氯苯乙烯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169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邻氯苄叉丙二腈</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邻仲丁基苯酚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磷胺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磷化氢</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磷酸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磷酸二丁基苯酯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硫化氢</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硫酸钡（按Ba计）</w:t>
            </w:r>
          </w:p>
        </w:tc>
        <w:tc>
          <w:tcPr>
            <w:tcW w:w="713"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硫酸二甲酯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硫酸及三氧化硫</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179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硫酰氟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六氟丙酮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六氟丙烯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六氟化硫</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六六六（六氯环己烷）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i/>
                <w:kern w:val="0"/>
                <w:sz w:val="21"/>
                <w:szCs w:val="21"/>
              </w:rPr>
              <w:t>γ</w:t>
            </w:r>
            <w:r>
              <w:rPr>
                <w:rFonts w:hint="eastAsia" w:ascii="仿宋_GB2312" w:hAnsi="仿宋_GB2312" w:cs="仿宋_GB2312"/>
                <w:bCs/>
                <w:kern w:val="0"/>
                <w:sz w:val="21"/>
                <w:szCs w:val="21"/>
              </w:rPr>
              <w:t>-六六六（</w:t>
            </w:r>
            <w:r>
              <w:rPr>
                <w:rFonts w:hint="eastAsia" w:ascii="仿宋_GB2312" w:hAnsi="仿宋_GB2312" w:cs="仿宋_GB2312"/>
                <w:bCs/>
                <w:i/>
                <w:kern w:val="0"/>
                <w:sz w:val="21"/>
                <w:szCs w:val="21"/>
              </w:rPr>
              <w:t>γ</w:t>
            </w:r>
            <w:r>
              <w:rPr>
                <w:rFonts w:hint="eastAsia" w:ascii="仿宋_GB2312" w:hAnsi="仿宋_GB2312" w:cs="仿宋_GB2312"/>
                <w:bCs/>
                <w:kern w:val="0"/>
                <w:sz w:val="21"/>
                <w:szCs w:val="21"/>
              </w:rPr>
              <w:t>-六氯环己烷）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六氯丁二烯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六氯环戊二烯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六氯萘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六氯乙烷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189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β-氯丁二烯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氯化铵烟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氯化汞（升汞）</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氯化氢及盐酸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氯化氰</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199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氯化锌烟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氯甲醚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氯联苯（54%氯）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default" w:ascii="Arial" w:hAnsi="Arial" w:cs="Arial"/>
                <w:bCs/>
                <w:kern w:val="0"/>
                <w:sz w:val="21"/>
                <w:szCs w:val="21"/>
              </w:rPr>
              <w:t>α</w:t>
            </w:r>
            <w:r>
              <w:rPr>
                <w:rFonts w:hint="eastAsia" w:ascii="仿宋_GB2312" w:hAnsi="仿宋_GB2312" w:cs="仿宋_GB2312"/>
                <w:bCs/>
                <w:kern w:val="0"/>
                <w:sz w:val="21"/>
                <w:szCs w:val="21"/>
              </w:rPr>
              <w:t>-氯乙酰苯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209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氯乙酰氯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马拉硫磷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马来酸酐</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吗啉</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煤焦油沥青挥发物（按苯溶物计）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锰及其无机化合物（按Mn</w:t>
            </w:r>
            <w:r>
              <w:rPr>
                <w:rFonts w:hint="default" w:ascii="仿宋_GB2312" w:hAnsi="仿宋_GB2312" w:cs="仿宋_GB2312"/>
                <w:bCs/>
                <w:kern w:val="0"/>
                <w:sz w:val="21"/>
                <w:szCs w:val="21"/>
                <w:lang w:val="en-US"/>
              </w:rPr>
              <w:t>O</w:t>
            </w:r>
            <w:r>
              <w:rPr>
                <w:rFonts w:hint="eastAsia" w:ascii="仿宋_GB2312" w:hAnsi="仿宋_GB2312" w:cs="仿宋_GB2312"/>
                <w:bCs/>
                <w:kern w:val="0"/>
                <w:sz w:val="21"/>
                <w:szCs w:val="21"/>
                <w:vertAlign w:val="subscript"/>
              </w:rPr>
              <w:t>2</w:t>
            </w:r>
            <w:r>
              <w:rPr>
                <w:rFonts w:hint="eastAsia" w:ascii="仿宋_GB2312" w:hAnsi="仿宋_GB2312" w:cs="仿宋_GB2312"/>
                <w:bCs/>
                <w:kern w:val="0"/>
                <w:sz w:val="21"/>
                <w:szCs w:val="21"/>
              </w:rPr>
              <w:t>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钼及其化合物（按Mo计）</w:t>
            </w:r>
            <w:r>
              <w:rPr>
                <w:rFonts w:hint="eastAsia" w:ascii="仿宋_GB2312" w:hAnsi="仿宋_GB2312" w:cs="仿宋_GB2312"/>
                <w:bCs/>
                <w:kern w:val="0"/>
                <w:sz w:val="21"/>
                <w:szCs w:val="21"/>
              </w:rPr>
              <w:br w:type="textWrapping"/>
            </w:r>
            <w:r>
              <w:rPr>
                <w:rFonts w:hint="eastAsia" w:ascii="仿宋_GB2312" w:hAnsi="仿宋_GB2312" w:cs="仿宋_GB2312"/>
                <w:bCs/>
                <w:kern w:val="0"/>
                <w:sz w:val="21"/>
                <w:szCs w:val="21"/>
              </w:rPr>
              <w:t>钼，不溶性化合物</w:t>
            </w:r>
            <w:r>
              <w:rPr>
                <w:rFonts w:hint="eastAsia" w:ascii="仿宋_GB2312" w:hAnsi="仿宋_GB2312" w:cs="仿宋_GB2312"/>
                <w:bCs/>
                <w:kern w:val="0"/>
                <w:sz w:val="21"/>
                <w:szCs w:val="21"/>
              </w:rPr>
              <w:br w:type="textWrapping"/>
            </w:r>
            <w:r>
              <w:rPr>
                <w:rFonts w:hint="eastAsia" w:ascii="仿宋_GB2312" w:hAnsi="仿宋_GB2312" w:cs="仿宋_GB2312"/>
                <w:bCs/>
                <w:kern w:val="0"/>
                <w:sz w:val="21"/>
                <w:szCs w:val="21"/>
              </w:rPr>
              <w:t>钼，可溶性化合物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内吸磷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2-萘酚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219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萘烷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尿素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镍及其无机化合物(按Ni计)</w:t>
            </w:r>
            <w:r>
              <w:rPr>
                <w:rFonts w:hint="eastAsia" w:ascii="仿宋_GB2312" w:hAnsi="仿宋_GB2312" w:cs="仿宋_GB2312"/>
                <w:bCs/>
                <w:sz w:val="21"/>
                <w:szCs w:val="21"/>
              </w:rPr>
              <w:t xml:space="preserve"> </w:t>
            </w:r>
          </w:p>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金属镍与难溶性镍化合物</w:t>
            </w:r>
          </w:p>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可溶性镍化合物</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铍及其化合物（按Be计）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偏二甲基肼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224</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铅及其无机化合物（按Pb计）、铅尘、铅烟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225</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氢化锂</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氢醌</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227</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氢氧化钾</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228</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氢氧化钠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229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氢氧化铯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氰氨化钙</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231</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氰化氢（按CN计）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232</w:t>
            </w:r>
          </w:p>
        </w:tc>
        <w:tc>
          <w:tcPr>
            <w:tcW w:w="3762" w:type="dxa"/>
            <w:noWrap w:val="0"/>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氰化物（按CN计）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氰戊菊酯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全氟异丁烯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壬烷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溶剂汽油</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乳酸正丁酯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三氟化氯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239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三氟化硼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三氟甲基次氟化物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三甲苯磷酸酯（全部异构体）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三甲基氯化锡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1,2,3-三氯丙烷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三氯化磷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三氯甲烷（氯仿）</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三氯硫磷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三氯氢硅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三氯氧磷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249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三氯乙醛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1,1,1-三氯乙烷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三氯乙烯</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三硝基甲苯</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三溴甲烷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三氧化铬、铬酸盐、重铬酸盐（按Cr计）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三乙基氯化锡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杀螟松</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杀鼠灵（3-（1-丙酮基苄基）-4-羟基香豆素；华法林）</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砷化氢（胂）</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259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砷及其无机化合物（按As计）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石蜡烟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十溴联苯醚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eastAsia="仿宋_GB2312" w:cs="仿宋_GB2312"/>
                <w:bCs/>
                <w:kern w:val="0"/>
                <w:sz w:val="21"/>
                <w:szCs w:val="21"/>
                <w:lang w:eastAsia="zh-CN"/>
              </w:rPr>
            </w:pPr>
            <w:r>
              <w:rPr>
                <w:rFonts w:hint="eastAsia" w:ascii="仿宋_GB2312" w:hAnsi="仿宋_GB2312" w:cs="仿宋_GB2312"/>
                <w:bCs/>
                <w:kern w:val="0"/>
                <w:sz w:val="21"/>
                <w:szCs w:val="21"/>
              </w:rPr>
              <w:t>石油沥青烟</w:t>
            </w:r>
            <w:r>
              <w:rPr>
                <w:rFonts w:hint="eastAsia" w:ascii="仿宋_GB2312" w:hAnsi="仿宋_GB2312" w:cs="仿宋_GB2312"/>
                <w:bCs/>
                <w:kern w:val="0"/>
                <w:sz w:val="21"/>
                <w:szCs w:val="21"/>
                <w:lang w:eastAsia="zh-CN"/>
              </w:rPr>
              <w:t>（</w:t>
            </w:r>
            <w:r>
              <w:rPr>
                <w:rFonts w:hint="eastAsia" w:ascii="仿宋_GB2312" w:hAnsi="仿宋_GB2312" w:cs="仿宋_GB2312"/>
                <w:bCs/>
                <w:kern w:val="0"/>
                <w:sz w:val="21"/>
                <w:szCs w:val="21"/>
              </w:rPr>
              <w:t>按苯溶物计</w:t>
            </w:r>
            <w:r>
              <w:rPr>
                <w:rFonts w:hint="eastAsia" w:ascii="仿宋_GB2312" w:hAnsi="仿宋_GB2312" w:cs="仿宋_GB2312"/>
                <w:bCs/>
                <w:kern w:val="0"/>
                <w:sz w:val="21"/>
                <w:szCs w:val="21"/>
                <w:lang w:val="en-US" w:eastAsia="zh-CN"/>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双（巯基乙酸）二辛基锡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双酚A</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双硫醒</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双氯甲醚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四氯化碳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269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四氢呋喃</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四氢化硅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四氢化锗</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bl>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7"/>
        <w:gridCol w:w="3762"/>
        <w:gridCol w:w="713"/>
        <w:gridCol w:w="998"/>
        <w:gridCol w:w="713"/>
        <w:gridCol w:w="1426"/>
        <w:gridCol w:w="10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四溴化碳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四乙基铅（按Pb计）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松节油</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铊及其可溶性化合物（按T</w:t>
            </w:r>
            <w:r>
              <w:rPr>
                <w:rFonts w:hint="eastAsia" w:ascii="仿宋_GB2312" w:hAnsi="仿宋_GB2312" w:cs="仿宋_GB2312"/>
                <w:bCs/>
                <w:kern w:val="0"/>
                <w:sz w:val="21"/>
                <w:szCs w:val="21"/>
                <w:lang w:val="en-US" w:eastAsia="zh-CN"/>
              </w:rPr>
              <w:t>l</w:t>
            </w:r>
            <w:r>
              <w:rPr>
                <w:rFonts w:hint="eastAsia" w:ascii="仿宋_GB2312" w:hAnsi="仿宋_GB2312" w:cs="仿宋_GB2312"/>
                <w:bCs/>
                <w:kern w:val="0"/>
                <w:sz w:val="21"/>
                <w:szCs w:val="21"/>
              </w:rPr>
              <w:t>计）</w:t>
            </w:r>
          </w:p>
        </w:tc>
        <w:tc>
          <w:tcPr>
            <w:tcW w:w="713"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钽及其氧化物（按Ta计）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碳酸钠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碳酰氯（光气）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279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羰基氟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羰基镍（按Ni计）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锑及其化合物（按Sb计）</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282</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铜（按Cu计）</w:t>
            </w:r>
            <w:r>
              <w:rPr>
                <w:rFonts w:hint="eastAsia" w:ascii="仿宋_GB2312" w:hAnsi="仿宋_GB2312" w:cs="仿宋_GB2312"/>
                <w:bCs/>
                <w:kern w:val="0"/>
                <w:sz w:val="21"/>
                <w:szCs w:val="21"/>
              </w:rPr>
              <w:br w:type="textWrapping"/>
            </w:r>
            <w:r>
              <w:rPr>
                <w:rFonts w:hint="eastAsia" w:ascii="仿宋_GB2312" w:hAnsi="仿宋_GB2312" w:cs="仿宋_GB2312"/>
                <w:bCs/>
                <w:kern w:val="0"/>
                <w:sz w:val="21"/>
                <w:szCs w:val="21"/>
              </w:rPr>
              <w:t>铜尘</w:t>
            </w:r>
            <w:r>
              <w:rPr>
                <w:rFonts w:hint="eastAsia" w:ascii="仿宋_GB2312" w:hAnsi="仿宋_GB2312" w:cs="仿宋_GB2312"/>
                <w:bCs/>
                <w:kern w:val="0"/>
                <w:sz w:val="21"/>
                <w:szCs w:val="21"/>
              </w:rPr>
              <w:br w:type="textWrapping"/>
            </w:r>
            <w:r>
              <w:rPr>
                <w:rFonts w:hint="eastAsia" w:ascii="仿宋_GB2312" w:hAnsi="仿宋_GB2312" w:cs="仿宋_GB2312"/>
                <w:bCs/>
                <w:kern w:val="0"/>
                <w:sz w:val="21"/>
                <w:szCs w:val="21"/>
              </w:rPr>
              <w:t>铜烟</w:t>
            </w:r>
          </w:p>
        </w:tc>
        <w:tc>
          <w:tcPr>
            <w:tcW w:w="713" w:type="dxa"/>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钨及其不溶性化合物（按W计）</w:t>
            </w:r>
          </w:p>
        </w:tc>
        <w:tc>
          <w:tcPr>
            <w:tcW w:w="713"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top"/>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五氟一氯乙烷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五硫化二磷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五氯酚及其钠盐</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五羰基铁（按Fe计）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五氧化二磷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289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戊醇</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戊烷（全部异构体）</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硒化氢（按Se计）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292</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硒及其化合物（按Se计）（不包括六氟化硒、硒化氢）</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纤维素</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硝化甘油</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硝基苯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1-硝基丙烷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2-硝基丙烷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硝基甲苯（全部异构体）</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299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硝基甲烷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硝基乙烷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辛烷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溴</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溴化氢</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1-溴丙烷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溴甲烷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溴氰菊酯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溴鼠灵</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氧化钙</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309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氧化镁烟</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氧化锌</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氧乐果</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液化石油气</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313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一氧化碳</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乙苯</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乙醇胺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乙二胺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乙二醇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319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乙二醇二硝酸酯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乙酐</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N-乙基吗啉</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乙基戊基甲酮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乙腈</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乙硫醇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乙酸丙酯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329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乙酸丁酯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乙酸戊酯（全部异构体）</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乙酸乙烯酯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乙酸乙酯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kern w:val="0"/>
                <w:sz w:val="21"/>
                <w:szCs w:val="21"/>
              </w:rPr>
            </w:pPr>
            <w:r>
              <w:rPr>
                <w:rFonts w:hint="eastAsia" w:ascii="仿宋_GB2312" w:hAnsi="仿宋_GB2312" w:cs="仿宋_GB2312"/>
                <w:bCs/>
                <w:kern w:val="0"/>
                <w:sz w:val="21"/>
                <w:szCs w:val="21"/>
              </w:rPr>
              <w:t>乙烯酮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乙酰甲胺磷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乙酰水杨酸（阿司匹林）</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2-乙氧基乙醇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2-乙氧基乙基乙酸酯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339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钇及其化合物（按Y计）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异丙胺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N-异丙基苯胺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异稻瘟净</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异佛尔酮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异佛尔酮二异氰酸酯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异氰酸甲酯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异亚丙基丙酮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铟及其化合物（按In计）</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349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莠去津</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正丙醇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i/>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正丁基硫醇</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i/>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正丁基缩水甘油醚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正丁醛</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正庚烷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正己烷</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359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总粉尘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呼吸性粉尘</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粉尘中游离二氧化硅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粉尘分散度</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石棉纤维</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超细颗粒和细颗粒</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
                <w:sz w:val="21"/>
                <w:szCs w:val="21"/>
              </w:rPr>
            </w:pPr>
            <w:r>
              <w:rPr>
                <w:rFonts w:hint="eastAsia" w:ascii="仿宋_GB2312" w:hAnsi="仿宋_GB2312" w:cs="仿宋_GB2312"/>
                <w:b/>
                <w:kern w:val="0"/>
                <w:sz w:val="21"/>
                <w:szCs w:val="21"/>
              </w:rPr>
              <w:t>二</w:t>
            </w:r>
          </w:p>
        </w:tc>
        <w:tc>
          <w:tcPr>
            <w:tcW w:w="8663" w:type="dxa"/>
            <w:gridSpan w:val="6"/>
            <w:noWrap w:val="0"/>
            <w:tcMar>
              <w:top w:w="15" w:type="dxa"/>
              <w:left w:w="113" w:type="dxa"/>
              <w:right w:w="28" w:type="dxa"/>
            </w:tcMar>
            <w:vAlign w:val="center"/>
          </w:tcPr>
          <w:p>
            <w:pPr>
              <w:spacing w:line="300" w:lineRule="exact"/>
              <w:jc w:val="left"/>
              <w:rPr>
                <w:rFonts w:hint="eastAsia" w:ascii="仿宋_GB2312" w:hAnsi="仿宋_GB2312" w:cs="仿宋_GB2312"/>
                <w:b/>
                <w:sz w:val="21"/>
                <w:szCs w:val="21"/>
              </w:rPr>
            </w:pPr>
            <w:r>
              <w:rPr>
                <w:rFonts w:hint="eastAsia" w:ascii="仿宋_GB2312" w:hAnsi="仿宋_GB2312" w:cs="仿宋_GB2312"/>
                <w:b/>
                <w:kern w:val="0"/>
                <w:sz w:val="21"/>
                <w:szCs w:val="21"/>
              </w:rPr>
              <w:t>物理因素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噪声</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高温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紫外辐射</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手传振动</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369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微波辐射</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1Hz～100kHz电场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高频电磁场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超高频辐射</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激光辐射</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三</w:t>
            </w:r>
          </w:p>
        </w:tc>
        <w:tc>
          <w:tcPr>
            <w:tcW w:w="8663" w:type="dxa"/>
            <w:gridSpan w:val="6"/>
            <w:noWrap w:val="0"/>
            <w:tcMar>
              <w:top w:w="15" w:type="dxa"/>
              <w:left w:w="113" w:type="dxa"/>
              <w:right w:w="28" w:type="dxa"/>
            </w:tcMar>
            <w:vAlign w:val="center"/>
          </w:tcPr>
          <w:p>
            <w:pPr>
              <w:spacing w:line="300" w:lineRule="exact"/>
              <w:jc w:val="left"/>
              <w:rPr>
                <w:rFonts w:hint="eastAsia" w:ascii="仿宋_GB2312" w:hAnsi="仿宋_GB2312" w:cs="仿宋_GB2312"/>
                <w:b/>
                <w:sz w:val="21"/>
                <w:szCs w:val="21"/>
              </w:rPr>
            </w:pPr>
            <w:r>
              <w:rPr>
                <w:rFonts w:hint="eastAsia" w:ascii="仿宋_GB2312" w:hAnsi="仿宋_GB2312" w:cs="仿宋_GB2312"/>
                <w:b/>
                <w:kern w:val="0"/>
                <w:sz w:val="21"/>
                <w:szCs w:val="21"/>
              </w:rPr>
              <w:t>通风工程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374</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风速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375</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风压</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376</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风量</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四</w:t>
            </w:r>
          </w:p>
        </w:tc>
        <w:tc>
          <w:tcPr>
            <w:tcW w:w="8663" w:type="dxa"/>
            <w:gridSpan w:val="6"/>
            <w:noWrap w:val="0"/>
            <w:tcMar>
              <w:top w:w="15" w:type="dxa"/>
              <w:left w:w="113" w:type="dxa"/>
              <w:right w:w="28" w:type="dxa"/>
            </w:tcMar>
            <w:vAlign w:val="center"/>
          </w:tcPr>
          <w:p>
            <w:pPr>
              <w:spacing w:line="300" w:lineRule="exact"/>
              <w:jc w:val="left"/>
              <w:rPr>
                <w:rFonts w:hint="eastAsia" w:ascii="仿宋_GB2312" w:hAnsi="仿宋_GB2312" w:cs="仿宋_GB2312"/>
                <w:b/>
                <w:sz w:val="21"/>
                <w:szCs w:val="21"/>
              </w:rPr>
            </w:pPr>
            <w:r>
              <w:rPr>
                <w:rFonts w:hint="eastAsia" w:ascii="仿宋_GB2312" w:hAnsi="仿宋_GB2312" w:cs="仿宋_GB2312"/>
                <w:b/>
                <w:kern w:val="0"/>
                <w:sz w:val="21"/>
                <w:szCs w:val="21"/>
              </w:rPr>
              <w:t>工作环境卫生条件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377</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照度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378</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温度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379</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湿度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Cs/>
                <w:sz w:val="21"/>
                <w:szCs w:val="21"/>
              </w:rPr>
            </w:pPr>
            <w:r>
              <w:rPr>
                <w:rFonts w:hint="eastAsia" w:ascii="仿宋_GB2312" w:hAnsi="仿宋_GB2312" w:cs="仿宋_GB2312"/>
                <w:bCs/>
                <w:kern w:val="0"/>
                <w:sz w:val="21"/>
                <w:szCs w:val="21"/>
              </w:rPr>
              <w:t>380</w:t>
            </w:r>
          </w:p>
        </w:tc>
        <w:tc>
          <w:tcPr>
            <w:tcW w:w="3762" w:type="dxa"/>
            <w:noWrap w:val="0"/>
            <w:tcMar>
              <w:top w:w="15" w:type="dxa"/>
              <w:left w:w="113" w:type="dxa"/>
              <w:right w:w="28" w:type="dxa"/>
            </w:tcMar>
            <w:vAlign w:val="center"/>
          </w:tcPr>
          <w:p>
            <w:pPr>
              <w:widowControl/>
              <w:spacing w:line="300" w:lineRule="exact"/>
              <w:jc w:val="left"/>
              <w:textAlignment w:val="top"/>
              <w:rPr>
                <w:rFonts w:hint="eastAsia" w:ascii="仿宋_GB2312" w:hAnsi="仿宋_GB2312" w:cs="仿宋_GB2312"/>
                <w:bCs/>
                <w:sz w:val="21"/>
                <w:szCs w:val="21"/>
              </w:rPr>
            </w:pPr>
            <w:r>
              <w:rPr>
                <w:rFonts w:hint="eastAsia" w:ascii="仿宋_GB2312" w:hAnsi="仿宋_GB2312" w:cs="仿宋_GB2312"/>
                <w:bCs/>
                <w:kern w:val="0"/>
                <w:sz w:val="21"/>
                <w:szCs w:val="21"/>
              </w:rPr>
              <w:t>气压</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r>
              <w:rPr>
                <w:rFonts w:hint="eastAsia" w:ascii="仿宋_GB2312" w:hAnsi="仿宋_GB2312" w:cs="仿宋_GB2312"/>
                <w:bCs/>
                <w:sz w:val="21"/>
                <w:szCs w:val="21"/>
              </w:rPr>
              <w:t>★</w:t>
            </w:r>
          </w:p>
        </w:tc>
        <w:tc>
          <w:tcPr>
            <w:tcW w:w="998"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713"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426" w:type="dxa"/>
            <w:noWrap w:val="0"/>
            <w:tcMar>
              <w:top w:w="15" w:type="dxa"/>
              <w:left w:w="15" w:type="dxa"/>
              <w:right w:w="15" w:type="dxa"/>
            </w:tcMar>
            <w:vAlign w:val="center"/>
          </w:tcPr>
          <w:p>
            <w:pPr>
              <w:widowControl/>
              <w:spacing w:line="300" w:lineRule="exact"/>
              <w:jc w:val="center"/>
              <w:textAlignment w:val="top"/>
              <w:rPr>
                <w:rFonts w:hint="eastAsia" w:ascii="仿宋_GB2312" w:hAnsi="仿宋_GB2312" w:cs="仿宋_GB2312"/>
                <w:bCs/>
                <w:sz w:val="21"/>
                <w:szCs w:val="21"/>
              </w:rPr>
            </w:pPr>
            <w:r>
              <w:rPr>
                <w:rFonts w:hint="eastAsia" w:ascii="仿宋_GB2312" w:hAnsi="仿宋_GB2312" w:cs="仿宋_GB2312"/>
                <w:bCs/>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五</w:t>
            </w:r>
          </w:p>
        </w:tc>
        <w:tc>
          <w:tcPr>
            <w:tcW w:w="8663" w:type="dxa"/>
            <w:gridSpan w:val="6"/>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b/>
                <w:kern w:val="0"/>
                <w:sz w:val="21"/>
                <w:szCs w:val="21"/>
              </w:rPr>
            </w:pPr>
            <w:r>
              <w:rPr>
                <w:rFonts w:hint="eastAsia" w:ascii="仿宋_GB2312" w:hAnsi="仿宋_GB2312" w:cs="仿宋_GB2312"/>
                <w:b/>
                <w:kern w:val="0"/>
                <w:sz w:val="21"/>
                <w:szCs w:val="21"/>
              </w:rPr>
              <w:t>生物监测指标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尿中苯巯基尿酸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尿中反-反式粘糠酸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尿中苯乙醇酸加苯乙醛酸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尿中丙酮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尿中草甘膦</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386</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尿中1,2-双羟基-4-（N-乙酰半胱胺酸）丁烷</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尿中甲基马尿酸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388</w:t>
            </w:r>
          </w:p>
        </w:tc>
        <w:tc>
          <w:tcPr>
            <w:tcW w:w="3762" w:type="dxa"/>
            <w:noWrap w:val="0"/>
            <w:tcMar>
              <w:top w:w="15" w:type="dxa"/>
              <w:left w:w="113"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血中N-甲基氨甲酰血红蛋白加合物（NMHb）</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389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尿中N-甲基乙酰胺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尿中二氯甲烷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尿中2 -硫代噻唑烷-4-羧酸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尿中总酚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尿中氟</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尿中镉</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血中镉</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尿中总汞</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尿中马尿酸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终末呼出气甲苯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399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尿中甲苯二胺</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尿中总铬</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血中铅</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402</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尿中三氯乙酸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403</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血中4-氨基-2,6-二硝基甲苯-血红蛋白加合物</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404</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血中四氯乙烯</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405</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尿中锑</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406</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尿中总五氯酚</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407</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尿中1-溴丙烷</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408</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血中碳氧血红蛋白</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409</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尿中苯乙醇酸加苯乙醛酸</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410</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全血胆碱酯酶活性（校正值）</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411</w:t>
            </w:r>
          </w:p>
        </w:tc>
        <w:tc>
          <w:tcPr>
            <w:tcW w:w="3762" w:type="dxa"/>
            <w:noWrap w:val="0"/>
            <w:tcMar>
              <w:top w:w="15" w:type="dxa"/>
              <w:left w:w="113" w:type="dxa"/>
              <w:right w:w="28" w:type="dxa"/>
            </w:tcMar>
            <w:vAlign w:val="center"/>
          </w:tcPr>
          <w:p>
            <w:pPr>
              <w:widowControl/>
              <w:spacing w:line="300" w:lineRule="exact"/>
              <w:jc w:val="lef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尿中2,5-己二酮</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998"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713"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426"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051"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p>
        </w:tc>
      </w:tr>
    </w:tbl>
    <w:p>
      <w:pPr>
        <w:widowControl/>
        <w:tabs>
          <w:tab w:val="left" w:pos="312"/>
        </w:tabs>
        <w:spacing w:line="320" w:lineRule="exact"/>
        <w:jc w:val="left"/>
        <w:textAlignment w:val="center"/>
        <w:rPr>
          <w:rFonts w:ascii="仿宋_GB2312" w:hAnsi="仿宋_GB2312" w:cs="仿宋_GB2312"/>
          <w:sz w:val="21"/>
          <w:szCs w:val="21"/>
        </w:rPr>
      </w:pPr>
      <w:r>
        <w:rPr>
          <w:rFonts w:hint="eastAsia" w:ascii="仿宋_GB2312" w:hAnsi="仿宋_GB2312" w:cs="仿宋_GB2312"/>
          <w:sz w:val="21"/>
          <w:szCs w:val="21"/>
        </w:rPr>
        <w:t>注：1.标注“</w:t>
      </w:r>
      <w:r>
        <w:rPr>
          <w:rFonts w:hint="eastAsia" w:ascii="仿宋_GB2312" w:hAnsi="仿宋_GB2312" w:cs="仿宋_GB2312"/>
          <w:bCs/>
          <w:sz w:val="21"/>
          <w:szCs w:val="21"/>
        </w:rPr>
        <w:t>★</w:t>
      </w:r>
      <w:r>
        <w:rPr>
          <w:rFonts w:hint="eastAsia" w:ascii="仿宋_GB2312" w:hAnsi="仿宋_GB2312" w:cs="仿宋_GB2312"/>
          <w:sz w:val="21"/>
          <w:szCs w:val="21"/>
        </w:rPr>
        <w:t>”为重点检测项目，标注“☆”为一般检测项目，</w:t>
      </w:r>
      <w:r>
        <w:rPr>
          <w:rFonts w:hint="eastAsia" w:ascii="仿宋_GB2312" w:hAnsi="仿宋_GB2312" w:cs="仿宋_GB2312"/>
          <w:bCs/>
          <w:sz w:val="21"/>
          <w:szCs w:val="21"/>
        </w:rPr>
        <w:t>标注</w:t>
      </w:r>
      <w:r>
        <w:rPr>
          <w:rFonts w:ascii="仿宋_GB2312" w:hAnsi="仿宋_GB2312" w:cs="仿宋_GB2312"/>
          <w:bCs/>
          <w:sz w:val="21"/>
          <w:szCs w:val="21"/>
        </w:rPr>
        <w:t xml:space="preserve"> </w:t>
      </w:r>
      <w:r>
        <w:rPr>
          <w:rFonts w:hint="eastAsia" w:ascii="仿宋_GB2312" w:hAnsi="仿宋_GB2312" w:cs="仿宋_GB2312"/>
          <w:bCs/>
          <w:sz w:val="21"/>
          <w:szCs w:val="21"/>
        </w:rPr>
        <w:t>“</w:t>
      </w:r>
      <w:r>
        <w:rPr>
          <w:rFonts w:hint="eastAsia" w:ascii="仿宋_GB2312" w:hAnsi="仿宋_GB2312" w:cs="仿宋_GB2312"/>
          <w:bCs/>
          <w:kern w:val="0"/>
          <w:sz w:val="21"/>
          <w:szCs w:val="21"/>
        </w:rPr>
        <w:t>△</w:t>
      </w:r>
      <w:r>
        <w:rPr>
          <w:rFonts w:hint="eastAsia" w:ascii="仿宋_GB2312" w:hAnsi="仿宋_GB2312" w:cs="仿宋_GB2312"/>
          <w:bCs/>
          <w:sz w:val="21"/>
          <w:szCs w:val="21"/>
        </w:rPr>
        <w:t>”为可选检测项目。</w:t>
      </w:r>
    </w:p>
    <w:p>
      <w:pPr>
        <w:adjustRightInd w:val="0"/>
        <w:snapToGrid w:val="0"/>
        <w:spacing w:line="320" w:lineRule="exact"/>
        <w:ind w:firstLine="420" w:firstLineChars="200"/>
        <w:jc w:val="left"/>
        <w:rPr>
          <w:rFonts w:ascii="仿宋_GB2312" w:hAnsi="仿宋_GB2312" w:cs="仿宋_GB2312"/>
          <w:sz w:val="21"/>
          <w:szCs w:val="21"/>
        </w:rPr>
      </w:pPr>
      <w:r>
        <w:rPr>
          <w:rFonts w:hint="eastAsia" w:ascii="仿宋_GB2312" w:hAnsi="仿宋_GB2312" w:cs="仿宋_GB2312"/>
          <w:sz w:val="21"/>
          <w:szCs w:val="21"/>
        </w:rPr>
        <w:t>2</w:t>
      </w:r>
      <w:r>
        <w:rPr>
          <w:rFonts w:ascii="仿宋_GB2312" w:hAnsi="仿宋_GB2312" w:cs="仿宋_GB2312"/>
          <w:sz w:val="21"/>
          <w:szCs w:val="21"/>
        </w:rPr>
        <w:t>.</w:t>
      </w:r>
      <w:r>
        <w:rPr>
          <w:rFonts w:hint="eastAsia" w:ascii="仿宋_GB2312" w:hAnsi="仿宋_GB2312" w:cs="仿宋_GB2312"/>
          <w:sz w:val="21"/>
          <w:szCs w:val="21"/>
        </w:rPr>
        <w:t>申请“采矿业”或“冶金、建材”业务范围的，甲级应具有不少于38项标注“</w:t>
      </w:r>
      <w:r>
        <w:rPr>
          <w:rFonts w:hint="eastAsia" w:ascii="仿宋_GB2312" w:hAnsi="仿宋_GB2312" w:cs="仿宋_GB2312"/>
          <w:bCs/>
          <w:sz w:val="21"/>
          <w:szCs w:val="21"/>
        </w:rPr>
        <w:t>★</w:t>
      </w:r>
      <w:r>
        <w:rPr>
          <w:rFonts w:hint="eastAsia" w:ascii="仿宋_GB2312" w:hAnsi="仿宋_GB2312" w:cs="仿宋_GB2312"/>
          <w:sz w:val="21"/>
          <w:szCs w:val="21"/>
        </w:rPr>
        <w:t>”项目的检测能力，乙级应具有不少于28项标注“</w:t>
      </w:r>
      <w:r>
        <w:rPr>
          <w:rFonts w:hint="eastAsia" w:ascii="仿宋_GB2312" w:hAnsi="仿宋_GB2312" w:cs="仿宋_GB2312"/>
          <w:bCs/>
          <w:sz w:val="21"/>
          <w:szCs w:val="21"/>
        </w:rPr>
        <w:t>★</w:t>
      </w:r>
      <w:r>
        <w:rPr>
          <w:rFonts w:hint="eastAsia" w:ascii="仿宋_GB2312" w:hAnsi="仿宋_GB2312" w:cs="仿宋_GB2312"/>
          <w:sz w:val="21"/>
          <w:szCs w:val="21"/>
        </w:rPr>
        <w:t>”项目的检测能力；申请“化工、石化及医药”或“机械制造、电力、纺织、建筑和交通运输等行业领域”业务范围的，甲级应具有不少于76项标注“</w:t>
      </w:r>
      <w:r>
        <w:rPr>
          <w:rFonts w:hint="eastAsia" w:ascii="仿宋_GB2312" w:hAnsi="仿宋_GB2312" w:cs="仿宋_GB2312"/>
          <w:bCs/>
          <w:sz w:val="21"/>
          <w:szCs w:val="21"/>
        </w:rPr>
        <w:t>★</w:t>
      </w:r>
      <w:r>
        <w:rPr>
          <w:rFonts w:hint="eastAsia" w:ascii="仿宋_GB2312" w:hAnsi="仿宋_GB2312" w:cs="仿宋_GB2312"/>
          <w:sz w:val="21"/>
          <w:szCs w:val="21"/>
        </w:rPr>
        <w:t>”项目的检测能力，乙级应具有不少于48项标注“</w:t>
      </w:r>
      <w:r>
        <w:rPr>
          <w:rFonts w:hint="eastAsia" w:ascii="仿宋_GB2312" w:hAnsi="仿宋_GB2312" w:cs="仿宋_GB2312"/>
          <w:bCs/>
          <w:sz w:val="21"/>
          <w:szCs w:val="21"/>
        </w:rPr>
        <w:t>★</w:t>
      </w:r>
      <w:r>
        <w:rPr>
          <w:rFonts w:hint="eastAsia" w:ascii="仿宋_GB2312" w:hAnsi="仿宋_GB2312" w:cs="仿宋_GB2312"/>
          <w:sz w:val="21"/>
          <w:szCs w:val="21"/>
        </w:rPr>
        <w:t>”项目的检测能力。</w:t>
      </w:r>
    </w:p>
    <w:p>
      <w:pPr>
        <w:adjustRightInd w:val="0"/>
        <w:snapToGrid w:val="0"/>
        <w:spacing w:line="320" w:lineRule="exact"/>
        <w:ind w:firstLine="420" w:firstLineChars="200"/>
        <w:jc w:val="left"/>
        <w:rPr>
          <w:rFonts w:ascii="仿宋_GB2312" w:hAnsi="仿宋_GB2312" w:cs="仿宋_GB2312"/>
          <w:sz w:val="21"/>
          <w:szCs w:val="21"/>
        </w:rPr>
      </w:pPr>
      <w:r>
        <w:rPr>
          <w:rFonts w:hint="eastAsia" w:ascii="仿宋_GB2312" w:hAnsi="仿宋_GB2312" w:cs="仿宋_GB2312"/>
          <w:sz w:val="21"/>
          <w:szCs w:val="21"/>
        </w:rPr>
        <w:t>3</w:t>
      </w:r>
      <w:r>
        <w:rPr>
          <w:rFonts w:ascii="仿宋_GB2312" w:hAnsi="仿宋_GB2312" w:cs="仿宋_GB2312"/>
          <w:sz w:val="21"/>
          <w:szCs w:val="21"/>
        </w:rPr>
        <w:t>.</w:t>
      </w:r>
      <w:r>
        <w:rPr>
          <w:rFonts w:hint="eastAsia" w:ascii="仿宋_GB2312" w:hAnsi="仿宋_GB2312" w:cs="仿宋_GB2312"/>
          <w:sz w:val="21"/>
          <w:szCs w:val="21"/>
        </w:rPr>
        <w:t>申请“采矿业”或“冶金、建材”业务范围的，甲级标注“</w:t>
      </w:r>
      <w:r>
        <w:rPr>
          <w:rFonts w:hint="eastAsia" w:ascii="仿宋_GB2312" w:hAnsi="仿宋_GB2312" w:cs="仿宋_GB2312"/>
          <w:bCs/>
          <w:sz w:val="21"/>
          <w:szCs w:val="21"/>
        </w:rPr>
        <w:t>★</w:t>
      </w:r>
      <w:r>
        <w:rPr>
          <w:rFonts w:hint="eastAsia" w:ascii="仿宋_GB2312" w:hAnsi="仿宋_GB2312" w:cs="仿宋_GB2312"/>
          <w:sz w:val="21"/>
          <w:szCs w:val="21"/>
        </w:rPr>
        <w:t>”和“☆”项目的检测能力合计应不少于</w:t>
      </w:r>
      <w:r>
        <w:rPr>
          <w:rFonts w:ascii="仿宋_GB2312" w:hAnsi="仿宋_GB2312" w:cs="仿宋_GB2312"/>
          <w:sz w:val="21"/>
          <w:szCs w:val="21"/>
        </w:rPr>
        <w:t>60</w:t>
      </w:r>
      <w:r>
        <w:rPr>
          <w:rFonts w:hint="eastAsia" w:ascii="仿宋_GB2312" w:hAnsi="仿宋_GB2312" w:cs="仿宋_GB2312"/>
          <w:sz w:val="21"/>
          <w:szCs w:val="21"/>
        </w:rPr>
        <w:t>项，乙级标注“</w:t>
      </w:r>
      <w:r>
        <w:rPr>
          <w:rFonts w:hint="eastAsia" w:ascii="仿宋_GB2312" w:hAnsi="仿宋_GB2312" w:cs="仿宋_GB2312"/>
          <w:bCs/>
          <w:sz w:val="21"/>
          <w:szCs w:val="21"/>
        </w:rPr>
        <w:t>★</w:t>
      </w:r>
      <w:r>
        <w:rPr>
          <w:rFonts w:hint="eastAsia" w:ascii="仿宋_GB2312" w:hAnsi="仿宋_GB2312" w:cs="仿宋_GB2312"/>
          <w:sz w:val="21"/>
          <w:szCs w:val="21"/>
        </w:rPr>
        <w:t>”和“☆”项目的检测能力合计应不少于4</w:t>
      </w:r>
      <w:r>
        <w:rPr>
          <w:rFonts w:ascii="仿宋_GB2312" w:hAnsi="仿宋_GB2312" w:cs="仿宋_GB2312"/>
          <w:sz w:val="21"/>
          <w:szCs w:val="21"/>
        </w:rPr>
        <w:t>0</w:t>
      </w:r>
      <w:r>
        <w:rPr>
          <w:rFonts w:hint="eastAsia" w:ascii="仿宋_GB2312" w:hAnsi="仿宋_GB2312" w:cs="仿宋_GB2312"/>
          <w:sz w:val="21"/>
          <w:szCs w:val="21"/>
        </w:rPr>
        <w:t>项；申请“化工、石化及医药”或“机械制造、电力、纺织、建筑和交通运输等行业领域”业务范围的，甲级标注“</w:t>
      </w:r>
      <w:r>
        <w:rPr>
          <w:rFonts w:hint="eastAsia" w:ascii="仿宋_GB2312" w:hAnsi="仿宋_GB2312" w:cs="仿宋_GB2312"/>
          <w:bCs/>
          <w:sz w:val="21"/>
          <w:szCs w:val="21"/>
        </w:rPr>
        <w:t>★</w:t>
      </w:r>
      <w:r>
        <w:rPr>
          <w:rFonts w:hint="eastAsia" w:ascii="仿宋_GB2312" w:hAnsi="仿宋_GB2312" w:cs="仿宋_GB2312"/>
          <w:sz w:val="21"/>
          <w:szCs w:val="21"/>
        </w:rPr>
        <w:t>”和“☆”项目的检测能力合计应不少于15</w:t>
      </w:r>
      <w:r>
        <w:rPr>
          <w:rFonts w:ascii="仿宋_GB2312" w:hAnsi="仿宋_GB2312" w:cs="仿宋_GB2312"/>
          <w:sz w:val="21"/>
          <w:szCs w:val="21"/>
        </w:rPr>
        <w:t>0</w:t>
      </w:r>
      <w:r>
        <w:rPr>
          <w:rFonts w:hint="eastAsia" w:ascii="仿宋_GB2312" w:hAnsi="仿宋_GB2312" w:cs="仿宋_GB2312"/>
          <w:sz w:val="21"/>
          <w:szCs w:val="21"/>
        </w:rPr>
        <w:t>项，乙级标注“</w:t>
      </w:r>
      <w:r>
        <w:rPr>
          <w:rFonts w:hint="eastAsia" w:ascii="仿宋_GB2312" w:hAnsi="仿宋_GB2312" w:cs="仿宋_GB2312"/>
          <w:bCs/>
          <w:sz w:val="21"/>
          <w:szCs w:val="21"/>
        </w:rPr>
        <w:t>★</w:t>
      </w:r>
      <w:r>
        <w:rPr>
          <w:rFonts w:hint="eastAsia" w:ascii="仿宋_GB2312" w:hAnsi="仿宋_GB2312" w:cs="仿宋_GB2312"/>
          <w:sz w:val="21"/>
          <w:szCs w:val="21"/>
        </w:rPr>
        <w:t>”和“☆”项目的检测能力合计应不少于10</w:t>
      </w:r>
      <w:r>
        <w:rPr>
          <w:rFonts w:ascii="仿宋_GB2312" w:hAnsi="仿宋_GB2312" w:cs="仿宋_GB2312"/>
          <w:sz w:val="21"/>
          <w:szCs w:val="21"/>
        </w:rPr>
        <w:t>0</w:t>
      </w:r>
      <w:r>
        <w:rPr>
          <w:rFonts w:hint="eastAsia" w:ascii="仿宋_GB2312" w:hAnsi="仿宋_GB2312" w:cs="仿宋_GB2312"/>
          <w:sz w:val="21"/>
          <w:szCs w:val="21"/>
        </w:rPr>
        <w:t>项。</w:t>
      </w:r>
    </w:p>
    <w:p>
      <w:pPr>
        <w:widowControl/>
        <w:tabs>
          <w:tab w:val="left" w:pos="312"/>
        </w:tabs>
        <w:spacing w:line="320" w:lineRule="exact"/>
        <w:ind w:firstLine="420" w:firstLineChars="200"/>
        <w:jc w:val="left"/>
        <w:textAlignment w:val="center"/>
        <w:rPr>
          <w:rFonts w:ascii="仿宋_GB2312" w:hAnsi="仿宋_GB2312" w:cs="仿宋_GB2312"/>
          <w:sz w:val="21"/>
          <w:szCs w:val="21"/>
        </w:rPr>
      </w:pPr>
      <w:r>
        <w:rPr>
          <w:rFonts w:hint="eastAsia" w:ascii="仿宋_GB2312" w:hAnsi="仿宋_GB2312" w:cs="仿宋_GB2312"/>
          <w:sz w:val="21"/>
          <w:szCs w:val="21"/>
        </w:rPr>
        <w:t>4</w:t>
      </w:r>
      <w:r>
        <w:rPr>
          <w:rFonts w:ascii="仿宋_GB2312" w:hAnsi="仿宋_GB2312" w:cs="仿宋_GB2312"/>
          <w:sz w:val="21"/>
          <w:szCs w:val="21"/>
        </w:rPr>
        <w:t>.</w:t>
      </w:r>
      <w:r>
        <w:rPr>
          <w:rFonts w:hint="eastAsia" w:ascii="仿宋_GB2312" w:hAnsi="仿宋_GB2312" w:cs="仿宋_GB2312"/>
          <w:sz w:val="21"/>
          <w:szCs w:val="21"/>
        </w:rPr>
        <w:t>相关检测能力须经专家现场考核认定。</w:t>
      </w:r>
    </w:p>
    <w:p>
      <w:pPr>
        <w:widowControl/>
        <w:jc w:val="left"/>
        <w:rPr>
          <w:rFonts w:ascii="黑体" w:hAnsi="黑体" w:eastAsia="黑体" w:cs="黑体"/>
          <w:szCs w:val="32"/>
          <w:shd w:val="clear" w:color="auto" w:fill="FFFFFF"/>
          <w:lang w:bidi="ar"/>
        </w:rPr>
      </w:pPr>
      <w:r>
        <w:rPr>
          <w:rFonts w:hint="eastAsia" w:ascii="黑体" w:hAnsi="黑体" w:eastAsia="黑体" w:cs="黑体"/>
          <w:sz w:val="21"/>
          <w:shd w:val="clear" w:color="auto" w:fill="FFFFFF"/>
          <w:lang w:bidi="ar"/>
        </w:rPr>
        <w:br w:type="page"/>
      </w:r>
      <w:r>
        <w:rPr>
          <w:rFonts w:hint="eastAsia" w:ascii="黑体" w:hAnsi="黑体" w:eastAsia="黑体" w:cs="黑体"/>
          <w:szCs w:val="32"/>
          <w:shd w:val="clear" w:color="auto" w:fill="FFFFFF"/>
          <w:lang w:bidi="ar"/>
        </w:rPr>
        <w:t>附录5</w:t>
      </w:r>
    </w:p>
    <w:p>
      <w:pPr>
        <w:jc w:val="center"/>
        <w:rPr>
          <w:rFonts w:hint="eastAsia" w:eastAsia="华文中宋"/>
          <w:b/>
          <w:sz w:val="28"/>
          <w:lang w:bidi="ar"/>
        </w:rPr>
      </w:pPr>
      <w:r>
        <w:rPr>
          <w:rFonts w:hint="eastAsia" w:ascii="华文中宋" w:hAnsi="华文中宋" w:eastAsia="华文中宋"/>
          <w:b/>
          <w:sz w:val="36"/>
          <w:szCs w:val="36"/>
        </w:rPr>
        <w:t>第二类业务范围检测项目表</w:t>
      </w:r>
    </w:p>
    <w:tbl>
      <w:tblPr>
        <w:tblStyle w:val="8"/>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21"/>
        <w:gridCol w:w="3873"/>
        <w:gridCol w:w="952"/>
        <w:gridCol w:w="1164"/>
        <w:gridCol w:w="16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21" w:type="dxa"/>
            <w:vMerge w:val="restart"/>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kern w:val="0"/>
                <w:sz w:val="21"/>
                <w:szCs w:val="21"/>
                <w:lang w:bidi="ar"/>
              </w:rPr>
            </w:pPr>
            <w:r>
              <w:rPr>
                <w:rFonts w:hint="eastAsia" w:ascii="仿宋_GB2312" w:hAnsi="仿宋_GB2312" w:cs="仿宋_GB2312"/>
                <w:b/>
                <w:kern w:val="0"/>
                <w:sz w:val="21"/>
                <w:szCs w:val="21"/>
                <w:lang w:bidi="ar"/>
              </w:rPr>
              <w:t>项 目</w:t>
            </w:r>
          </w:p>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编 号</w:t>
            </w:r>
          </w:p>
        </w:tc>
        <w:tc>
          <w:tcPr>
            <w:tcW w:w="3873" w:type="dxa"/>
            <w:vMerge w:val="restart"/>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检 测 项 目</w:t>
            </w:r>
          </w:p>
        </w:tc>
        <w:tc>
          <w:tcPr>
            <w:tcW w:w="2116" w:type="dxa"/>
            <w:gridSpan w:val="2"/>
            <w:noWrap w:val="0"/>
            <w:tcMar>
              <w:top w:w="15" w:type="dxa"/>
              <w:left w:w="15" w:type="dxa"/>
              <w:right w:w="15" w:type="dxa"/>
            </w:tcMar>
            <w:vAlign w:val="center"/>
          </w:tcPr>
          <w:p>
            <w:pPr>
              <w:spacing w:line="300" w:lineRule="exact"/>
              <w:jc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条 件 要 求</w:t>
            </w:r>
          </w:p>
        </w:tc>
        <w:tc>
          <w:tcPr>
            <w:tcW w:w="1633" w:type="dxa"/>
            <w:vMerge w:val="restart"/>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lang w:bidi="ar"/>
              </w:rPr>
              <w:t>备  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21" w:type="dxa"/>
            <w:vMerge w:val="continue"/>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p>
        </w:tc>
        <w:tc>
          <w:tcPr>
            <w:tcW w:w="3873" w:type="dxa"/>
            <w:vMerge w:val="continue"/>
            <w:noWrap w:val="0"/>
            <w:tcMar>
              <w:top w:w="15" w:type="dxa"/>
              <w:left w:w="15" w:type="dxa"/>
              <w:right w:w="15" w:type="dxa"/>
            </w:tcMar>
            <w:vAlign w:val="center"/>
          </w:tcPr>
          <w:p>
            <w:pPr>
              <w:spacing w:line="300" w:lineRule="exact"/>
              <w:jc w:val="center"/>
              <w:rPr>
                <w:rFonts w:hint="eastAsia" w:ascii="仿宋_GB2312" w:hAnsi="仿宋_GB2312" w:cs="仿宋_GB2312"/>
                <w:b/>
                <w:sz w:val="21"/>
                <w:szCs w:val="21"/>
              </w:rPr>
            </w:pPr>
          </w:p>
        </w:tc>
        <w:tc>
          <w:tcPr>
            <w:tcW w:w="952"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核设施</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b/>
                <w:kern w:val="0"/>
                <w:sz w:val="21"/>
                <w:szCs w:val="21"/>
              </w:rPr>
              <w:t>核技术工业应用</w:t>
            </w:r>
          </w:p>
        </w:tc>
        <w:tc>
          <w:tcPr>
            <w:tcW w:w="1633" w:type="dxa"/>
            <w:vMerge w:val="continue"/>
            <w:noWrap w:val="0"/>
            <w:tcMar>
              <w:top w:w="15" w:type="dxa"/>
              <w:left w:w="15" w:type="dxa"/>
              <w:right w:w="15" w:type="dxa"/>
            </w:tcMar>
            <w:vAlign w:val="center"/>
          </w:tcPr>
          <w:p>
            <w:pPr>
              <w:spacing w:line="300" w:lineRule="exact"/>
              <w:jc w:val="center"/>
              <w:rPr>
                <w:rFonts w:hint="eastAsia" w:ascii="仿宋_GB2312" w:hAnsi="仿宋_GB2312" w:cs="仿宋_GB2312"/>
                <w:b/>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sz w:val="21"/>
                <w:szCs w:val="21"/>
              </w:rPr>
              <w:t>1</w:t>
            </w:r>
          </w:p>
        </w:tc>
        <w:tc>
          <w:tcPr>
            <w:tcW w:w="3873" w:type="dxa"/>
            <w:noWrap w:val="0"/>
            <w:tcMar>
              <w:top w:w="15" w:type="dxa"/>
              <w:left w:w="113" w:type="dxa"/>
              <w:right w:w="15" w:type="dxa"/>
            </w:tcMar>
            <w:vAlign w:val="center"/>
          </w:tcPr>
          <w:p>
            <w:pPr>
              <w:widowControl/>
              <w:spacing w:line="300" w:lineRule="exact"/>
              <w:jc w:val="left"/>
              <w:textAlignment w:val="center"/>
              <w:rPr>
                <w:rFonts w:ascii="仿宋_GB2312" w:hAnsi="仿宋_GB2312" w:cs="仿宋_GB2312"/>
                <w:sz w:val="21"/>
                <w:szCs w:val="21"/>
              </w:rPr>
            </w:pPr>
            <w:r>
              <w:rPr>
                <w:rFonts w:hint="eastAsia" w:ascii="仿宋_GB2312" w:hAnsi="仿宋_GB2312" w:cs="仿宋_GB2312"/>
                <w:sz w:val="21"/>
                <w:szCs w:val="21"/>
              </w:rPr>
              <w:t>伴生放射性矿放射防护检测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ind w:left="27"/>
              <w:rPr>
                <w:rFonts w:hint="eastAsia" w:ascii="仿宋_GB2312" w:hAnsi="仿宋_GB2312" w:cs="仿宋_GB2312"/>
                <w:b/>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2</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行李包、车辆、集装箱等射线安全检查系统放射防护检测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ind w:left="27"/>
              <w:rPr>
                <w:rFonts w:hint="eastAsia" w:ascii="仿宋_GB2312" w:hAnsi="仿宋_GB2312" w:cs="仿宋_GB2312"/>
                <w:b/>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3</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工业射线探伤放射防护检测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4</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工业辐照</w:t>
            </w:r>
            <w:r>
              <w:rPr>
                <w:rFonts w:hint="eastAsia" w:ascii="仿宋_GB2312" w:hAnsi="仿宋_GB2312" w:cs="仿宋_GB2312"/>
                <w:sz w:val="21"/>
                <w:szCs w:val="21"/>
              </w:rPr>
              <w:t>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r>
              <w:rPr>
                <w:rFonts w:hint="eastAsia" w:ascii="仿宋_GB2312" w:hAnsi="仿宋_GB2312" w:cs="仿宋_GB2312"/>
                <w:kern w:val="0"/>
                <w:sz w:val="21"/>
                <w:szCs w:val="21"/>
                <w:lang w:bidi="ar"/>
              </w:rPr>
              <w:t>大型辐照装置除外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5</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加速器放射防护检测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不含50MeV以上中、高能加速器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6</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含密封源仪表放射防护检测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b/>
                <w:sz w:val="21"/>
                <w:szCs w:val="21"/>
              </w:rPr>
            </w:pPr>
            <w:r>
              <w:rPr>
                <w:rFonts w:hint="eastAsia" w:ascii="仿宋_GB2312" w:hAnsi="仿宋_GB2312" w:cs="仿宋_GB2312"/>
                <w:kern w:val="0"/>
                <w:sz w:val="21"/>
                <w:szCs w:val="21"/>
              </w:rPr>
              <w:t>7</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密封放射源及密封γ放射源容器放射防护检测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8</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rPr>
              <w:t>非密封放射性物质放射防护检测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9</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sz w:val="21"/>
                <w:szCs w:val="21"/>
              </w:rPr>
              <w:t>X射线衍射仪和荧光分析仪工作场所放射防护检测</w:t>
            </w:r>
          </w:p>
        </w:tc>
        <w:tc>
          <w:tcPr>
            <w:tcW w:w="952"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10</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sz w:val="21"/>
                <w:szCs w:val="21"/>
              </w:rPr>
              <w:t>离子注入、静电消除、电子束焊接等其他核技术工业应用放射防护检测</w:t>
            </w:r>
          </w:p>
        </w:tc>
        <w:tc>
          <w:tcPr>
            <w:tcW w:w="952"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sz w:val="21"/>
                <w:szCs w:val="21"/>
              </w:rPr>
              <w:t>/</w:t>
            </w:r>
          </w:p>
        </w:tc>
        <w:tc>
          <w:tcPr>
            <w:tcW w:w="1164"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lang w:bidi="ar"/>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sz w:val="21"/>
                <w:szCs w:val="21"/>
              </w:rPr>
            </w:pPr>
            <w:r>
              <w:rPr>
                <w:rFonts w:hint="eastAsia" w:ascii="仿宋_GB2312" w:hAnsi="仿宋_GB2312" w:cs="仿宋_GB2312"/>
                <w:kern w:val="0"/>
                <w:sz w:val="21"/>
                <w:szCs w:val="21"/>
              </w:rPr>
              <w:t>11</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sz w:val="21"/>
                <w:szCs w:val="21"/>
              </w:rPr>
            </w:pPr>
            <w:r>
              <w:rPr>
                <w:rFonts w:hint="eastAsia" w:ascii="仿宋_GB2312" w:hAnsi="仿宋_GB2312" w:cs="仿宋_GB2312"/>
                <w:kern w:val="0"/>
                <w:sz w:val="21"/>
                <w:szCs w:val="21"/>
                <w:lang w:bidi="ar"/>
              </w:rPr>
              <w:t>核动力厂和其他反应堆</w:t>
            </w:r>
            <w:r>
              <w:rPr>
                <w:rFonts w:hint="eastAsia" w:ascii="仿宋_GB2312" w:hAnsi="仿宋_GB2312" w:cs="仿宋_GB2312"/>
                <w:kern w:val="0"/>
                <w:sz w:val="21"/>
                <w:szCs w:val="21"/>
              </w:rPr>
              <w:t>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12</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核燃料生产、加工、贮存和后处理设施放射防护检测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13</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放射性废物的处理和处置设施放射防护检测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14</w:t>
            </w:r>
          </w:p>
        </w:tc>
        <w:tc>
          <w:tcPr>
            <w:tcW w:w="3873" w:type="dxa"/>
            <w:noWrap w:val="0"/>
            <w:tcMar>
              <w:top w:w="15" w:type="dxa"/>
              <w:left w:w="113" w:type="dxa"/>
              <w:right w:w="15" w:type="dxa"/>
            </w:tcMar>
            <w:vAlign w:val="center"/>
          </w:tcPr>
          <w:p>
            <w:pPr>
              <w:widowControl/>
              <w:spacing w:line="300" w:lineRule="exact"/>
              <w:jc w:val="left"/>
              <w:textAlignment w:val="center"/>
              <w:rPr>
                <w:rFonts w:hint="eastAsia" w:ascii="仿宋_GB2312" w:hAnsi="仿宋_GB2312" w:cs="仿宋_GB2312"/>
                <w:kern w:val="0"/>
                <w:sz w:val="21"/>
                <w:szCs w:val="21"/>
                <w:lang w:bidi="ar"/>
              </w:rPr>
            </w:pPr>
            <w:r>
              <w:rPr>
                <w:rFonts w:hint="eastAsia" w:ascii="仿宋_GB2312" w:hAnsi="仿宋_GB2312" w:cs="仿宋_GB2312"/>
                <w:kern w:val="0"/>
                <w:sz w:val="21"/>
                <w:szCs w:val="21"/>
                <w:lang w:bidi="ar"/>
              </w:rPr>
              <w:t>50MeV以上中、高能加速器</w:t>
            </w:r>
            <w:r>
              <w:rPr>
                <w:rFonts w:hint="eastAsia" w:ascii="仿宋_GB2312" w:hAnsi="仿宋_GB2312" w:cs="仿宋_GB2312"/>
                <w:kern w:val="0"/>
                <w:sz w:val="21"/>
                <w:szCs w:val="21"/>
              </w:rPr>
              <w:t>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15</w:t>
            </w:r>
          </w:p>
        </w:tc>
        <w:tc>
          <w:tcPr>
            <w:tcW w:w="3873" w:type="dxa"/>
            <w:noWrap w:val="0"/>
            <w:tcMar>
              <w:top w:w="15" w:type="dxa"/>
              <w:left w:w="113" w:type="dxa"/>
              <w:right w:w="15" w:type="dxa"/>
            </w:tcMar>
            <w:vAlign w:val="center"/>
          </w:tcPr>
          <w:p>
            <w:pPr>
              <w:widowControl/>
              <w:spacing w:line="300" w:lineRule="exact"/>
              <w:jc w:val="left"/>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大型辐照装置</w:t>
            </w:r>
            <w:r>
              <w:rPr>
                <w:rFonts w:hint="eastAsia" w:ascii="仿宋_GB2312" w:hAnsi="仿宋_GB2312" w:cs="仿宋_GB2312"/>
                <w:kern w:val="0"/>
                <w:sz w:val="21"/>
                <w:szCs w:val="21"/>
              </w:rPr>
              <w:t>放射防护检测</w:t>
            </w:r>
          </w:p>
        </w:tc>
        <w:tc>
          <w:tcPr>
            <w:tcW w:w="952" w:type="dxa"/>
            <w:noWrap w:val="0"/>
            <w:tcMar>
              <w:top w:w="15" w:type="dxa"/>
              <w:left w:w="15" w:type="dxa"/>
              <w:right w:w="15" w:type="dxa"/>
            </w:tcMar>
            <w:vAlign w:val="center"/>
          </w:tcPr>
          <w:p>
            <w:pPr>
              <w:spacing w:line="300" w:lineRule="exact"/>
              <w:jc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p>
        </w:tc>
        <w:tc>
          <w:tcPr>
            <w:tcW w:w="1633" w:type="dxa"/>
            <w:noWrap w:val="0"/>
            <w:tcMar>
              <w:top w:w="15" w:type="dxa"/>
              <w:left w:w="15" w:type="dxa"/>
              <w:right w:w="15" w:type="dxa"/>
            </w:tcMar>
            <w:vAlign w:val="center"/>
          </w:tcPr>
          <w:p>
            <w:pPr>
              <w:tabs>
                <w:tab w:val="left" w:pos="14"/>
              </w:tabs>
              <w:spacing w:line="300" w:lineRule="exact"/>
              <w:rPr>
                <w:rFonts w:hint="eastAsia"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16</w:t>
            </w:r>
          </w:p>
        </w:tc>
        <w:tc>
          <w:tcPr>
            <w:tcW w:w="3873" w:type="dxa"/>
            <w:noWrap w:val="0"/>
            <w:tcMar>
              <w:top w:w="15" w:type="dxa"/>
              <w:left w:w="113" w:type="dxa"/>
              <w:right w:w="15" w:type="dxa"/>
            </w:tcMar>
            <w:vAlign w:val="top"/>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γ放射性核素分析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17</w:t>
            </w:r>
          </w:p>
        </w:tc>
        <w:tc>
          <w:tcPr>
            <w:tcW w:w="3873" w:type="dxa"/>
            <w:noWrap w:val="0"/>
            <w:tcMar>
              <w:top w:w="15" w:type="dxa"/>
              <w:left w:w="113" w:type="dxa"/>
              <w:right w:w="15" w:type="dxa"/>
            </w:tcMar>
            <w:vAlign w:val="center"/>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α放射性核素分析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18</w:t>
            </w:r>
          </w:p>
        </w:tc>
        <w:tc>
          <w:tcPr>
            <w:tcW w:w="3873" w:type="dxa"/>
            <w:noWrap w:val="0"/>
            <w:tcMar>
              <w:top w:w="15" w:type="dxa"/>
              <w:left w:w="113" w:type="dxa"/>
              <w:right w:w="15" w:type="dxa"/>
            </w:tcMar>
            <w:vAlign w:val="center"/>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β放射性核素分析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19</w:t>
            </w:r>
          </w:p>
        </w:tc>
        <w:tc>
          <w:tcPr>
            <w:tcW w:w="3873" w:type="dxa"/>
            <w:noWrap w:val="0"/>
            <w:tcMar>
              <w:top w:w="15" w:type="dxa"/>
              <w:left w:w="113" w:type="dxa"/>
              <w:right w:w="15" w:type="dxa"/>
            </w:tcMar>
            <w:vAlign w:val="center"/>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总α放射性分析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20</w:t>
            </w:r>
          </w:p>
        </w:tc>
        <w:tc>
          <w:tcPr>
            <w:tcW w:w="3873" w:type="dxa"/>
            <w:noWrap w:val="0"/>
            <w:tcMar>
              <w:top w:w="15" w:type="dxa"/>
              <w:left w:w="113" w:type="dxa"/>
              <w:right w:w="15" w:type="dxa"/>
            </w:tcMar>
            <w:vAlign w:val="center"/>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总β放射性分析</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1" w:type="dxa"/>
            <w:noWrap w:val="0"/>
            <w:tcMar>
              <w:top w:w="15" w:type="dxa"/>
              <w:left w:w="15" w:type="dxa"/>
              <w:right w:w="15" w:type="dxa"/>
            </w:tcMar>
            <w:vAlign w:val="center"/>
          </w:tcPr>
          <w:p>
            <w:pPr>
              <w:widowControl/>
              <w:spacing w:line="300" w:lineRule="exact"/>
              <w:jc w:val="center"/>
              <w:textAlignment w:val="center"/>
              <w:rPr>
                <w:rFonts w:ascii="仿宋_GB2312" w:hAnsi="仿宋_GB2312" w:cs="仿宋_GB2312"/>
                <w:kern w:val="0"/>
                <w:sz w:val="21"/>
                <w:szCs w:val="21"/>
              </w:rPr>
            </w:pPr>
            <w:r>
              <w:rPr>
                <w:rFonts w:hint="eastAsia" w:ascii="仿宋_GB2312" w:hAnsi="仿宋_GB2312" w:cs="仿宋_GB2312"/>
                <w:kern w:val="0"/>
                <w:sz w:val="21"/>
                <w:szCs w:val="21"/>
              </w:rPr>
              <w:t>21</w:t>
            </w:r>
          </w:p>
        </w:tc>
        <w:tc>
          <w:tcPr>
            <w:tcW w:w="3873" w:type="dxa"/>
            <w:noWrap w:val="0"/>
            <w:tcMar>
              <w:top w:w="15" w:type="dxa"/>
              <w:left w:w="113" w:type="dxa"/>
              <w:right w:w="15" w:type="dxa"/>
            </w:tcMar>
            <w:vAlign w:val="top"/>
          </w:tcPr>
          <w:p>
            <w:pPr>
              <w:widowControl/>
              <w:spacing w:line="300" w:lineRule="exact"/>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氡及其子体检测</w:t>
            </w:r>
          </w:p>
        </w:tc>
        <w:tc>
          <w:tcPr>
            <w:tcW w:w="952" w:type="dxa"/>
            <w:noWrap w:val="0"/>
            <w:tcMar>
              <w:top w:w="15" w:type="dxa"/>
              <w:left w:w="15" w:type="dxa"/>
              <w:right w:w="15" w:type="dxa"/>
            </w:tcMar>
            <w:vAlign w:val="top"/>
          </w:tcPr>
          <w:p>
            <w:pPr>
              <w:widowControl/>
              <w:spacing w:line="300" w:lineRule="exact"/>
              <w:jc w:val="center"/>
              <w:textAlignment w:val="center"/>
              <w:rPr>
                <w:rFonts w:hint="eastAsia" w:ascii="仿宋_GB2312" w:hAnsi="仿宋_GB2312" w:cs="仿宋_GB2312"/>
                <w:kern w:val="0"/>
                <w:sz w:val="21"/>
                <w:szCs w:val="21"/>
              </w:rPr>
            </w:pPr>
            <w:r>
              <w:rPr>
                <w:rFonts w:hint="eastAsia" w:ascii="仿宋_GB2312" w:hAnsi="仿宋_GB2312" w:cs="仿宋_GB2312"/>
                <w:kern w:val="0"/>
                <w:sz w:val="21"/>
                <w:szCs w:val="21"/>
              </w:rPr>
              <w:t>★</w:t>
            </w:r>
          </w:p>
        </w:tc>
        <w:tc>
          <w:tcPr>
            <w:tcW w:w="1164" w:type="dxa"/>
            <w:noWrap w:val="0"/>
            <w:tcMar>
              <w:top w:w="15" w:type="dxa"/>
              <w:left w:w="15" w:type="dxa"/>
              <w:right w:w="15" w:type="dxa"/>
            </w:tcMar>
            <w:vAlign w:val="center"/>
          </w:tcPr>
          <w:p>
            <w:pPr>
              <w:spacing w:line="300" w:lineRule="exact"/>
              <w:jc w:val="center"/>
              <w:rPr>
                <w:rFonts w:hint="eastAsia" w:ascii="仿宋_GB2312" w:hAnsi="仿宋_GB2312" w:cs="仿宋_GB2312"/>
                <w:sz w:val="21"/>
                <w:szCs w:val="21"/>
              </w:rPr>
            </w:pPr>
            <w:r>
              <w:rPr>
                <w:rFonts w:hint="eastAsia" w:ascii="仿宋_GB2312" w:hAnsi="仿宋_GB2312" w:cs="仿宋_GB2312"/>
                <w:sz w:val="21"/>
                <w:szCs w:val="21"/>
              </w:rPr>
              <w:t>/</w:t>
            </w:r>
          </w:p>
        </w:tc>
        <w:tc>
          <w:tcPr>
            <w:tcW w:w="1633" w:type="dxa"/>
            <w:noWrap w:val="0"/>
            <w:tcMar>
              <w:top w:w="15" w:type="dxa"/>
              <w:left w:w="15" w:type="dxa"/>
              <w:right w:w="15" w:type="dxa"/>
            </w:tcMar>
            <w:vAlign w:val="center"/>
          </w:tcPr>
          <w:p>
            <w:pPr>
              <w:widowControl/>
              <w:spacing w:line="300" w:lineRule="exact"/>
              <w:jc w:val="center"/>
              <w:textAlignment w:val="center"/>
              <w:rPr>
                <w:rFonts w:hint="eastAsia" w:ascii="仿宋_GB2312" w:hAnsi="仿宋_GB2312" w:cs="仿宋_GB2312"/>
                <w:kern w:val="0"/>
                <w:sz w:val="21"/>
                <w:szCs w:val="21"/>
              </w:rPr>
            </w:pPr>
          </w:p>
        </w:tc>
      </w:tr>
    </w:tbl>
    <w:p>
      <w:pPr>
        <w:adjustRightInd w:val="0"/>
        <w:snapToGrid w:val="0"/>
        <w:spacing w:line="260" w:lineRule="auto"/>
        <w:jc w:val="left"/>
        <w:rPr>
          <w:rFonts w:hint="eastAsia" w:ascii="仿宋_GB2312" w:hAnsi="仿宋_GB2312" w:cs="仿宋_GB2312"/>
          <w:sz w:val="21"/>
          <w:szCs w:val="21"/>
        </w:rPr>
      </w:pPr>
      <w:r>
        <w:rPr>
          <w:rFonts w:hint="eastAsia" w:ascii="仿宋_GB2312" w:hAnsi="仿宋_GB2312" w:cs="仿宋_GB2312"/>
          <w:sz w:val="21"/>
          <w:szCs w:val="21"/>
        </w:rPr>
        <w:t>注：1.标注“★”为重点检测项目。申请“核设施”业务范围的，具有标注“★”的检测能力应不少于6项，申请“核技术工业应用”业务范围的，具有标注“★”的检测能力应不少于8项，相关检测能力须经专家现场考核认定。</w:t>
      </w:r>
    </w:p>
    <w:p>
      <w:pPr>
        <w:adjustRightInd w:val="0"/>
        <w:snapToGrid w:val="0"/>
        <w:spacing w:line="260" w:lineRule="auto"/>
        <w:ind w:firstLine="420" w:firstLineChars="200"/>
        <w:jc w:val="left"/>
        <w:rPr>
          <w:rFonts w:hint="eastAsia" w:ascii="仿宋_GB2312" w:hAnsi="仿宋_GB2312" w:cs="仿宋_GB2312"/>
          <w:sz w:val="21"/>
          <w:szCs w:val="21"/>
        </w:rPr>
      </w:pPr>
      <w:r>
        <w:rPr>
          <w:rFonts w:hint="eastAsia" w:ascii="仿宋_GB2312" w:hAnsi="仿宋_GB2312" w:cs="仿宋_GB2312"/>
          <w:sz w:val="21"/>
          <w:szCs w:val="21"/>
        </w:rPr>
        <w:t>2.标注“☆”为一般检测项目，机构根据工作实际需要申请相关检测项目。</w:t>
      </w:r>
    </w:p>
    <w:p>
      <w:pPr>
        <w:widowControl/>
        <w:spacing w:line="340" w:lineRule="exact"/>
        <w:jc w:val="left"/>
        <w:textAlignment w:val="center"/>
        <w:rPr>
          <w:rFonts w:ascii="仿宋_GB2312" w:hAnsi="仿宋_GB2312" w:cs="仿宋_GB2312"/>
          <w:sz w:val="24"/>
        </w:rPr>
      </w:pPr>
      <w:r>
        <w:rPr>
          <w:rFonts w:hint="eastAsia" w:ascii="仿宋_GB2312" w:hAnsi="仿宋_GB2312" w:cs="仿宋_GB2312"/>
          <w:sz w:val="21"/>
          <w:szCs w:val="21"/>
        </w:rPr>
        <w:t>3.标注“/”的检测项目不做要求。</w:t>
      </w:r>
    </w:p>
    <w:p>
      <w:pPr>
        <w:ind w:right="560"/>
        <w:jc w:val="right"/>
        <w:rPr>
          <w:rFonts w:hint="eastAsia" w:eastAsia="仿宋_GB231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283" w:footer="283" w:gutter="0"/>
      <w:pgBorders>
        <w:top w:val="none" w:sz="0" w:space="0"/>
        <w:left w:val="none" w:sz="0" w:space="0"/>
        <w:bottom w:val="none" w:sz="0" w:space="0"/>
        <w:right w:val="none" w:sz="0" w:space="0"/>
      </w:pgBorders>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0E918"/>
    <w:multiLevelType w:val="singleLevel"/>
    <w:tmpl w:val="56D0E918"/>
    <w:lvl w:ilvl="0" w:tentative="0">
      <w:start w:val="1"/>
      <w:numFmt w:val="decimal"/>
      <w:lvlText w:val="(%1)"/>
      <w:lvlJc w:val="left"/>
      <w:pPr>
        <w:ind w:left="425" w:hanging="425"/>
      </w:pPr>
      <w:rPr>
        <w:rFonts w:hint="default"/>
      </w:rPr>
    </w:lvl>
  </w:abstractNum>
  <w:abstractNum w:abstractNumId="1">
    <w:nsid w:val="57344E39"/>
    <w:multiLevelType w:val="singleLevel"/>
    <w:tmpl w:val="57344E39"/>
    <w:lvl w:ilvl="0" w:tentative="0">
      <w:start w:val="1"/>
      <w:numFmt w:val="decimal"/>
      <w:suff w:val="nothing"/>
      <w:lvlText w:val="%1."/>
      <w:lvlJc w:val="left"/>
    </w:lvl>
  </w:abstractNum>
  <w:abstractNum w:abstractNumId="2">
    <w:nsid w:val="577A5563"/>
    <w:multiLevelType w:val="singleLevel"/>
    <w:tmpl w:val="577A5563"/>
    <w:lvl w:ilvl="0" w:tentative="0">
      <w:start w:val="1"/>
      <w:numFmt w:val="decimal"/>
      <w:suff w:val="nothing"/>
      <w:lvlText w:val="%1."/>
      <w:lvlJc w:val="left"/>
    </w:lvl>
  </w:abstractNum>
  <w:abstractNum w:abstractNumId="3">
    <w:nsid w:val="5A5DB671"/>
    <w:multiLevelType w:val="singleLevel"/>
    <w:tmpl w:val="5A5DB671"/>
    <w:lvl w:ilvl="0" w:tentative="0">
      <w:start w:val="1"/>
      <w:numFmt w:val="decimal"/>
      <w:lvlText w:val="(%1)"/>
      <w:lvlJc w:val="left"/>
      <w:pPr>
        <w:tabs>
          <w:tab w:val="left" w:pos="0"/>
        </w:tabs>
        <w:ind w:left="0" w:firstLine="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2364"/>
    <w:rsid w:val="00007315"/>
    <w:rsid w:val="00011E08"/>
    <w:rsid w:val="000219CE"/>
    <w:rsid w:val="0005140D"/>
    <w:rsid w:val="00081A2A"/>
    <w:rsid w:val="00086409"/>
    <w:rsid w:val="00097D1C"/>
    <w:rsid w:val="000B4B11"/>
    <w:rsid w:val="001034B3"/>
    <w:rsid w:val="00115210"/>
    <w:rsid w:val="00121BE4"/>
    <w:rsid w:val="00155A42"/>
    <w:rsid w:val="001B2AB5"/>
    <w:rsid w:val="001C28BC"/>
    <w:rsid w:val="001D359F"/>
    <w:rsid w:val="0020483B"/>
    <w:rsid w:val="00251477"/>
    <w:rsid w:val="00273879"/>
    <w:rsid w:val="002A3AF6"/>
    <w:rsid w:val="00307A5A"/>
    <w:rsid w:val="0031240C"/>
    <w:rsid w:val="00313187"/>
    <w:rsid w:val="00372E7E"/>
    <w:rsid w:val="00373883"/>
    <w:rsid w:val="00382FEB"/>
    <w:rsid w:val="003920EB"/>
    <w:rsid w:val="003C629A"/>
    <w:rsid w:val="003E4392"/>
    <w:rsid w:val="003E78DC"/>
    <w:rsid w:val="003F13A4"/>
    <w:rsid w:val="00457DC8"/>
    <w:rsid w:val="00465284"/>
    <w:rsid w:val="0047723C"/>
    <w:rsid w:val="00492D62"/>
    <w:rsid w:val="00493766"/>
    <w:rsid w:val="00495027"/>
    <w:rsid w:val="004A0DFD"/>
    <w:rsid w:val="004A2105"/>
    <w:rsid w:val="004D01DF"/>
    <w:rsid w:val="004E689E"/>
    <w:rsid w:val="00526247"/>
    <w:rsid w:val="00545DD3"/>
    <w:rsid w:val="00553A85"/>
    <w:rsid w:val="00564F9C"/>
    <w:rsid w:val="00566868"/>
    <w:rsid w:val="005878DA"/>
    <w:rsid w:val="00615906"/>
    <w:rsid w:val="0061720E"/>
    <w:rsid w:val="006407AE"/>
    <w:rsid w:val="00646B60"/>
    <w:rsid w:val="00652B0D"/>
    <w:rsid w:val="00661C51"/>
    <w:rsid w:val="006638E3"/>
    <w:rsid w:val="006706FD"/>
    <w:rsid w:val="006A3F6E"/>
    <w:rsid w:val="006C7598"/>
    <w:rsid w:val="00772733"/>
    <w:rsid w:val="007A4254"/>
    <w:rsid w:val="007C3681"/>
    <w:rsid w:val="007D66BE"/>
    <w:rsid w:val="007F0E29"/>
    <w:rsid w:val="00807948"/>
    <w:rsid w:val="00820B45"/>
    <w:rsid w:val="008354DF"/>
    <w:rsid w:val="00836021"/>
    <w:rsid w:val="008737EB"/>
    <w:rsid w:val="008745B4"/>
    <w:rsid w:val="00877120"/>
    <w:rsid w:val="008B3737"/>
    <w:rsid w:val="008E01F6"/>
    <w:rsid w:val="009835A4"/>
    <w:rsid w:val="009A3701"/>
    <w:rsid w:val="009B1342"/>
    <w:rsid w:val="009B644E"/>
    <w:rsid w:val="009C1320"/>
    <w:rsid w:val="009F64D9"/>
    <w:rsid w:val="00A15D50"/>
    <w:rsid w:val="00A162A9"/>
    <w:rsid w:val="00A206CA"/>
    <w:rsid w:val="00A23AF6"/>
    <w:rsid w:val="00A6576C"/>
    <w:rsid w:val="00A733D5"/>
    <w:rsid w:val="00AC7E90"/>
    <w:rsid w:val="00AD06F5"/>
    <w:rsid w:val="00AE6E40"/>
    <w:rsid w:val="00B01ABE"/>
    <w:rsid w:val="00B26083"/>
    <w:rsid w:val="00B42CB1"/>
    <w:rsid w:val="00B93384"/>
    <w:rsid w:val="00BB616D"/>
    <w:rsid w:val="00C01092"/>
    <w:rsid w:val="00C413C8"/>
    <w:rsid w:val="00C43CC2"/>
    <w:rsid w:val="00C44300"/>
    <w:rsid w:val="00C8277D"/>
    <w:rsid w:val="00CA0DFB"/>
    <w:rsid w:val="00CC1042"/>
    <w:rsid w:val="00CD1DDD"/>
    <w:rsid w:val="00CE3DAB"/>
    <w:rsid w:val="00D1638F"/>
    <w:rsid w:val="00D27951"/>
    <w:rsid w:val="00D32330"/>
    <w:rsid w:val="00D43C81"/>
    <w:rsid w:val="00D96A0B"/>
    <w:rsid w:val="00DB5882"/>
    <w:rsid w:val="00DD0A7E"/>
    <w:rsid w:val="00E35FD5"/>
    <w:rsid w:val="00EB2A31"/>
    <w:rsid w:val="00EB3FE1"/>
    <w:rsid w:val="00EC6B6F"/>
    <w:rsid w:val="00EC794D"/>
    <w:rsid w:val="00F242CC"/>
    <w:rsid w:val="00F35BCE"/>
    <w:rsid w:val="00F768BF"/>
    <w:rsid w:val="00F77F8B"/>
    <w:rsid w:val="00F95589"/>
    <w:rsid w:val="00FA0A56"/>
    <w:rsid w:val="00FC0F34"/>
    <w:rsid w:val="00FE2617"/>
    <w:rsid w:val="00FF2642"/>
    <w:rsid w:val="00FF2C60"/>
    <w:rsid w:val="01E62596"/>
    <w:rsid w:val="047312F5"/>
    <w:rsid w:val="04EC1F8D"/>
    <w:rsid w:val="05D5575A"/>
    <w:rsid w:val="05EFAE10"/>
    <w:rsid w:val="07C95976"/>
    <w:rsid w:val="0A3C5CDA"/>
    <w:rsid w:val="0ABF192D"/>
    <w:rsid w:val="0BA1624D"/>
    <w:rsid w:val="0C0A05E6"/>
    <w:rsid w:val="0D22402E"/>
    <w:rsid w:val="0DCA1D26"/>
    <w:rsid w:val="0E3E11B1"/>
    <w:rsid w:val="0E876879"/>
    <w:rsid w:val="11233F63"/>
    <w:rsid w:val="125C1181"/>
    <w:rsid w:val="12EE6EB3"/>
    <w:rsid w:val="14D7E104"/>
    <w:rsid w:val="1671767F"/>
    <w:rsid w:val="17CC41DB"/>
    <w:rsid w:val="195A395E"/>
    <w:rsid w:val="19A23D0B"/>
    <w:rsid w:val="19BC582F"/>
    <w:rsid w:val="19FA533A"/>
    <w:rsid w:val="1A45357E"/>
    <w:rsid w:val="1AC219DF"/>
    <w:rsid w:val="1BCB00D3"/>
    <w:rsid w:val="1CA43724"/>
    <w:rsid w:val="1E7B5495"/>
    <w:rsid w:val="1EBB44EA"/>
    <w:rsid w:val="1FF070AA"/>
    <w:rsid w:val="20336624"/>
    <w:rsid w:val="21D2787E"/>
    <w:rsid w:val="22277366"/>
    <w:rsid w:val="23096270"/>
    <w:rsid w:val="23A60B0B"/>
    <w:rsid w:val="23D25A87"/>
    <w:rsid w:val="24F6274A"/>
    <w:rsid w:val="255A12BC"/>
    <w:rsid w:val="299E7FA3"/>
    <w:rsid w:val="2A267659"/>
    <w:rsid w:val="2A542E82"/>
    <w:rsid w:val="2CAB4FC3"/>
    <w:rsid w:val="2DD70157"/>
    <w:rsid w:val="2E4C650A"/>
    <w:rsid w:val="2EA86AE0"/>
    <w:rsid w:val="2F517B4D"/>
    <w:rsid w:val="2F8C0984"/>
    <w:rsid w:val="2FED0193"/>
    <w:rsid w:val="30B114A8"/>
    <w:rsid w:val="31765210"/>
    <w:rsid w:val="317B339E"/>
    <w:rsid w:val="352C7F5B"/>
    <w:rsid w:val="357E1E1F"/>
    <w:rsid w:val="367C523E"/>
    <w:rsid w:val="37D26FF1"/>
    <w:rsid w:val="3843339D"/>
    <w:rsid w:val="38BE45BF"/>
    <w:rsid w:val="393822C7"/>
    <w:rsid w:val="399C1EB6"/>
    <w:rsid w:val="39A27875"/>
    <w:rsid w:val="3A49394E"/>
    <w:rsid w:val="3C35186D"/>
    <w:rsid w:val="3E09419D"/>
    <w:rsid w:val="3ED66533"/>
    <w:rsid w:val="3F9E2D9E"/>
    <w:rsid w:val="3FE1666E"/>
    <w:rsid w:val="43256114"/>
    <w:rsid w:val="43B411C6"/>
    <w:rsid w:val="45EB0535"/>
    <w:rsid w:val="463C4112"/>
    <w:rsid w:val="4693002F"/>
    <w:rsid w:val="47EB1FEA"/>
    <w:rsid w:val="488408F5"/>
    <w:rsid w:val="493C4BF6"/>
    <w:rsid w:val="497150FB"/>
    <w:rsid w:val="49724F5F"/>
    <w:rsid w:val="4A150892"/>
    <w:rsid w:val="4A43321E"/>
    <w:rsid w:val="4BB3556A"/>
    <w:rsid w:val="4C113A0D"/>
    <w:rsid w:val="4C2F9F14"/>
    <w:rsid w:val="4C5E7C6A"/>
    <w:rsid w:val="4D0A53C8"/>
    <w:rsid w:val="4E7047E9"/>
    <w:rsid w:val="4E981E9F"/>
    <w:rsid w:val="4F45101E"/>
    <w:rsid w:val="4F6D663F"/>
    <w:rsid w:val="4F8F150D"/>
    <w:rsid w:val="50A15794"/>
    <w:rsid w:val="51663748"/>
    <w:rsid w:val="52A621BD"/>
    <w:rsid w:val="5313343E"/>
    <w:rsid w:val="55307F64"/>
    <w:rsid w:val="56181785"/>
    <w:rsid w:val="56C73A54"/>
    <w:rsid w:val="57B530B3"/>
    <w:rsid w:val="57B63F91"/>
    <w:rsid w:val="57FF56B5"/>
    <w:rsid w:val="589C25AA"/>
    <w:rsid w:val="58A21BD3"/>
    <w:rsid w:val="59EF4314"/>
    <w:rsid w:val="5ABD4096"/>
    <w:rsid w:val="5B5F2133"/>
    <w:rsid w:val="5DA65795"/>
    <w:rsid w:val="5DDE552F"/>
    <w:rsid w:val="5DFB6C75"/>
    <w:rsid w:val="5EDF0946"/>
    <w:rsid w:val="5FFC4C55"/>
    <w:rsid w:val="61E8255E"/>
    <w:rsid w:val="62847371"/>
    <w:rsid w:val="62E2218B"/>
    <w:rsid w:val="65716EC9"/>
    <w:rsid w:val="66371609"/>
    <w:rsid w:val="66EB4010"/>
    <w:rsid w:val="68040C6D"/>
    <w:rsid w:val="69C35725"/>
    <w:rsid w:val="6ABE579F"/>
    <w:rsid w:val="6DB03E06"/>
    <w:rsid w:val="6DC692C0"/>
    <w:rsid w:val="6DFFC421"/>
    <w:rsid w:val="6F060857"/>
    <w:rsid w:val="6F1673D1"/>
    <w:rsid w:val="6F6F172A"/>
    <w:rsid w:val="6FB4149D"/>
    <w:rsid w:val="6FDD55EE"/>
    <w:rsid w:val="701945C6"/>
    <w:rsid w:val="703B3ADC"/>
    <w:rsid w:val="71047356"/>
    <w:rsid w:val="714B19C5"/>
    <w:rsid w:val="72630DA7"/>
    <w:rsid w:val="72A13895"/>
    <w:rsid w:val="72BE63CD"/>
    <w:rsid w:val="75676F61"/>
    <w:rsid w:val="75847B43"/>
    <w:rsid w:val="764D2997"/>
    <w:rsid w:val="790134B4"/>
    <w:rsid w:val="7AF8481F"/>
    <w:rsid w:val="7B194310"/>
    <w:rsid w:val="7BA04534"/>
    <w:rsid w:val="7CE469C6"/>
    <w:rsid w:val="7DCA3806"/>
    <w:rsid w:val="7F8C5FF1"/>
    <w:rsid w:val="9E7DD373"/>
    <w:rsid w:val="BEBF1A3C"/>
    <w:rsid w:val="D7B7D727"/>
    <w:rsid w:val="DF9D4F26"/>
    <w:rsid w:val="E4F9D0C2"/>
    <w:rsid w:val="F4AF78A9"/>
    <w:rsid w:val="FEA77B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eastAsia="黑体"/>
      <w:b/>
      <w:bCs/>
      <w:kern w:val="44"/>
      <w:sz w:val="32"/>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rFonts w:eastAsia="宋体"/>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Subtitle"/>
    <w:basedOn w:val="1"/>
    <w:next w:val="1"/>
    <w:link w:val="13"/>
    <w:qFormat/>
    <w:uiPriority w:val="0"/>
    <w:pPr>
      <w:spacing w:before="240" w:after="60" w:line="312" w:lineRule="auto"/>
      <w:outlineLvl w:val="1"/>
    </w:pPr>
    <w:rPr>
      <w:rFonts w:ascii="Cambria" w:hAnsi="Cambria" w:eastAsia="楷体_GB2312" w:cs="Times New Roman"/>
      <w:b/>
      <w:bCs/>
      <w:kern w:val="28"/>
      <w:sz w:val="32"/>
      <w:szCs w:val="32"/>
    </w:rPr>
  </w:style>
  <w:style w:type="table" w:styleId="9">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样式1"/>
    <w:basedOn w:val="1"/>
    <w:qFormat/>
    <w:uiPriority w:val="0"/>
    <w:rPr>
      <w:rFonts w:ascii="仿宋_GB2312" w:eastAsia="仿宋_GB2312"/>
      <w:sz w:val="28"/>
    </w:rPr>
  </w:style>
  <w:style w:type="character" w:customStyle="1" w:styleId="12">
    <w:name w:val="标题 1 Char"/>
    <w:link w:val="2"/>
    <w:qFormat/>
    <w:uiPriority w:val="0"/>
    <w:rPr>
      <w:rFonts w:eastAsia="黑体"/>
      <w:b/>
      <w:bCs/>
      <w:kern w:val="44"/>
      <w:sz w:val="32"/>
      <w:szCs w:val="44"/>
    </w:rPr>
  </w:style>
  <w:style w:type="character" w:customStyle="1" w:styleId="13">
    <w:name w:val="副标题 Char"/>
    <w:link w:val="7"/>
    <w:qFormat/>
    <w:uiPriority w:val="0"/>
    <w:rPr>
      <w:rFonts w:ascii="Cambria" w:hAnsi="Cambria" w:eastAsia="楷体_GB2312"/>
      <w:b/>
      <w:bCs/>
      <w:kern w:val="28"/>
      <w:sz w:val="32"/>
      <w:szCs w:val="32"/>
    </w:rPr>
  </w:style>
  <w:style w:type="character" w:customStyle="1" w:styleId="14">
    <w:name w:val="页眉 Char"/>
    <w:link w:val="6"/>
    <w:qFormat/>
    <w:uiPriority w:val="0"/>
    <w:rPr>
      <w:kern w:val="2"/>
      <w:sz w:val="18"/>
      <w:szCs w:val="18"/>
    </w:rPr>
  </w:style>
  <w:style w:type="character" w:customStyle="1" w:styleId="15">
    <w:name w:val="批注框文本 Char"/>
    <w:link w:val="4"/>
    <w:qFormat/>
    <w:uiPriority w:val="0"/>
    <w:rPr>
      <w:rFonts w:eastAsia="仿宋_GB2312"/>
      <w:kern w:val="2"/>
      <w:sz w:val="18"/>
      <w:szCs w:val="18"/>
    </w:rPr>
  </w:style>
  <w:style w:type="character" w:customStyle="1" w:styleId="16">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Powerise</Company>
  <Pages>116</Pages>
  <Words>67523</Words>
  <Characters>70224</Characters>
  <Lines>17556</Lines>
  <Paragraphs>9839</Paragraphs>
  <TotalTime>24</TotalTime>
  <ScaleCrop>false</ScaleCrop>
  <LinksUpToDate>false</LinksUpToDate>
  <CharactersWithSpaces>127908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2013-07-10T06:15:00Z</dcterms:created>
  <dc:creator>vv</dc:creator>
  <cp:lastModifiedBy>zwj</cp:lastModifiedBy>
  <cp:lastPrinted>2021-01-21T06:57:00Z</cp:lastPrinted>
  <dcterms:modified xsi:type="dcterms:W3CDTF">2021-01-26T02:01:15Z</dcterms:modified>
  <dc:title>国家卫生健康委员会办公厅文件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