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67" w:rsidRDefault="00E70A67" w:rsidP="008C25EF">
      <w:pPr>
        <w:widowControl/>
        <w:spacing w:line="600" w:lineRule="exact"/>
        <w:jc w:val="left"/>
        <w:rPr>
          <w:rFonts w:ascii="黑体" w:eastAsia="黑体" w:hAnsi="黑体" w:cs="黑体"/>
          <w:szCs w:val="32"/>
        </w:rPr>
      </w:pPr>
      <w:bookmarkStart w:id="0" w:name="_Toc515605632"/>
      <w:r>
        <w:rPr>
          <w:rFonts w:ascii="黑体" w:eastAsia="黑体" w:hAnsi="黑体" w:cs="黑体" w:hint="eastAsia"/>
          <w:szCs w:val="32"/>
        </w:rPr>
        <w:t xml:space="preserve">附件3 </w:t>
      </w:r>
    </w:p>
    <w:p w:rsidR="008C25EF" w:rsidRPr="008C25EF" w:rsidRDefault="008C25EF" w:rsidP="008C25EF">
      <w:pPr>
        <w:pStyle w:val="a2"/>
        <w:spacing w:line="600" w:lineRule="exact"/>
      </w:pPr>
    </w:p>
    <w:p w:rsidR="00E70A67" w:rsidRDefault="00E70A67" w:rsidP="008C25EF">
      <w:pPr>
        <w:pStyle w:val="1"/>
        <w:keepNext w:val="0"/>
        <w:keepLines w:val="0"/>
        <w:adjustRightInd w:val="0"/>
        <w:snapToGrid w:val="0"/>
        <w:spacing w:before="0" w:after="0" w:line="600" w:lineRule="exact"/>
        <w:jc w:val="center"/>
        <w:rPr>
          <w:rFonts w:ascii="宋体" w:eastAsia="宋体" w:hAnsi="宋体" w:cs="宋体"/>
          <w:sz w:val="44"/>
        </w:rPr>
      </w:pPr>
      <w:r>
        <w:rPr>
          <w:rFonts w:ascii="宋体" w:eastAsia="宋体" w:hAnsi="宋体" w:cs="宋体" w:hint="eastAsia"/>
          <w:sz w:val="44"/>
        </w:rPr>
        <w:t>静脉用药集中调配技术操作规范</w:t>
      </w:r>
      <w:bookmarkStart w:id="1" w:name="_Toc515605633"/>
      <w:bookmarkEnd w:id="0"/>
    </w:p>
    <w:p w:rsidR="008C25EF" w:rsidRPr="008C25EF" w:rsidRDefault="008C25EF" w:rsidP="008C25EF">
      <w:pPr>
        <w:spacing w:line="600" w:lineRule="exact"/>
      </w:pPr>
    </w:p>
    <w:p w:rsidR="00E70A67" w:rsidRDefault="00E70A67" w:rsidP="008C25EF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r>
        <w:rPr>
          <w:rStyle w:val="a7"/>
          <w:rFonts w:ascii="黑体" w:eastAsia="黑体" w:hAnsi="黑体" w:cs="Times New Roman"/>
          <w:sz w:val="32"/>
          <w:szCs w:val="32"/>
        </w:rPr>
        <w:t>一、静脉用药集中调配工作流程</w:t>
      </w:r>
      <w:bookmarkEnd w:id="1"/>
      <w:r>
        <w:rPr>
          <w:rStyle w:val="a7"/>
          <w:rFonts w:ascii="黑体" w:eastAsia="黑体" w:hAnsi="黑体" w:cs="Times New Roman"/>
          <w:sz w:val="32"/>
          <w:szCs w:val="32"/>
        </w:rPr>
        <w:t xml:space="preserve"> </w:t>
      </w:r>
    </w:p>
    <w:p w:rsidR="00E70A67" w:rsidRDefault="00E70A67" w:rsidP="008C25EF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药师接收医师开具静脉用药医嘱信息→对用药医嘱进行适宜性审核→打印输液标签→摆药贴签核对→加药混合调配→成品输液核查与包装→发放运送→病区核对签收。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2" w:name="_Toc515605634"/>
      <w:r>
        <w:rPr>
          <w:rStyle w:val="a7"/>
          <w:rFonts w:ascii="黑体" w:eastAsia="黑体" w:hAnsi="黑体" w:cs="Times New Roman"/>
          <w:sz w:val="32"/>
          <w:szCs w:val="32"/>
        </w:rPr>
        <w:t>二、静脉用药集中调配操作规程</w:t>
      </w:r>
      <w:bookmarkEnd w:id="2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（一）审核用药医嘱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1.按照《药品管理法》《医疗机构处方审核规范》有关规定执行。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2.审核静脉用药医嘱注意事项。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（1）评估静脉输液给药方法的必要性与合理性。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 w:rsidRPr="004C54F7">
        <w:rPr>
          <w:rFonts w:ascii="仿宋_GB2312" w:hAnsi="仿宋_GB2312" w:cs="仿宋_GB2312" w:hint="eastAsia"/>
          <w:sz w:val="32"/>
          <w:szCs w:val="32"/>
        </w:rPr>
        <w:t>（2）与医师紧密协作，遵循药品临床应用指导原则、临床诊疗指南和药品说明书等，对静脉用药医嘱的适宜性进行审核，特别是抗肿瘤药物静脉输液中拓展性临床使用的必要性与适宜性。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（3）审核静脉用药医嘱的合理性、相容性和稳定性；溶媒的选择与基础输液用量的适宜性。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（二）打印输液标签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1.用药医嘱经审核合格后，方可打印生成输液标签。标签由电子信息系统自动编号，包括患者基本信息、用药信息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及各岗位操作的药学专业人员信息。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2.输液标签基本信息应与药师审核确认的用药医嘱信息相一致，有纸质或电子备份，并保存1年备查。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3.对临床用药有特殊交待或注意事项的，应在输液标签上做提示性注解或标识，如须做过敏性试验药品、高警示药品，在输注时方可加入的药品；对成品输液的滴速</w:t>
      </w:r>
      <w:bookmarkStart w:id="3" w:name="_Hlk524802582"/>
      <w:r>
        <w:rPr>
          <w:rFonts w:ascii="仿宋_GB2312" w:hAnsi="仿宋_GB2312" w:cs="仿宋_GB2312" w:hint="eastAsia"/>
          <w:sz w:val="32"/>
          <w:szCs w:val="32"/>
        </w:rPr>
        <w:t>、</w:t>
      </w:r>
      <w:bookmarkEnd w:id="3"/>
      <w:r>
        <w:rPr>
          <w:rFonts w:ascii="仿宋_GB2312" w:hAnsi="仿宋_GB2312" w:cs="仿宋_GB2312" w:hint="eastAsia"/>
          <w:sz w:val="32"/>
          <w:szCs w:val="32"/>
        </w:rPr>
        <w:t>避光、冷藏有特殊要求或需用药监护的药品等。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4.对非整支</w:t>
      </w:r>
      <w:r w:rsidRPr="0065798E">
        <w:rPr>
          <w:rFonts w:ascii="仿宋_GB2312" w:hAnsi="仿宋_GB2312" w:cs="仿宋_GB2312" w:hint="eastAsia"/>
          <w:sz w:val="32"/>
          <w:szCs w:val="32"/>
        </w:rPr>
        <w:t>（瓶）</w:t>
      </w:r>
      <w:r>
        <w:rPr>
          <w:rFonts w:ascii="仿宋_GB2312" w:hAnsi="仿宋_GB2312" w:cs="仿宋_GB2312" w:hint="eastAsia"/>
          <w:sz w:val="32"/>
          <w:szCs w:val="32"/>
        </w:rPr>
        <w:t>用药医嘱，应在输液标签上注明实际抽取药量等，以供核查。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（三）摆药贴签核对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1.未经审核而打印的输液标签，不得摆药贴签。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2.实行双人摆药贴签核对制度，共同对摆药贴签负责。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3.摆药贴签核对时，操作人员应仔细阅读、核查输液标签是否准确、完整，如有错误或不全，应告知审核药师校对纠正。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4.摆药贴签核对时，操作人员应核查药品名称、规格、剂量等是否与标签内容一致，同时应检查药品质量、包装有无破损及在药品有效期内等，并签名或者盖章。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5.摆药贴签核对结束后，应立即清场、清洁。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6.按药品性质或病区进行分类，传递至相对应的调配操作间。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7.摆药贴签核对注意事项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（1）标签不得覆盖基础输液药品名称、规格、批号和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有效期等信息，以便核查。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（2）按先进先用、近期先用的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原则摆发药品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（3）高警示药品应设固定区域放置、并有明显警示标识。冷藏药品应放置于冷藏柜。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（4）从传递窗（门）送入洁净区的药品和物品表面应保持清洁。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（5）按规定做好破损药品的登记、报损工作。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（四）加药混合调配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1.调配操作前准备工作。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（1）在调配操作前30分钟，按操作规程启动调配操作间</w:t>
      </w:r>
      <w:bookmarkStart w:id="4" w:name="OLE_LINK2"/>
      <w:bookmarkStart w:id="5" w:name="OLE_LINK1"/>
      <w:r>
        <w:rPr>
          <w:rFonts w:ascii="仿宋_GB2312" w:hAnsi="仿宋_GB2312" w:cs="仿宋_GB2312" w:hint="eastAsia"/>
          <w:sz w:val="32"/>
          <w:szCs w:val="32"/>
        </w:rPr>
        <w:t>净化系统</w:t>
      </w:r>
      <w:bookmarkEnd w:id="4"/>
      <w:bookmarkEnd w:id="5"/>
      <w:r>
        <w:rPr>
          <w:rFonts w:ascii="仿宋_GB2312" w:hAnsi="仿宋_GB2312" w:cs="仿宋_GB2312" w:hint="eastAsia"/>
          <w:sz w:val="32"/>
          <w:szCs w:val="32"/>
        </w:rPr>
        <w:t>以及水平层流洁净台和生物安全柜，并确认其处于正常工作状态。</w:t>
      </w:r>
    </w:p>
    <w:p w:rsidR="00E70A67" w:rsidRDefault="00E70A67" w:rsidP="001E019D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（2）个人防护用品。洁净区专用鞋、洁净隔离服、一次性口罩与帽子、无粉灭菌乳胶（丁基）手套等。危害药品调配</w:t>
      </w:r>
      <w:r w:rsidR="001E019D">
        <w:rPr>
          <w:rFonts w:ascii="仿宋_GB2312" w:hAnsi="仿宋_GB2312" w:cs="仿宋_GB2312" w:hint="eastAsia"/>
          <w:sz w:val="32"/>
          <w:szCs w:val="32"/>
        </w:rPr>
        <w:t>的个人防护用品要求</w:t>
      </w:r>
      <w:r>
        <w:rPr>
          <w:rFonts w:ascii="仿宋_GB2312" w:hAnsi="仿宋_GB2312" w:cs="仿宋_GB2312" w:hint="eastAsia"/>
          <w:sz w:val="32"/>
          <w:szCs w:val="32"/>
        </w:rPr>
        <w:t>参照附件3.1执行。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药品、物品物料准备。按照操作规程洗手更衣，进入调配操作间，将摆放药品的推车放在水平层流洁净台或生物安全柜附近指定位置，并准备调配使用的一次性物品物料：注射器、75%乙醇、碘伏、无纺布、利器盒、医疗废弃袋和生活垃圾袋、砂轮、笔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（4）水平层流洁净台和生物安全柜消毒。用蘸有75%乙醇的无纺布，从上到下、从内到外擦拭各个部位。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2.混合调配操作。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（1）调配操作前校对：操作人员应按输液标签，核对药品名称、规格、数量、有效期和药品外观完好性等，无误后进行加药混合调配。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（2）选用适宜的一次性注射器，检查并拆除外包装，旋转针头连接注射器并固定，确保针尖斜面与注射器刻度处于不同侧面。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（3）将药品放置于洁净工作台操作区域，用75%乙醇或碘伏消毒基础输液袋（瓶）加药处、药品安瓿瓶颈或西林瓶胶塞等。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①调配注射液，应在洁净工作台侧壁打开安瓿，避免朝向人或高效过滤器方向，以防药液喷溅到人或高效过滤器上，用注射器抽取所需药液量，注入基础输液袋（瓶）内轻轻摇匀；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②调配粉针剂，用注射器抽取适量溶媒注入西林瓶内，轻轻摇动或置于振荡器上助溶，待完全溶解后，抽出所需药液量，注入基础输液袋（瓶）内轻轻摇匀。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</w:t>
      </w:r>
      <w:bookmarkStart w:id="6" w:name="_Hlk525031122"/>
      <w:r>
        <w:rPr>
          <w:rFonts w:ascii="仿宋_GB2312" w:hAnsi="仿宋_GB2312" w:cs="仿宋_GB2312" w:hint="eastAsia"/>
          <w:sz w:val="32"/>
          <w:szCs w:val="32"/>
        </w:rPr>
        <w:t>危害药品</w:t>
      </w:r>
      <w:bookmarkEnd w:id="6"/>
      <w:r>
        <w:rPr>
          <w:rFonts w:ascii="仿宋_GB2312" w:hAnsi="仿宋_GB2312" w:cs="仿宋_GB2312" w:hint="eastAsia"/>
          <w:sz w:val="32"/>
          <w:szCs w:val="32"/>
        </w:rPr>
        <w:t>加药混合调配，应执行本《静脉用药集中调配技术操作规范》及附件3.1操作规定。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（5）肠外营养液加药混合调配，应执行本《静脉用药集中调配技术操作规范》及附件3.2操作规定。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3.调配操作结束后。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（1）应再次按输液标签核对药品名称、规格、有效期，以及注意事项的提示性注解或标识等，并应核查抽取药液的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用量，已调配好的成品输液是否有絮状物、微粒等，无误后在输液标签上签名或盖章。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（2）将调配好的成品输液以及空安瓿或西林瓶传送至成品输液核查区，进入成品输液</w:t>
      </w:r>
      <w:bookmarkStart w:id="7" w:name="_Hlk525823253"/>
      <w:r>
        <w:rPr>
          <w:rFonts w:ascii="仿宋_GB2312" w:hAnsi="仿宋_GB2312" w:cs="仿宋_GB2312" w:hint="eastAsia"/>
          <w:sz w:val="32"/>
          <w:szCs w:val="32"/>
        </w:rPr>
        <w:t>核查包装程序。</w:t>
      </w:r>
      <w:bookmarkEnd w:id="7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危害药品成品输液应在调配操作间内按操作规程完成核查程序。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（3）每日调配结束后，应立即全面清场，物品归回原位，清除废物，按清洁、消毒操作规程进行全面的清洁、消毒，并做好记录与交接班工作。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（4）按照更衣操作流程出调配操作间。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4.注意事项。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（1）每个洁净工作台配备两人为一组进行加药混合调配，便于双人核对；不得进行交叉调配操作，即在同一操作台面上，同时进行两组或两组以上药品混合调配操作。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（2）严格执行无菌操作规程，按照规范要求洗手，无菌手套不能代替洗手过程。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（3）混合调配操作时，非整支（瓶）用量，应在输液标签上有明确标注其实际用量，以便校对。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（4）肠外营养液、危害药品、高警示药品和某些特殊药品混合调配非整</w:t>
      </w:r>
      <w:bookmarkStart w:id="8" w:name="_Hlk513887553"/>
      <w:r>
        <w:rPr>
          <w:rFonts w:ascii="仿宋_GB2312" w:hAnsi="仿宋_GB2312" w:cs="仿宋_GB2312" w:hint="eastAsia"/>
          <w:sz w:val="32"/>
          <w:szCs w:val="32"/>
        </w:rPr>
        <w:t>支（瓶）</w:t>
      </w:r>
      <w:bookmarkEnd w:id="8"/>
      <w:r>
        <w:rPr>
          <w:rFonts w:ascii="仿宋_GB2312" w:hAnsi="仿宋_GB2312" w:cs="仿宋_GB2312" w:hint="eastAsia"/>
          <w:sz w:val="32"/>
          <w:szCs w:val="32"/>
        </w:rPr>
        <w:t>用药量计算时，应当实行现场双人核对与签名。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（5）操作台中物品摆放应规范、合理，避免跨越无菌区域。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①水平层流洁净台大件物品放置相距不小于15cm，小件物品相距不少于5cm，距离台面边缘不少于15cm，物品摆放不得阻挡洁净层流，距离洁净台后壁不少于8cm；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②生物安全柜内所有操作，应在离工作台外沿20cm，内沿8～10cm并离台面10～15cm区域内进行，药品或物品不得阻挡生物安全柜散流孔，操作前将防护玻璃下拉至指定位置。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（6）调配操作以及清洁、消毒过程，应防止任何药液溅入高效过滤器，以免损坏器件或引起微生物滋生。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（7）每完成一组（批）混合调配操作后，应立即清场，用蘸有75%乙醇的无纺布擦拭台面，不得留有与下一批调配无关的药品、余液、用过的注射器和其他物品。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（8）混合调配抽吸药液时，抽液量不得超过注射器容量的四分之三，防止针筒脱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栓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（9）混合调配操作时使用的物品、药品有污染或疑似污染时，应当立即更换。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10）多种药品混合调配操作过程中，应当根据临床需求和各药品的理化性质，评估确定多种药品混合配伍的安全性，并决定调配流程与加药顺序。如果输液出现异常或对药品配伍、操作程序有疑点时，应停止调配，报告当班药师，确认无误后方可重新调配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（五）成品输液核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查</w:t>
      </w:r>
      <w:r>
        <w:rPr>
          <w:rFonts w:ascii="Times New Roman" w:eastAsia="楷体_GB2312" w:hAnsi="Times New Roman" w:cs="Times New Roman"/>
          <w:kern w:val="2"/>
          <w:sz w:val="32"/>
          <w:szCs w:val="32"/>
        </w:rPr>
        <w:t>与包装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1.成品输液核查。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（1）检查成品输液袋（瓶）外观是否整洁，轻轻挤压，观察输液袋有无破损或渗漏，尤其是加药及接缝处。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（2）检查成品输液外观有无变色、浑浊、沉淀、结晶或其他可见异物等；肠外营养液还应检查有无油滴析出、分层等。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（3）按输液标签内容，逐项核对药品与标签是否一致，再次检查药品配伍的合理性以及用药剂量的适宜性。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（4）检查抽取药液量准确性和西林瓶与安瓿药液残留量，核查非整支（瓶）药品的用量与标签是否相符。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（5）检查输液标签完整性，信息是否完整、正确，各岗位操作人员签名是否齐全、规范，确认无误后，核查药师应签名或盖章。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（6）检查核对完成后，废物按规定分类进行处理。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2.成品输液包装。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（1）将合格的成品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输液按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病区、批次、药品类别进行分类包装。遮光药品应进行遮光处理，外包装上应当有醒目标识；危害药品不得与其他成品输液混合包装；肠外营养液应单独包装。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（2）核查各病区、批次和成品输液数量，确认无误后，将包装好的成品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输液按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病区放置于转运箱内，上锁或加封条，填写成品输液发送信息并签名。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（六）成品输液发放与运送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1.发放成品输液药学人员应与运送工勤人员交接运送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任务，按规定时间准时送至各病区。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2.成品输液送至各病区后，运送工勤人员与护士当面交接成品输液，共同清点数目，双方签名、并记录。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3.运送工勤人员返回后，运送过程中发生的问题应及时向发药人员反馈并记录。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4.运送工作结束后，清点转运工具，清洁、消毒成品输液转运箱、转运车。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5.危害药品成品输液运送过程中须配备溢出处理包。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9" w:name="_Toc515605635"/>
      <w:r w:rsidRPr="00FB2892">
        <w:rPr>
          <w:rStyle w:val="a7"/>
          <w:rFonts w:ascii="黑体" w:eastAsia="黑体" w:hAnsi="黑体" w:cs="Times New Roman"/>
          <w:sz w:val="32"/>
          <w:szCs w:val="32"/>
        </w:rPr>
        <w:t>三、应急预案管理与处置操作规程</w:t>
      </w:r>
      <w:bookmarkEnd w:id="9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（一）基本要点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应建立相关应急预案，包括危害药品溢出，水、电、信息系统与洁净设备等</w:t>
      </w:r>
      <w:r w:rsidR="003F7D8D">
        <w:rPr>
          <w:rFonts w:ascii="仿宋_GB2312" w:hAnsi="仿宋_GB2312" w:cs="仿宋_GB2312" w:hint="eastAsia"/>
          <w:sz w:val="32"/>
          <w:szCs w:val="32"/>
        </w:rPr>
        <w:t>故障</w:t>
      </w:r>
      <w:r>
        <w:rPr>
          <w:rFonts w:ascii="仿宋_GB2312" w:hAnsi="仿宋_GB2312" w:cs="仿宋_GB2312" w:hint="eastAsia"/>
          <w:sz w:val="32"/>
          <w:szCs w:val="32"/>
        </w:rPr>
        <w:t>及火灾等。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应配备与处置各项应急意外事件相匹配的相关物品、工具设备。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3.全体人员应按照各项应急预案进行培训和模拟演练，熟练掌握相关应急预案处置流程和处理措施，确保各项预案的可行性。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4.对发生的意外事件应查明原因，汲取教训，制定改进措施，并做好记录。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（二）危害药品溢出应急预案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</w:t>
      </w:r>
      <w:bookmarkStart w:id="10" w:name="OLE_LINK13"/>
      <w:bookmarkStart w:id="11" w:name="OLE_LINK11"/>
      <w:bookmarkStart w:id="12" w:name="OLE_LINK12"/>
      <w:r>
        <w:rPr>
          <w:rFonts w:ascii="仿宋_GB2312" w:hAnsi="仿宋_GB2312" w:cs="仿宋_GB2312" w:hint="eastAsia"/>
          <w:sz w:val="32"/>
          <w:szCs w:val="32"/>
        </w:rPr>
        <w:t>危害药品溢出</w:t>
      </w:r>
      <w:bookmarkEnd w:id="10"/>
      <w:bookmarkEnd w:id="11"/>
      <w:bookmarkEnd w:id="12"/>
      <w:r>
        <w:rPr>
          <w:rFonts w:ascii="仿宋_GB2312" w:hAnsi="仿宋_GB2312" w:cs="仿宋_GB2312" w:hint="eastAsia"/>
          <w:sz w:val="32"/>
          <w:szCs w:val="32"/>
        </w:rPr>
        <w:t>，一般可分为注射用药液或粉末溢出。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应配备溢出处理包，由专人负责、定期检查维护</w:t>
      </w:r>
      <w:bookmarkStart w:id="13" w:name="_Hlk524895741"/>
      <w:r>
        <w:rPr>
          <w:rFonts w:ascii="仿宋_GB2312" w:hAnsi="仿宋_GB2312" w:cs="仿宋_GB2312" w:hint="eastAsia"/>
          <w:sz w:val="32"/>
          <w:szCs w:val="32"/>
        </w:rPr>
        <w:t>、</w:t>
      </w:r>
      <w:bookmarkEnd w:id="13"/>
      <w:r>
        <w:rPr>
          <w:rFonts w:ascii="仿宋_GB2312" w:hAnsi="仿宋_GB2312" w:cs="仿宋_GB2312" w:hint="eastAsia"/>
          <w:sz w:val="32"/>
          <w:szCs w:val="32"/>
        </w:rPr>
        <w:t>便于随时取用。溢出处理包应备有纱布、无纺布、吸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水纸巾、海绵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一次性防护服、工作鞋、手套、一次性口罩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护目镜、专用垃圾袋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小铲子</w:t>
      </w:r>
      <w:bookmarkStart w:id="14" w:name="_Hlk524895214"/>
      <w:r>
        <w:rPr>
          <w:rFonts w:ascii="仿宋_GB2312" w:hAnsi="仿宋_GB2312" w:cs="仿宋_GB2312" w:hint="eastAsia"/>
          <w:sz w:val="32"/>
          <w:szCs w:val="32"/>
        </w:rPr>
        <w:t>、</w:t>
      </w:r>
      <w:bookmarkEnd w:id="14"/>
      <w:r>
        <w:rPr>
          <w:rFonts w:ascii="仿宋_GB2312" w:hAnsi="仿宋_GB2312" w:cs="仿宋_GB2312" w:hint="eastAsia"/>
          <w:sz w:val="32"/>
          <w:szCs w:val="32"/>
        </w:rPr>
        <w:t>镊子、剪刀</w:t>
      </w:r>
      <w:r w:rsidR="00FB2892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75％乙醇、含氯消毒液等。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3.溢出处置操作。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（1）评估药液或药品粉末溢出的污染程度和范围。包括人员、场地、设施设备。溢出严重的应张贴警示标识，限制他人接近泄露区域。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（2）溢出物对人员污染。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脱去被污染的防护服，置于危害药品垃圾桶内；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被污染的皮肤区域，应用肥皂和清水彻底冲洗，如有皮肤被划破，除冲洗外应控制出血，并及时接受治疗处理；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3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③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如药液喷溅到眼睛，应先用0.9％氯化钠溶液或清水冲洗，并及时接受治疗处理；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4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④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清理溢出物时，应防止</w:t>
      </w:r>
      <w:bookmarkStart w:id="15" w:name="_Hlk525823837"/>
      <w:r w:rsidR="00E70A67">
        <w:rPr>
          <w:rFonts w:ascii="仿宋_GB2312" w:hAnsi="仿宋_GB2312" w:cs="仿宋_GB2312" w:hint="eastAsia"/>
          <w:sz w:val="32"/>
          <w:szCs w:val="32"/>
        </w:rPr>
        <w:t>皮肤划破</w:t>
      </w:r>
      <w:bookmarkEnd w:id="15"/>
      <w:r w:rsidR="00E70A67">
        <w:rPr>
          <w:rFonts w:ascii="仿宋_GB2312" w:hAnsi="仿宋_GB2312" w:cs="仿宋_GB2312" w:hint="eastAsia"/>
          <w:sz w:val="32"/>
          <w:szCs w:val="32"/>
        </w:rPr>
        <w:t>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5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⑤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事后应做好记录及上报工作。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</w:t>
      </w:r>
      <w:bookmarkStart w:id="16" w:name="_Hlk514001513"/>
      <w:r>
        <w:rPr>
          <w:rFonts w:ascii="仿宋_GB2312" w:hAnsi="仿宋_GB2312" w:cs="仿宋_GB2312" w:hint="eastAsia"/>
          <w:sz w:val="32"/>
          <w:szCs w:val="32"/>
        </w:rPr>
        <w:t>溢出</w:t>
      </w:r>
      <w:bookmarkEnd w:id="16"/>
      <w:r>
        <w:rPr>
          <w:rFonts w:ascii="仿宋_GB2312" w:hAnsi="仿宋_GB2312" w:cs="仿宋_GB2312" w:hint="eastAsia"/>
          <w:sz w:val="32"/>
          <w:szCs w:val="32"/>
        </w:rPr>
        <w:t>物处理。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药液危害药品溢出，依据溢出量，采用相应的物品吸附与控制溢出液；粉末状危害药品应用湿布覆盖，用小铲收集，再用纱布轻轻擦拭；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 xml:space="preserve">用小铲或镊子将玻璃碎片收集后放入利器盒中。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（4）清洁消毒。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根据被污染区域和溢出量情况，应先用水擦洗或冲洗，再用清洁剂擦拭</w:t>
      </w:r>
      <w:r w:rsidR="005A70F2">
        <w:rPr>
          <w:rFonts w:ascii="仿宋_GB2312" w:hAnsi="仿宋_GB2312" w:cs="仿宋_GB2312" w:hint="eastAsia"/>
          <w:sz w:val="32"/>
          <w:szCs w:val="32"/>
        </w:rPr>
        <w:t>，</w:t>
      </w:r>
      <w:r w:rsidR="00E70A67">
        <w:rPr>
          <w:rFonts w:ascii="仿宋_GB2312" w:hAnsi="仿宋_GB2312" w:cs="仿宋_GB2312" w:hint="eastAsia"/>
          <w:sz w:val="32"/>
          <w:szCs w:val="32"/>
        </w:rPr>
        <w:t>最后用含氯消毒溶液消毒；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如果是吸附性较强的危害药品，应选用适宜的溶剂再次擦拭消毒处理。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（5）被污染物的处理。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反复使用的物品用清洁剂擦拭，再用水清洗并消毒；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处理溢出物的一次性耗材与物品，应放置于黄色医疗废物包装袋中，并标注警示标记，交由医院统一烧毁。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（6）对危害药品溢出的药品名称、溢出量、处理过程、原因分析，溢出物对操作人员与环境的影响程度等，做好记录归档工作。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4.生物安全柜内危害药品溢出处理。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（1）在生物安全柜内发生的危害药品输液袋（瓶）破裂，按溢出处置操作流程处理。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（2）应重视以下环节的处置。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认真擦拭、消毒生物安全柜内表面</w:t>
      </w:r>
      <w:r w:rsidR="00056E83">
        <w:rPr>
          <w:rFonts w:ascii="仿宋_GB2312" w:hAnsi="仿宋_GB2312" w:cs="仿宋_GB2312" w:hint="eastAsia"/>
          <w:sz w:val="32"/>
          <w:szCs w:val="32"/>
        </w:rPr>
        <w:t>，</w:t>
      </w:r>
      <w:r w:rsidR="00E70A67">
        <w:rPr>
          <w:rFonts w:ascii="仿宋_GB2312" w:hAnsi="仿宋_GB2312" w:cs="仿宋_GB2312" w:hint="eastAsia"/>
          <w:sz w:val="32"/>
          <w:szCs w:val="32"/>
        </w:rPr>
        <w:t>特别是凹槽处；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如果高效过滤器被污染，应依据污染的程度，采用擦洗消毒或更换过滤器。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17" w:name="_Toc515605636"/>
      <w:r>
        <w:rPr>
          <w:rStyle w:val="a7"/>
          <w:rFonts w:ascii="黑体" w:eastAsia="黑体" w:hAnsi="黑体" w:cs="Times New Roman"/>
          <w:sz w:val="32"/>
          <w:szCs w:val="32"/>
        </w:rPr>
        <w:t>四、更衣操作规程</w:t>
      </w:r>
      <w:bookmarkEnd w:id="17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（一）进入非洁净控制区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1.不得化妆，取下佩戴的手表、耳环、戒指、手镯等装饰品以及手机。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2.在普通更衣区更换专用工作鞋、工作服，并戴发帽。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（二）进入洁净区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1.一次更衣室脱下专用工作鞋，换上洁净区用鞋，按七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步洗手法洗手清洁。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2.二次更衣室戴一次性口罩与帽子、穿洁净隔离服，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戴无粉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灭菌乳胶手套。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3.穿戴规范，无头发外露，皮肤应尽量少暴露。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4.用手肘部推开门进入调配操作间，禁止用手开门。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（三）离开洁净区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1.混合调配操作结束后，脱下一次性手套，弃于医疗废物包装袋内。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.在二次更衣室脱下洁净隔离服整齐放置，一次性口罩、帽子弃于医疗废物包装袋内。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.在一次更衣室脱去洁净区用鞋，并放在指定位置。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（四）外来人员管理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1.应建立非本中心人员接待与参观管理制度。非本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人员未经中心负责人同意，不得进入；参观人员不得进入洁净区。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2.进入非洁净控制区人员的更衣，同本中心工作人员“更衣操作规程”。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18" w:name="_Toc515454526"/>
      <w:bookmarkStart w:id="19" w:name="_Toc515605637"/>
      <w:r>
        <w:rPr>
          <w:rStyle w:val="a7"/>
          <w:rFonts w:ascii="黑体" w:eastAsia="黑体" w:hAnsi="黑体" w:cs="Times New Roman"/>
          <w:sz w:val="32"/>
          <w:szCs w:val="32"/>
        </w:rPr>
        <w:t>五、清洁消毒操作规程</w:t>
      </w:r>
      <w:bookmarkEnd w:id="18"/>
      <w:bookmarkEnd w:id="19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bookmarkStart w:id="20" w:name="_Toc515454527"/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（一）非洁净控制区</w:t>
      </w:r>
      <w:bookmarkEnd w:id="20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（1）清洁用品。拖布、清洁布、清洁盆、地巾、水桶、毛刷、吸尘器、清洁剂等。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（2）调配工作结束后，应立即整理物品，清除非洁净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控制区内遗留物及废弃物，地面用吸尘器吸取表面粉尘，用适宜的清洁用品清除污迹，若有特别污染物，可用清洁剂擦拭、用水擦洗至无泡沫。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bookmarkStart w:id="21" w:name="_Hlk515540884"/>
      <w:r>
        <w:rPr>
          <w:rFonts w:ascii="仿宋_GB2312" w:hAnsi="仿宋_GB2312" w:cs="仿宋_GB2312" w:hint="eastAsia"/>
          <w:sz w:val="32"/>
          <w:szCs w:val="32"/>
        </w:rPr>
        <w:t>①每日清洁：工作台、座椅、地面；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②每周清洁：门、窗等；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bookmarkStart w:id="22" w:name="_Hlk515540400"/>
      <w:r>
        <w:rPr>
          <w:rFonts w:ascii="仿宋_GB2312" w:hAnsi="仿宋_GB2312" w:cs="仿宋_GB2312" w:hint="eastAsia"/>
          <w:sz w:val="32"/>
          <w:szCs w:val="32"/>
        </w:rPr>
        <w:t>③每月清洁：天花板、墙面、公用设施。</w:t>
      </w:r>
    </w:p>
    <w:bookmarkEnd w:id="21"/>
    <w:bookmarkEnd w:id="22"/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2.消毒。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（1）消毒工具。应选用微细纤维材料清洁布、地巾、消毒剂等。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（2）推荐消毒剂</w:t>
      </w:r>
      <w:bookmarkStart w:id="23" w:name="_Hlk525032054"/>
      <w:bookmarkStart w:id="24" w:name="_Hlk515542582"/>
      <w:r>
        <w:rPr>
          <w:rFonts w:ascii="仿宋_GB2312" w:hAnsi="仿宋_GB2312" w:cs="仿宋_GB2312" w:hint="eastAsia"/>
          <w:sz w:val="32"/>
          <w:szCs w:val="32"/>
        </w:rPr>
        <w:t>。75%乙醇</w:t>
      </w:r>
      <w:bookmarkEnd w:id="23"/>
      <w:r>
        <w:rPr>
          <w:rFonts w:ascii="仿宋_GB2312" w:hAnsi="仿宋_GB2312" w:cs="仿宋_GB2312" w:hint="eastAsia"/>
          <w:sz w:val="32"/>
          <w:szCs w:val="32"/>
        </w:rPr>
        <w:t>、250mg/L或500mg/L</w:t>
      </w:r>
      <w:bookmarkStart w:id="25" w:name="_Hlk515542617"/>
      <w:bookmarkEnd w:id="24"/>
      <w:r>
        <w:rPr>
          <w:rFonts w:ascii="仿宋_GB2312" w:hAnsi="仿宋_GB2312" w:cs="仿宋_GB2312" w:hint="eastAsia"/>
          <w:sz w:val="32"/>
          <w:szCs w:val="32"/>
        </w:rPr>
        <w:t>含氯消毒溶液</w:t>
      </w:r>
      <w:bookmarkEnd w:id="25"/>
      <w:r>
        <w:rPr>
          <w:rFonts w:ascii="仿宋_GB2312" w:hAnsi="仿宋_GB2312" w:cs="仿宋_GB2312" w:hint="eastAsia"/>
          <w:sz w:val="32"/>
          <w:szCs w:val="32"/>
        </w:rPr>
        <w:t>。消毒溶液制备，应采用清洁并对含氯消毒溶液不产生影响的容器，按规定浓度加入消毒剂和水混合均匀，</w:t>
      </w:r>
      <w:bookmarkStart w:id="26" w:name="_Hlk514042950"/>
      <w:r>
        <w:rPr>
          <w:rFonts w:ascii="仿宋_GB2312" w:hAnsi="仿宋_GB2312" w:cs="仿宋_GB2312" w:hint="eastAsia"/>
          <w:sz w:val="32"/>
          <w:szCs w:val="32"/>
        </w:rPr>
        <w:t>消毒溶液应使用前配制。</w:t>
      </w:r>
      <w:bookmarkEnd w:id="26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（3）消毒前，应先进行清洁工作。用消毒溶液擦拭消毒，停留约10～15分钟后，再用水擦去消毒液。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1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①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每日消毒：工作台、座椅、地面；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每周消毒：门、窗等；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③每月消毒：天花板、墙面、公用设施。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3.辅助工作区如药品脱外包区、外送转运箱和转运车存放区、综合性会议示教休息室与非洁净控制区紧密相连，应持续保持清洁卫生，并应每月清洁消毒一次。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</w:t>
      </w:r>
      <w:bookmarkStart w:id="27" w:name="_Hlk515542773"/>
      <w:r>
        <w:rPr>
          <w:rFonts w:ascii="仿宋_GB2312" w:hAnsi="仿宋_GB2312" w:cs="仿宋_GB2312" w:hint="eastAsia"/>
          <w:sz w:val="32"/>
          <w:szCs w:val="32"/>
        </w:rPr>
        <w:t>摆药筐</w:t>
      </w:r>
      <w:bookmarkStart w:id="28" w:name="_Hlk515542946"/>
      <w:bookmarkEnd w:id="27"/>
      <w:r>
        <w:rPr>
          <w:rFonts w:ascii="仿宋_GB2312" w:hAnsi="仿宋_GB2312" w:cs="仿宋_GB2312" w:hint="eastAsia"/>
          <w:sz w:val="32"/>
          <w:szCs w:val="32"/>
        </w:rPr>
        <w:t>每日用250mg/L含氯消毒溶液</w:t>
      </w:r>
      <w:bookmarkEnd w:id="28"/>
      <w:r>
        <w:rPr>
          <w:rFonts w:ascii="仿宋_GB2312" w:hAnsi="仿宋_GB2312" w:cs="仿宋_GB2312" w:hint="eastAsia"/>
          <w:sz w:val="32"/>
          <w:szCs w:val="32"/>
        </w:rPr>
        <w:t>浸泡30</w:t>
      </w:r>
      <w:r w:rsidR="00F03E31">
        <w:rPr>
          <w:rFonts w:ascii="仿宋_GB2312" w:hAnsi="仿宋_GB2312" w:cs="仿宋_GB2312" w:hint="eastAsia"/>
          <w:sz w:val="32"/>
          <w:szCs w:val="32"/>
        </w:rPr>
        <w:t>分钟，然后用</w:t>
      </w:r>
      <w:r>
        <w:rPr>
          <w:rFonts w:ascii="仿宋_GB2312" w:hAnsi="仿宋_GB2312" w:cs="仿宋_GB2312" w:hint="eastAsia"/>
          <w:sz w:val="32"/>
          <w:szCs w:val="32"/>
        </w:rPr>
        <w:t>水冲洗干净，自然晾干。危害药品摆药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专用筐应单独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lastRenderedPageBreak/>
        <w:t>浸泡冲洗。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5.外送转运箱、转运车每日用500mg/L含氯消毒溶液擦拭消毒，停留10～15分钟后，再用水擦去消毒液。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bookmarkStart w:id="29" w:name="_Toc515454528"/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（二）洁净区</w:t>
      </w:r>
      <w:bookmarkEnd w:id="29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1.清洁。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（1）清洁用品。无纺布或其他不脱落纤维</w:t>
      </w:r>
      <w:r w:rsidR="00BA6BB1">
        <w:rPr>
          <w:rFonts w:ascii="仿宋_GB2312" w:hAnsi="仿宋_GB2312" w:cs="仿宋_GB2312" w:hint="eastAsia"/>
          <w:sz w:val="32"/>
          <w:szCs w:val="32"/>
        </w:rPr>
        <w:t>（或颗粒）</w:t>
      </w:r>
      <w:r>
        <w:rPr>
          <w:rFonts w:ascii="仿宋_GB2312" w:hAnsi="仿宋_GB2312" w:cs="仿宋_GB2312" w:hint="eastAsia"/>
          <w:sz w:val="32"/>
          <w:szCs w:val="32"/>
        </w:rPr>
        <w:t>物质的清洁用品、清洁不锈钢桶或塑料桶、清洁剂等。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</w:t>
      </w:r>
      <w:bookmarkStart w:id="30" w:name="OLE_LINK15"/>
      <w:bookmarkStart w:id="31" w:name="OLE_LINK14"/>
      <w:r>
        <w:rPr>
          <w:rFonts w:ascii="仿宋_GB2312" w:hAnsi="仿宋_GB2312" w:cs="仿宋_GB2312" w:hint="eastAsia"/>
          <w:sz w:val="32"/>
          <w:szCs w:val="32"/>
        </w:rPr>
        <w:t>调配操作结束后，应立即清场，整理水平层流洁净台、生物安全柜，清除遗留物及废物。用适宜的清洁剂擦拭照明灯开关、工作台顶部，然后再从上到下清洁台面的两壁，最后清洁工作台面，用水擦洗至无泡沫。</w:t>
      </w:r>
    </w:p>
    <w:bookmarkEnd w:id="30"/>
    <w:bookmarkEnd w:id="31"/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①每日清洁：工作台四周、座椅、所有的不锈钢设备，传递窗的顶部、两壁、台面，门框、门把手，废物桶，地面等；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②每周清洁：门、窗等；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③每月清洁：天花板、墙面、公用设施。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（3）清洁过程中,不得将清洁剂或水喷溅到高效空气过滤器上。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2.消毒。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（1）消毒工具。无纺布或丝绸、清洁不锈钢桶或塑料桶、地巾。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（2）推荐的消毒剂。75%乙醇、500mg/L含氯</w:t>
      </w:r>
      <w:bookmarkStart w:id="32" w:name="_Hlk514043247"/>
      <w:r>
        <w:rPr>
          <w:rFonts w:ascii="仿宋_GB2312" w:hAnsi="仿宋_GB2312" w:cs="仿宋_GB2312" w:hint="eastAsia"/>
          <w:sz w:val="32"/>
          <w:szCs w:val="32"/>
        </w:rPr>
        <w:t>消毒溶液</w:t>
      </w:r>
      <w:bookmarkEnd w:id="32"/>
      <w:r>
        <w:rPr>
          <w:rFonts w:ascii="仿宋_GB2312" w:hAnsi="仿宋_GB2312" w:cs="仿宋_GB2312" w:hint="eastAsia"/>
          <w:sz w:val="32"/>
          <w:szCs w:val="32"/>
        </w:rPr>
        <w:t>。消毒溶液制备同前。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（3）消毒前，应先进行整理、清洁，再用消毒溶液擦拭消</w:t>
      </w:r>
      <w:bookmarkStart w:id="33" w:name="_Hlk515543008"/>
      <w:r>
        <w:rPr>
          <w:rFonts w:ascii="仿宋_GB2312" w:hAnsi="仿宋_GB2312" w:cs="仿宋_GB2312" w:hint="eastAsia"/>
          <w:sz w:val="32"/>
          <w:szCs w:val="32"/>
        </w:rPr>
        <w:t>毒，停留10～15分钟后，用水擦去消毒液。</w:t>
      </w:r>
    </w:p>
    <w:bookmarkEnd w:id="33"/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①每日消毒：用75%乙醇擦拭消毒水平层流洁净台、生物安全柜风机、照明灯开关的按键</w:t>
      </w:r>
      <w:r w:rsidR="00BA6BB1">
        <w:rPr>
          <w:rFonts w:ascii="仿宋_GB2312" w:hAnsi="仿宋_GB2312" w:cs="仿宋_GB2312" w:hint="eastAsia"/>
          <w:sz w:val="32"/>
          <w:szCs w:val="32"/>
        </w:rPr>
        <w:t>、</w:t>
      </w:r>
      <w:r>
        <w:rPr>
          <w:rFonts w:ascii="仿宋_GB2312" w:hAnsi="仿宋_GB2312" w:cs="仿宋_GB2312" w:hint="eastAsia"/>
          <w:sz w:val="32"/>
          <w:szCs w:val="32"/>
        </w:rPr>
        <w:t>工作台工作区顶部，然后从上到下清洁工作台的两壁，最后擦拭工作台面；选用适当的消毒溶液擦</w:t>
      </w:r>
      <w:r w:rsidR="00A30236">
        <w:rPr>
          <w:rFonts w:ascii="仿宋_GB2312" w:hAnsi="仿宋_GB2312" w:cs="仿宋_GB2312" w:hint="eastAsia"/>
          <w:sz w:val="32"/>
          <w:szCs w:val="32"/>
        </w:rPr>
        <w:t>拭所有不锈钢设备、传递窗顶部、台面、两壁和门把手以及座椅、推车</w:t>
      </w:r>
      <w:r>
        <w:rPr>
          <w:rFonts w:ascii="仿宋_GB2312" w:hAnsi="仿宋_GB2312" w:cs="仿宋_GB2312" w:hint="eastAsia"/>
          <w:sz w:val="32"/>
          <w:szCs w:val="32"/>
        </w:rPr>
        <w:t>等；用消毒溶液擦拭废物桶内外，医疗废物套上黄色垃圾袋，生活垃圾套上黑色垃圾袋；用消毒溶液擦地面，不得留有死角。</w:t>
      </w:r>
    </w:p>
    <w:p w:rsidR="00E70A67" w:rsidRDefault="00254376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fldChar w:fldCharType="begin"/>
      </w:r>
      <w:r w:rsidR="00E70A67">
        <w:rPr>
          <w:rFonts w:ascii="仿宋_GB2312" w:hAnsi="仿宋_GB2312" w:cs="仿宋_GB2312" w:hint="eastAsia"/>
          <w:sz w:val="32"/>
          <w:szCs w:val="32"/>
        </w:rPr>
        <w:instrText xml:space="preserve"> = 2 \* GB3 </w:instrText>
      </w:r>
      <w:r>
        <w:rPr>
          <w:rFonts w:ascii="仿宋_GB2312" w:hAnsi="仿宋_GB2312" w:cs="仿宋_GB2312" w:hint="eastAsia"/>
          <w:sz w:val="32"/>
          <w:szCs w:val="32"/>
        </w:rPr>
        <w:fldChar w:fldCharType="separate"/>
      </w:r>
      <w:r w:rsidR="00E70A67">
        <w:rPr>
          <w:rFonts w:ascii="仿宋_GB2312" w:hAnsi="仿宋_GB2312" w:cs="仿宋_GB2312" w:hint="eastAsia"/>
          <w:sz w:val="32"/>
          <w:szCs w:val="32"/>
        </w:rPr>
        <w:t>②</w:t>
      </w:r>
      <w:r>
        <w:rPr>
          <w:rFonts w:ascii="仿宋_GB2312" w:hAnsi="仿宋_GB2312" w:cs="仿宋_GB2312" w:hint="eastAsia"/>
          <w:sz w:val="32"/>
          <w:szCs w:val="32"/>
        </w:rPr>
        <w:fldChar w:fldCharType="end"/>
      </w:r>
      <w:r w:rsidR="00E70A67">
        <w:rPr>
          <w:rFonts w:ascii="仿宋_GB2312" w:hAnsi="仿宋_GB2312" w:cs="仿宋_GB2312" w:hint="eastAsia"/>
          <w:sz w:val="32"/>
          <w:szCs w:val="32"/>
        </w:rPr>
        <w:t>每周消毒：门、窗等；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③每月消毒：天花板、墙面、公用设施。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（4）消毒过程中,应防止将消毒剂等液体喷溅到高效空气过滤器上。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bookmarkStart w:id="34" w:name="_Toc515454529"/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（三）清洁工具的清洁、消毒</w:t>
      </w:r>
      <w:bookmarkEnd w:id="34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1.擦桌面、墙面用清洁工具。用水和清洁剂清洗干净后，用250mg/L含氯消毒溶液浸泡30分钟，冲净消毒液，干燥备用。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2.擦地面用清洁工具。用水和清洁剂清洗干净后，用500mg/L含氯消毒溶液浸泡30分钟，冲净消毒液，干燥备用。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3.三个功能区以及洁净区内危害药品调配操作间的清洁工具，应专区专用，清洗、消毒</w:t>
      </w:r>
      <w:r w:rsidR="00BA6BB1"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t>分别存放。</w:t>
      </w:r>
      <w:bookmarkStart w:id="35" w:name="_Toc515454531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（四）医疗废物处置</w:t>
      </w:r>
      <w:bookmarkEnd w:id="35"/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1.危害药品废物分别包扎处理，应在危害药品调配操作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间内进行。成品输液进行双</w:t>
      </w:r>
      <w:r w:rsidR="00877FEC">
        <w:rPr>
          <w:rFonts w:ascii="仿宋_GB2312" w:hAnsi="仿宋_GB2312" w:cs="仿宋_GB2312" w:hint="eastAsia"/>
          <w:sz w:val="32"/>
          <w:szCs w:val="32"/>
        </w:rPr>
        <w:t>人核对</w:t>
      </w:r>
      <w:r>
        <w:rPr>
          <w:rFonts w:ascii="仿宋_GB2312" w:hAnsi="仿宋_GB2312" w:cs="仿宋_GB2312" w:hint="eastAsia"/>
          <w:sz w:val="32"/>
          <w:szCs w:val="32"/>
        </w:rPr>
        <w:t>后，废针头、空安瓿丢入利器盒；其他废物用黄色</w:t>
      </w:r>
      <w:bookmarkStart w:id="36" w:name="_Hlk514834091"/>
      <w:r>
        <w:rPr>
          <w:rFonts w:ascii="仿宋_GB2312" w:hAnsi="仿宋_GB2312" w:cs="仿宋_GB2312" w:hint="eastAsia"/>
          <w:sz w:val="32"/>
          <w:szCs w:val="32"/>
        </w:rPr>
        <w:t>医疗废物包装袋</w:t>
      </w:r>
      <w:bookmarkEnd w:id="36"/>
      <w:r>
        <w:rPr>
          <w:rFonts w:ascii="仿宋_GB2312" w:hAnsi="仿宋_GB2312" w:cs="仿宋_GB2312" w:hint="eastAsia"/>
          <w:sz w:val="32"/>
          <w:szCs w:val="32"/>
        </w:rPr>
        <w:t>单独包装扎紧，注明危害药品废物标识，按规定交由医疗机构统一处理。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2.普通药品废物处理，应在成品输液核查后进行，废弃针头丢入利器盒；其他废物用黄色医疗废物包装袋包装扎紧，按规定交由医疗机构统一处理。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hAnsi="Times New Roman" w:cs="Times New Roman"/>
          <w:kern w:val="2"/>
          <w:sz w:val="32"/>
          <w:szCs w:val="32"/>
        </w:rPr>
      </w:pPr>
    </w:p>
    <w:p w:rsidR="00E70A67" w:rsidRDefault="00E70A67" w:rsidP="00A82189">
      <w:pPr>
        <w:adjustRightInd w:val="0"/>
        <w:snapToGrid w:val="0"/>
        <w:spacing w:line="600" w:lineRule="exact"/>
        <w:jc w:val="left"/>
        <w:rPr>
          <w:rFonts w:ascii="黑体" w:eastAsia="黑体" w:hAnsi="黑体" w:cs="黑体"/>
          <w:szCs w:val="32"/>
        </w:rPr>
      </w:pPr>
      <w:r>
        <w:rPr>
          <w:b/>
          <w:bCs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附件3.1</w:t>
      </w:r>
    </w:p>
    <w:p w:rsidR="00A82189" w:rsidRPr="00A82189" w:rsidRDefault="00A82189" w:rsidP="00A82189">
      <w:pPr>
        <w:pStyle w:val="a2"/>
        <w:spacing w:line="600" w:lineRule="exact"/>
      </w:pPr>
    </w:p>
    <w:p w:rsidR="00E70A67" w:rsidRDefault="00E70A67" w:rsidP="00A82189">
      <w:pPr>
        <w:pStyle w:val="2"/>
        <w:jc w:val="center"/>
        <w:rPr>
          <w:rFonts w:ascii="宋体" w:eastAsia="宋体" w:hAnsi="宋体" w:cs="宋体"/>
          <w:sz w:val="44"/>
        </w:rPr>
      </w:pPr>
      <w:bookmarkStart w:id="37" w:name="_Toc515605638"/>
      <w:r>
        <w:rPr>
          <w:rFonts w:ascii="宋体" w:eastAsia="宋体" w:hAnsi="宋体" w:cs="宋体" w:hint="eastAsia"/>
          <w:sz w:val="44"/>
        </w:rPr>
        <w:t>危害药品</w:t>
      </w:r>
      <w:bookmarkStart w:id="38" w:name="_Hlk505686296"/>
      <w:r>
        <w:rPr>
          <w:rFonts w:ascii="宋体" w:eastAsia="宋体" w:hAnsi="宋体" w:cs="宋体" w:hint="eastAsia"/>
          <w:sz w:val="44"/>
        </w:rPr>
        <w:t>调配</w:t>
      </w:r>
      <w:bookmarkEnd w:id="38"/>
      <w:r>
        <w:rPr>
          <w:rFonts w:ascii="宋体" w:eastAsia="宋体" w:hAnsi="宋体" w:cs="宋体" w:hint="eastAsia"/>
          <w:sz w:val="44"/>
        </w:rPr>
        <w:t>技术操作规范</w:t>
      </w:r>
      <w:bookmarkEnd w:id="37"/>
    </w:p>
    <w:p w:rsidR="00A82189" w:rsidRPr="00A82189" w:rsidRDefault="00A82189" w:rsidP="00A82189">
      <w:pPr>
        <w:spacing w:line="600" w:lineRule="exact"/>
      </w:pP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为规范危害药品调配操作规程，确保成品输液质量，保障患者合理用药，防止调配操作的药学人员职业暴露和污染环境，依据相关法规和《静脉用药调配中心建设与管理指南》，制定本规范。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39" w:name="_Toc515605639"/>
      <w:r>
        <w:rPr>
          <w:rStyle w:val="a7"/>
          <w:rFonts w:ascii="黑体" w:eastAsia="黑体" w:hAnsi="黑体" w:cs="Times New Roman"/>
          <w:sz w:val="32"/>
          <w:szCs w:val="32"/>
        </w:rPr>
        <w:t>一、基本要求</w:t>
      </w:r>
      <w:bookmarkEnd w:id="39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（一）基本操作应按照附件3“加药混合调配”有关规定执行。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（二）危害药品混合调配应与抗生素调配操作隔开，设置独立单元的调配操作间。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（三</w:t>
      </w:r>
      <w:r w:rsidR="004A3CA9">
        <w:rPr>
          <w:rFonts w:ascii="仿宋_GB2312" w:hAnsi="仿宋_GB2312" w:cs="仿宋_GB2312" w:hint="eastAsia"/>
          <w:sz w:val="32"/>
          <w:szCs w:val="32"/>
        </w:rPr>
        <w:t>）</w:t>
      </w:r>
      <w:r>
        <w:rPr>
          <w:rFonts w:ascii="仿宋_GB2312" w:hAnsi="仿宋_GB2312" w:cs="仿宋_GB2312" w:hint="eastAsia"/>
          <w:sz w:val="32"/>
          <w:szCs w:val="32"/>
        </w:rPr>
        <w:t>危害药品混合调配应选用II级A2型生物安全柜。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（四）从事危害药品混合调配的工作人员，还应接受危害药品特点、负压调配技术与调配实践技能培训。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（五）从事危害药品混合调配的药学专业技术人员，根据各医疗机构具体情况进行岗位轮换，怀孕和哺乳期妇女应暂停危害药品混合调配岗位工作。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0" w:name="_Toc515605640"/>
      <w:r>
        <w:rPr>
          <w:rStyle w:val="a7"/>
          <w:rFonts w:ascii="黑体" w:eastAsia="黑体" w:hAnsi="黑体" w:cs="Times New Roman"/>
          <w:sz w:val="32"/>
          <w:szCs w:val="32"/>
        </w:rPr>
        <w:t>二、混合调配操作规程</w:t>
      </w:r>
      <w:bookmarkEnd w:id="40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（一）调配操作前准备工作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1.按附件3相关规定，启动调配操作间和层流工作台净化系统，并确认其处于正常工作状态。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2.个人防护用品。除按附件3相关规定物品外，应配备溢出包，用于危害药品溢出处理。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3.更衣操作注意事项</w:t>
      </w:r>
      <w:r>
        <w:rPr>
          <w:rFonts w:ascii="仿宋_GB2312" w:hAnsi="仿宋_GB2312" w:cs="仿宋_GB231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（1）按照操作规程洗手更衣，戴医用外科口罩、一次性帽子</w:t>
      </w:r>
      <w:r w:rsidR="004A3CA9">
        <w:rPr>
          <w:rFonts w:ascii="仿宋_GB2312" w:hAnsi="仿宋_GB2312" w:cs="仿宋_GB2312" w:hint="eastAsia"/>
          <w:sz w:val="32"/>
          <w:szCs w:val="32"/>
        </w:rPr>
        <w:t>，穿</w:t>
      </w:r>
      <w:r>
        <w:rPr>
          <w:rFonts w:ascii="仿宋_GB2312" w:hAnsi="仿宋_GB2312" w:cs="仿宋_GB2312" w:hint="eastAsia"/>
          <w:sz w:val="32"/>
          <w:szCs w:val="32"/>
        </w:rPr>
        <w:t>鞋套</w:t>
      </w:r>
      <w:r w:rsidR="004A3CA9">
        <w:rPr>
          <w:rFonts w:ascii="仿宋_GB2312" w:hAnsi="仿宋_GB2312" w:cs="仿宋_GB2312" w:hint="eastAsia"/>
          <w:sz w:val="32"/>
          <w:szCs w:val="32"/>
        </w:rPr>
        <w:t>和</w:t>
      </w:r>
      <w:r>
        <w:rPr>
          <w:rFonts w:ascii="仿宋_GB2312" w:hAnsi="仿宋_GB2312" w:cs="仿宋_GB2312" w:hint="eastAsia"/>
          <w:sz w:val="32"/>
          <w:szCs w:val="32"/>
        </w:rPr>
        <w:t xml:space="preserve">连体洁净服，防止皮肤与头发暴露，可在洁净服外再穿一次性防护衣。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（2）戴双层无粉无菌乳胶手套或者丁基乳胶手套，内层手套应戴在防护衣袖口内，外层手套应戴在防护衣袖口外，确保手套和防护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衣之间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没有手腕皮肤暴露。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（3）连续工作时每30分钟应更换手套。操作过程中，出现手套破损或一次性防护衣被污染时，应立即更换。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（4）用过的一次性防护衣、鞋套、口罩、帽子、手套等物品，应当按照医疗废物管理规定，在调配操作间内放入黄色医疗废物包装袋</w:t>
      </w:r>
      <w:r w:rsidR="004A3CA9">
        <w:rPr>
          <w:rFonts w:ascii="仿宋_GB2312" w:hAnsi="仿宋_GB2312" w:cs="仿宋_GB2312" w:hint="eastAsia"/>
          <w:sz w:val="32"/>
          <w:szCs w:val="32"/>
        </w:rPr>
        <w:t>扎紧</w:t>
      </w:r>
      <w:r>
        <w:rPr>
          <w:rFonts w:ascii="仿宋_GB2312" w:hAnsi="仿宋_GB2312" w:cs="仿宋_GB2312" w:hint="eastAsia"/>
          <w:sz w:val="32"/>
          <w:szCs w:val="32"/>
        </w:rPr>
        <w:t>，注明警示标识，带出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操作间交医疗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机构统一处理。包装袋达到四分之三时，应当使用有效的封口方式扎紧。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（二）混合调配操作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按照附件3及以下规定操作。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1.为防止危害药品污染台面，应在生物安全柜台面中央铺一块医用吸附垫。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2.调配操作前，应按输液标签核对药品名称、规格、数量、有效期和药品包装完好性，无误后方可进行加药混合调配操作。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3.按照用药医嘱，对非整支（瓶）用量，计算实际抽液量后，操作人员按实际用量抽取，并有双人核对确认与签名，在输液标签上有明显标识。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4.混合调配操作，应严格执行负压无菌技术。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5.用注射器抽取危害药品药液时，抽取药液量不宜超过注射器容量的四分之三，且药液中不得出现气泡，以免影响吸取药液量的准确性。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6.调配完成后，将注射器与针头分离，废针头和空安瓿放入利器盒中。其他废物用黄色医疗废物包装袋单独包装扎紧，注明危害药品废物标识，按规定交由医疗机构统一处理。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（三）调配操作结束后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1.每组混合调配操作完成后，再次按照输液标签，核对药品名称、规格、用量、抽取药液量</w:t>
      </w:r>
      <w:r w:rsidR="004C130E">
        <w:rPr>
          <w:rFonts w:ascii="仿宋_GB2312" w:hAnsi="仿宋_GB2312" w:cs="仿宋_GB2312" w:hint="eastAsia"/>
          <w:sz w:val="32"/>
          <w:szCs w:val="32"/>
        </w:rPr>
        <w:t>的计算</w:t>
      </w:r>
      <w:r>
        <w:rPr>
          <w:rFonts w:ascii="仿宋_GB2312" w:hAnsi="仿宋_GB2312" w:cs="仿宋_GB2312" w:hint="eastAsia"/>
          <w:sz w:val="32"/>
          <w:szCs w:val="32"/>
        </w:rPr>
        <w:t>、临床使用注意等，准确无误后，操作人员和核查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人员双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签名或盖章，并再次清洁输液袋（瓶）表面和加药口，用专用密封袋单独包装密封，并注明危害药品警示标识后传出调配操作间。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2.清场、清洁、消毒按照附件3有关规定执行。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1" w:name="_Toc515605641"/>
      <w:r>
        <w:rPr>
          <w:rStyle w:val="a7"/>
          <w:rFonts w:ascii="黑体" w:eastAsia="黑体" w:hAnsi="黑体" w:cs="Times New Roman"/>
          <w:sz w:val="32"/>
          <w:szCs w:val="32"/>
        </w:rPr>
        <w:t>三、注意事项</w:t>
      </w:r>
      <w:bookmarkEnd w:id="41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（一）药品接收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1.运送危害药品包装及小包装应使用专用周转容器，并有危害药品警示标识。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2.如有破损，按危害药品溢出应急预案处置。应妥善包装，再放置于专用周转容器中退还库房，并做好记录。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lastRenderedPageBreak/>
        <w:t>（二）药品储存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1.对于危害药品，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静配中心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应按</w:t>
      </w:r>
      <w:r w:rsidRPr="00187E27">
        <w:rPr>
          <w:rFonts w:ascii="仿宋_GB2312" w:hAnsi="仿宋_GB2312" w:cs="仿宋_GB2312" w:hint="eastAsia"/>
          <w:sz w:val="32"/>
          <w:szCs w:val="32"/>
        </w:rPr>
        <w:t>高警示药品</w:t>
      </w:r>
      <w:r>
        <w:rPr>
          <w:rFonts w:ascii="仿宋_GB2312" w:hAnsi="仿宋_GB2312" w:cs="仿宋_GB2312" w:hint="eastAsia"/>
          <w:sz w:val="32"/>
          <w:szCs w:val="32"/>
        </w:rPr>
        <w:t>的管理要求进行管理和储存，并有统一的高警示药品标识。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2.应在专区或专柜单独安全储存，应每日清点，发现账物不符，立即查找原因、汇报结果，并做好记录。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（三）审核用药医嘱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1.应按照附件3 “审核用药医嘱”有关规定执行。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2.审核用药医嘱应特别关注以下几点。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（1）审核选用药品与患者临床诊断是否相符，有无禁忌证。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（2）应根据患者体表面积或肝肾功能计算药品剂量是否适宜。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（3）对需要进行抗过敏预处理或水化、碱化治疗的，核查是否有相关预处理的用药医嘱。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（四）核对输液标签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1.药师应综合考虑药品稳定性、滴速、相互作用、用药顺序等因素，合理安排用药医嘱调配批次。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2.输液标签，应有在临床使用时需要特别提示的注意事项。</w:t>
      </w:r>
    </w:p>
    <w:p w:rsidR="00E70A67" w:rsidRDefault="00E70A67" w:rsidP="00E70A67">
      <w:pPr>
        <w:pStyle w:val="11"/>
        <w:adjustRightInd w:val="0"/>
        <w:snapToGrid w:val="0"/>
        <w:spacing w:line="600" w:lineRule="exact"/>
        <w:ind w:left="-856"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</w:t>
      </w:r>
      <w:r>
        <w:rPr>
          <w:rFonts w:ascii="Times New Roman" w:eastAsia="楷体_GB2312" w:hAnsi="Times New Roman"/>
          <w:szCs w:val="32"/>
        </w:rPr>
        <w:t>（五）补充药品与核对</w:t>
      </w:r>
      <w:r>
        <w:rPr>
          <w:rFonts w:ascii="Times New Roman" w:eastAsia="楷体_GB2312" w:hAnsi="Times New Roman" w:hint="eastAsia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1.摆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药区补充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危害药品时，操作人员应戴一次性手套，拆除外包装。脱包后，西林瓶或安瓿表面应用蘸有75%乙醇的无纺布擦拭，以除去危害药品残留物。经双人核对确认无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误后，按有效期近期先用的原则上药架。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2.用过的无纺布和手套等，应按医疗废物处理规定处置。</w:t>
      </w:r>
    </w:p>
    <w:p w:rsidR="00E70A67" w:rsidRDefault="00E70A67" w:rsidP="00E70A67">
      <w:pPr>
        <w:pStyle w:val="11"/>
        <w:adjustRightInd w:val="0"/>
        <w:snapToGrid w:val="0"/>
        <w:spacing w:line="600" w:lineRule="exact"/>
        <w:ind w:left="-856" w:firstLine="640"/>
        <w:jc w:val="left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 xml:space="preserve">      </w:t>
      </w:r>
      <w:r>
        <w:rPr>
          <w:rFonts w:ascii="Times New Roman" w:eastAsia="楷体_GB2312" w:hAnsi="Times New Roman"/>
          <w:szCs w:val="32"/>
        </w:rPr>
        <w:t>（六）成品输液发放与运送</w:t>
      </w:r>
      <w:r>
        <w:rPr>
          <w:rFonts w:ascii="Times New Roman" w:eastAsia="楷体_GB2312" w:hAnsi="Times New Roman" w:hint="eastAsia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1.将包装好的成品输液，分病区、整齐放置于有危害药品警示标识的专用周转容器内，按照附件3“成品输液发放与运送</w:t>
      </w:r>
      <w:r w:rsidR="001E019D">
        <w:rPr>
          <w:rFonts w:ascii="仿宋_GB2312" w:hAnsi="仿宋_GB2312" w:cs="仿宋_GB2312" w:hint="eastAsia"/>
          <w:sz w:val="32"/>
          <w:szCs w:val="32"/>
        </w:rPr>
        <w:t>”的有关规定执行，并与病区</w:t>
      </w:r>
      <w:r>
        <w:rPr>
          <w:rFonts w:ascii="仿宋_GB2312" w:hAnsi="仿宋_GB2312" w:cs="仿宋_GB2312" w:hint="eastAsia"/>
          <w:sz w:val="32"/>
          <w:szCs w:val="32"/>
        </w:rPr>
        <w:t>护士签名交接。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2.易产生泡沫的危害药品成品输液，应放置于单独容器内或单独运送。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3.运送过程中需配备危害药品溢出处理包。</w:t>
      </w:r>
    </w:p>
    <w:p w:rsidR="00E70A67" w:rsidRDefault="00E70A67" w:rsidP="00E70A67">
      <w:pPr>
        <w:pStyle w:val="Default"/>
        <w:snapToGrid w:val="0"/>
        <w:spacing w:line="600" w:lineRule="exact"/>
        <w:rPr>
          <w:rFonts w:ascii="Times New Roman" w:eastAsia="宋体" w:hAnsi="Times New Roman" w:cs="Times New Roman"/>
          <w:color w:val="auto"/>
          <w:sz w:val="32"/>
          <w:szCs w:val="32"/>
        </w:rPr>
      </w:pPr>
    </w:p>
    <w:p w:rsidR="00E70A67" w:rsidRDefault="00E70A67" w:rsidP="00E70A67">
      <w:pPr>
        <w:pStyle w:val="Default"/>
        <w:snapToGrid w:val="0"/>
        <w:spacing w:line="600" w:lineRule="exact"/>
        <w:rPr>
          <w:rFonts w:ascii="Times New Roman" w:eastAsia="宋体" w:hAnsi="Times New Roman" w:cs="Times New Roman"/>
          <w:color w:val="auto"/>
          <w:sz w:val="32"/>
          <w:szCs w:val="32"/>
        </w:rPr>
      </w:pPr>
    </w:p>
    <w:p w:rsidR="00E70A67" w:rsidRDefault="00E70A67" w:rsidP="003D3DBD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  <w:r>
        <w:rPr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 xml:space="preserve">附件3.2 </w:t>
      </w:r>
    </w:p>
    <w:p w:rsidR="003D3DBD" w:rsidRPr="003D3DBD" w:rsidRDefault="003D3DBD" w:rsidP="003D3DBD">
      <w:pPr>
        <w:pStyle w:val="a2"/>
        <w:spacing w:line="600" w:lineRule="exact"/>
      </w:pPr>
    </w:p>
    <w:p w:rsidR="00E70A67" w:rsidRDefault="00E70A67" w:rsidP="003D3DBD">
      <w:pPr>
        <w:pStyle w:val="2"/>
        <w:jc w:val="center"/>
        <w:rPr>
          <w:rFonts w:ascii="宋体" w:eastAsia="宋体" w:hAnsi="宋体" w:cs="宋体"/>
          <w:sz w:val="44"/>
        </w:rPr>
      </w:pPr>
      <w:bookmarkStart w:id="42" w:name="_Toc515605642"/>
      <w:r>
        <w:rPr>
          <w:rFonts w:ascii="宋体" w:eastAsia="宋体" w:hAnsi="宋体" w:cs="宋体" w:hint="eastAsia"/>
          <w:sz w:val="44"/>
        </w:rPr>
        <w:t>肠外营养液调配技术操作规范</w:t>
      </w:r>
      <w:bookmarkEnd w:id="42"/>
    </w:p>
    <w:p w:rsidR="003D3DBD" w:rsidRPr="003D3DBD" w:rsidRDefault="003D3DBD" w:rsidP="003D3DBD">
      <w:pPr>
        <w:spacing w:line="600" w:lineRule="exact"/>
      </w:pPr>
    </w:p>
    <w:p w:rsidR="00E70A67" w:rsidRDefault="00E70A67" w:rsidP="003D3DBD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为规范肠外营养液调配操作规程，确保肠外营养成品输液质量，保障患者合理用药，根据相关规章和《静脉用药调配中心建设与管理指南》，制定本规范。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3" w:name="_Toc515605643"/>
      <w:r>
        <w:rPr>
          <w:rStyle w:val="a7"/>
          <w:rFonts w:ascii="黑体" w:eastAsia="黑体" w:hAnsi="黑体" w:cs="Times New Roman"/>
          <w:sz w:val="32"/>
          <w:szCs w:val="32"/>
        </w:rPr>
        <w:t>一、基本要求</w:t>
      </w:r>
      <w:bookmarkEnd w:id="43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基本操作应按照附件3有关规定执行。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4" w:name="_Toc515605644"/>
      <w:r>
        <w:rPr>
          <w:rStyle w:val="a7"/>
          <w:rFonts w:ascii="黑体" w:eastAsia="黑体" w:hAnsi="黑体" w:cs="Times New Roman"/>
          <w:sz w:val="32"/>
          <w:szCs w:val="32"/>
        </w:rPr>
        <w:t>二、混合调配操作规程</w:t>
      </w:r>
      <w:bookmarkEnd w:id="44"/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（一）调配操作前准备工作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1.按《静脉用药集中调配技术操作规范》规定，启动调配操作间净化系统和水平层流工作台，并确认其处于正常工作状态。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2.个人防护用品：按照附件3有关规定执行。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3.其他物品：一次性静脉营养输液袋、挂钩、网套等。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4.按照操作规程洗手更衣，进入调配操作间，将摆放药品的药车推至水平层流洁净台附近指定位置。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（二）混合调配操作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按附件3及以下规定操作。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1.调配前校对。操作人员应按输液标签核对药品名称、规格、数量、有效期和药品包装完好性，检查一次性使用静脉营养输液袋完好性，确认无误后，进行加药混合调配。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2.肠外营养液混合调配操作顺序。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（1）加入药品前，关闭一次性静脉营养输液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袋所有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输液管夹。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（2）将磷酸盐加入氨基酸或高浓度葡萄糖注射液中。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（3）将其他电解质、微量元素加入</w:t>
      </w:r>
      <w:bookmarkStart w:id="45" w:name="_Hlk524944359"/>
      <w:r>
        <w:rPr>
          <w:rFonts w:ascii="仿宋_GB2312" w:hAnsi="仿宋_GB2312" w:cs="仿宋_GB2312" w:hint="eastAsia"/>
          <w:sz w:val="32"/>
          <w:szCs w:val="32"/>
        </w:rPr>
        <w:t>葡萄糖注射液或氨基酸注射液</w:t>
      </w:r>
      <w:bookmarkEnd w:id="45"/>
      <w:r>
        <w:rPr>
          <w:rFonts w:ascii="仿宋_GB2312" w:hAnsi="仿宋_GB2312" w:cs="仿宋_GB2312" w:hint="eastAsia"/>
          <w:sz w:val="32"/>
          <w:szCs w:val="32"/>
        </w:rPr>
        <w:t>内，注意不能与磷酸盐加入同一稀释液中，钙离子和镁离子也不能加入到同一稀释液中。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用脂溶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性维生素溶解水溶性维生素后，加入脂肪乳剂中。如果处方中不含脂肪乳，可将水溶性维生素加入5%葡萄糖注射液中溶解。复合维生素，可加入5%葡萄糖注射液或脂肪乳注射液中。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药品加入一次性静脉营养输液袋顺序。先加入氨基酸或含磷酸盐氨基酸注射液，再加入除脂肪乳注射液之外的其他液体。加入药液时要不断缓慢按压输液袋，使充分混匀。待上述注射液全部注入静脉营养输液袋后，及时关闭相应两路输液管夹，防止空气进入或液体流出。检查一次性静脉营养输液袋内有无浑浊、变色、异物以及沉淀物生成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（6）最后注入脂肪乳注射液，边加边缓慢轻压袋体，待脂肪乳注射液全部注入一次性静脉营养输液袋后，及时关闭输液管夹，防止空气进入或液体流出。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（7）竖直一次性静脉营养输液袋，使加药口向上，拆除加液管，通过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挤压袋体排尽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空气后关闭截流夹，将无菌帽套于加药口上。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（8）悬挂一次性静脉营养输液袋，检查是否有渗出、沉淀、异物、变色等异常情况。如出现，应废弃并重新调配，及时查找原因并记录。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（9）调配完成后的肠外营养成品输液标签应注明总容量、成分、注意事项、建议输注时限和有效期等。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3.工业化三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腔袋所有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操作，应按照药品说明书进行。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（三）混合调配操作注意事项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1.混合调配肠外营养液，应在水平层流洁净台内操作。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2.严格按照操作规程进行混合调配操作。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（1）磷与钙、钙与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镁不可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加入到同一载体中，避免生成沉淀。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（2）葡萄糖注射液不宜直接与脂肪乳剂混合，以免影响其稳定性。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（3）电解质不能直接加于脂肪乳中，以免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破坏乳滴稳定性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，导致破乳。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（4）多种微量元素注射液与甘油磷酸钠注射液，应分别加入两瓶氨基酸，避免局部浓度过高发生变色反应。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（5）如需加胰岛素和肝素钠，则单独加在葡萄糖注射液或氨基酸注射液中。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3.如果有非整支（瓶）用量，应有双人复核确认与签名，并在输液标签上有明显标识，以便提示复核、校对。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（四）调配操作结束后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1.按照附件3有关规定进行操作。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 xml:space="preserve">2.每组、每日混合调配操作完成后，应立即清场、清洁工作台台面，无遗留物。针头等放入利器盒，医疗废物置于黄色废物包装袋中。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3.按照操作规程进行清洁、消毒工作。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4.做好相关工作记录。</w:t>
      </w:r>
      <w:r>
        <w:rPr>
          <w:rFonts w:ascii="仿宋_GB2312" w:hAnsi="仿宋_GB2312" w:cs="仿宋_GB2312" w:hint="eastAsia"/>
          <w:kern w:val="2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7"/>
          <w:rFonts w:ascii="黑体" w:eastAsia="黑体" w:hAnsi="黑体" w:cs="Times New Roman"/>
          <w:b w:val="0"/>
          <w:sz w:val="32"/>
          <w:szCs w:val="32"/>
        </w:rPr>
      </w:pPr>
      <w:bookmarkStart w:id="46" w:name="_Toc515605645"/>
      <w:r>
        <w:rPr>
          <w:rStyle w:val="a7"/>
          <w:rFonts w:ascii="黑体" w:eastAsia="黑体" w:hAnsi="黑体" w:cs="Times New Roman"/>
          <w:sz w:val="32"/>
          <w:szCs w:val="32"/>
        </w:rPr>
        <w:t>三、注意事项</w:t>
      </w:r>
      <w:bookmarkEnd w:id="46"/>
      <w:r>
        <w:rPr>
          <w:rStyle w:val="a7"/>
          <w:rFonts w:ascii="黑体" w:eastAsia="黑体" w:hAnsi="黑体" w:cs="Times New Roman"/>
          <w:sz w:val="32"/>
          <w:szCs w:val="32"/>
        </w:rPr>
        <w:t xml:space="preserve">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（一）肠外营养液调配应特别关注以下几点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：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1.营养评估确认患者是否需要或适合使用肠外营养液。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2.审核肠外营养用药医嘱是否适宜准确。推荐评估以下内容（成人用量）：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（1）每日补液量控制，一般按以下原则计算：第一个10kg，补100ml/kg；第二个10kg</w:t>
      </w:r>
      <w:r>
        <w:rPr>
          <w:rFonts w:ascii="仿宋_GB2312" w:hAnsi="仿宋_GB2312" w:cs="仿宋_GB2312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t xml:space="preserve">补50ml/kg；超过20kg，补20ml/kg；发热患者超过37℃，每升高1℃一般宜每日多补充300ml。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（2）糖脂比：1～2:1；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热氮比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：100～200:1。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（3）不推荐常规加入胰岛素，必须加入时按照10g葡萄糖：1u胰岛素加入。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（4）电解质限度：一价阳离子（Na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+</w:t>
      </w:r>
      <w:r>
        <w:rPr>
          <w:rFonts w:ascii="仿宋_GB2312" w:hAnsi="仿宋_GB2312" w:cs="仿宋_GB2312" w:hint="eastAsia"/>
          <w:sz w:val="32"/>
          <w:szCs w:val="32"/>
        </w:rPr>
        <w:t>、K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+</w:t>
      </w:r>
      <w:r>
        <w:rPr>
          <w:rFonts w:ascii="仿宋_GB2312" w:hAnsi="仿宋_GB2312" w:cs="仿宋_GB2312" w:hint="eastAsia"/>
          <w:sz w:val="32"/>
          <w:szCs w:val="32"/>
        </w:rPr>
        <w:t>)不超过150mmol/L；二价阳离子（Ca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2+</w:t>
      </w:r>
      <w:r>
        <w:rPr>
          <w:rFonts w:ascii="仿宋_GB2312" w:hAnsi="仿宋_GB2312" w:cs="仿宋_GB2312" w:hint="eastAsia"/>
          <w:sz w:val="32"/>
          <w:szCs w:val="32"/>
        </w:rPr>
        <w:t>、Mg</w:t>
      </w:r>
      <w:r>
        <w:rPr>
          <w:rFonts w:ascii="仿宋_GB2312" w:hAnsi="仿宋_GB2312" w:cs="仿宋_GB2312" w:hint="eastAsia"/>
          <w:sz w:val="32"/>
          <w:szCs w:val="32"/>
          <w:vertAlign w:val="superscript"/>
        </w:rPr>
        <w:t>2+</w:t>
      </w:r>
      <w:r>
        <w:rPr>
          <w:rFonts w:ascii="仿宋_GB2312" w:hAnsi="仿宋_GB2312" w:cs="仿宋_GB2312" w:hint="eastAsia"/>
          <w:sz w:val="32"/>
          <w:szCs w:val="32"/>
        </w:rPr>
        <w:t>）不超过10mmol/L。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（5）丙氨酰谷氨酰胺应与至少5倍体积的载体混合。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（二）成品输液核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查</w:t>
      </w:r>
      <w:r>
        <w:rPr>
          <w:rFonts w:ascii="Times New Roman" w:eastAsia="楷体_GB2312" w:hAnsi="Times New Roman" w:cs="Times New Roman"/>
          <w:kern w:val="2"/>
          <w:sz w:val="32"/>
          <w:szCs w:val="32"/>
        </w:rPr>
        <w:t>、包装与发放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1.重点检查肠外营养质量，如有无变色、分层、破乳等。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2.检查输液管夹、截流夹是否关闭</w:t>
      </w:r>
      <w:r w:rsidR="00A619FF"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t>无菌帽是否已套上</w:t>
      </w:r>
      <w:r w:rsidR="00A619FF"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输液袋是否有渗漏等。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3.核对非整支（瓶）用量药品标记是否完整清晰，计算是否正确。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4.肠外营养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液应用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 xml:space="preserve">专用包装袋单独包装，与电解质等其他成品输液分开，以避免交叉污染。包装时一般每包2～3袋为宜，应轻拿轻放，避免重压。 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_GB2312" w:hAnsi="Times New Roman" w:cs="Times New Roman"/>
          <w:kern w:val="2"/>
          <w:sz w:val="32"/>
          <w:szCs w:val="32"/>
        </w:rPr>
      </w:pPr>
      <w:r>
        <w:rPr>
          <w:rFonts w:ascii="Times New Roman" w:eastAsia="楷体_GB2312" w:hAnsi="Times New Roman" w:cs="Times New Roman"/>
          <w:kern w:val="2"/>
          <w:sz w:val="32"/>
          <w:szCs w:val="32"/>
        </w:rPr>
        <w:t>（三）成品输液运送与交接</w:t>
      </w:r>
      <w:r>
        <w:rPr>
          <w:rFonts w:ascii="Times New Roman" w:eastAsia="楷体_GB2312" w:hAnsi="Times New Roman" w:cs="Times New Roman" w:hint="eastAsia"/>
          <w:kern w:val="2"/>
          <w:sz w:val="32"/>
          <w:szCs w:val="32"/>
        </w:rPr>
        <w:t>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1.</w:t>
      </w:r>
      <w:r>
        <w:rPr>
          <w:rFonts w:ascii="仿宋_GB2312" w:hAnsi="仿宋_GB2312" w:cs="仿宋_GB2312" w:hint="eastAsia"/>
          <w:sz w:val="32"/>
          <w:szCs w:val="32"/>
        </w:rPr>
        <w:t>用专用周转容器包装运送，避免重压及剧烈晃动，以防输液管夹与截流夹松动。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2.</w:t>
      </w:r>
      <w:r w:rsidR="001E019D">
        <w:rPr>
          <w:rFonts w:ascii="仿宋_GB2312" w:hAnsi="仿宋_GB2312" w:cs="仿宋_GB2312" w:hint="eastAsia"/>
          <w:sz w:val="32"/>
          <w:szCs w:val="32"/>
        </w:rPr>
        <w:t>与病区</w:t>
      </w:r>
      <w:r>
        <w:rPr>
          <w:rFonts w:ascii="仿宋_GB2312" w:hAnsi="仿宋_GB2312" w:cs="仿宋_GB2312" w:hint="eastAsia"/>
          <w:sz w:val="32"/>
          <w:szCs w:val="32"/>
        </w:rPr>
        <w:t>护士交接时应注意输液管夹、截流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夹是否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处于关闭状态、液体是否有渗漏。</w:t>
      </w:r>
    </w:p>
    <w:p w:rsidR="00E70A67" w:rsidRDefault="00E70A67" w:rsidP="00E70A67">
      <w:pPr>
        <w:pStyle w:val="a8"/>
        <w:widowControl w:val="0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3.如在使用时，有注意事项或其他特别交代事宜的，</w:t>
      </w:r>
      <w:r w:rsidR="001E019D">
        <w:rPr>
          <w:rFonts w:ascii="仿宋_GB2312" w:hAnsi="仿宋_GB2312" w:cs="仿宋_GB2312" w:hint="eastAsia"/>
          <w:sz w:val="32"/>
          <w:szCs w:val="32"/>
        </w:rPr>
        <w:t>应在输液标签或用书面咨询书形式交代清楚。如有需要，应当面告知</w:t>
      </w:r>
      <w:r>
        <w:rPr>
          <w:rFonts w:ascii="仿宋_GB2312" w:hAnsi="仿宋_GB2312" w:cs="仿宋_GB2312" w:hint="eastAsia"/>
          <w:sz w:val="32"/>
          <w:szCs w:val="32"/>
        </w:rPr>
        <w:t>护士。</w:t>
      </w:r>
    </w:p>
    <w:p w:rsidR="002E3DD2" w:rsidRPr="00E70A67" w:rsidRDefault="00E70A67" w:rsidP="00770E4D">
      <w:pPr>
        <w:pStyle w:val="a8"/>
        <w:widowControl w:val="0"/>
        <w:adjustRightInd w:val="0"/>
        <w:spacing w:before="0" w:beforeAutospacing="0" w:after="0" w:afterAutospacing="0" w:line="600" w:lineRule="exact"/>
        <w:ind w:firstLineChars="200" w:firstLine="640"/>
        <w:jc w:val="both"/>
      </w:pPr>
      <w:r>
        <w:rPr>
          <w:rFonts w:ascii="仿宋_GB2312" w:hAnsi="仿宋_GB2312" w:cs="仿宋_GB2312"/>
          <w:sz w:val="32"/>
          <w:szCs w:val="32"/>
        </w:rPr>
        <w:t>4.</w:t>
      </w:r>
      <w:r>
        <w:rPr>
          <w:rFonts w:ascii="仿宋_GB2312" w:hAnsi="仿宋_GB2312" w:cs="仿宋_GB2312" w:hint="eastAsia"/>
          <w:sz w:val="32"/>
          <w:szCs w:val="32"/>
        </w:rPr>
        <w:t>按照附件3</w:t>
      </w:r>
      <w:r w:rsidR="001E019D">
        <w:rPr>
          <w:rFonts w:ascii="仿宋_GB2312" w:hAnsi="仿宋_GB2312" w:cs="仿宋_GB2312" w:hint="eastAsia"/>
          <w:sz w:val="32"/>
          <w:szCs w:val="32"/>
        </w:rPr>
        <w:t>“成品输液发放与运送”的有关规定执行，并与病区</w:t>
      </w:r>
      <w:r>
        <w:rPr>
          <w:rFonts w:ascii="仿宋_GB2312" w:hAnsi="仿宋_GB2312" w:cs="仿宋_GB2312" w:hint="eastAsia"/>
          <w:sz w:val="32"/>
          <w:szCs w:val="32"/>
        </w:rPr>
        <w:t>护士签名交接</w:t>
      </w:r>
      <w:r w:rsidR="00770E4D">
        <w:rPr>
          <w:rFonts w:eastAsia="仿宋" w:hint="eastAsia"/>
          <w:b/>
          <w:sz w:val="32"/>
          <w:szCs w:val="32"/>
        </w:rPr>
        <w:t>。</w:t>
      </w:r>
    </w:p>
    <w:sectPr w:rsidR="002E3DD2" w:rsidRPr="00E70A67" w:rsidSect="00295EC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E2" w:rsidRDefault="003F1EE2" w:rsidP="00E70A67">
      <w:r>
        <w:separator/>
      </w:r>
    </w:p>
  </w:endnote>
  <w:endnote w:type="continuationSeparator" w:id="0">
    <w:p w:rsidR="003F1EE2" w:rsidRDefault="003F1EE2" w:rsidP="00E7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CA" w:rsidRDefault="00254376">
    <w:pPr>
      <w:pStyle w:val="a2"/>
      <w:jc w:val="center"/>
    </w:pPr>
    <w:r w:rsidRPr="00254376">
      <w:fldChar w:fldCharType="begin"/>
    </w:r>
    <w:r w:rsidR="00295ECA">
      <w:instrText xml:space="preserve"> PAGE   \* MERGEFORMAT </w:instrText>
    </w:r>
    <w:r w:rsidRPr="00254376">
      <w:fldChar w:fldCharType="separate"/>
    </w:r>
    <w:r w:rsidR="00877FEC" w:rsidRPr="00877FEC">
      <w:rPr>
        <w:noProof/>
        <w:lang w:val="zh-CN"/>
      </w:rPr>
      <w:t>15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E2" w:rsidRDefault="003F1EE2" w:rsidP="00E70A67">
      <w:r>
        <w:separator/>
      </w:r>
    </w:p>
  </w:footnote>
  <w:footnote w:type="continuationSeparator" w:id="0">
    <w:p w:rsidR="003F1EE2" w:rsidRDefault="003F1EE2" w:rsidP="00E70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156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.%2.%3.%4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A67"/>
    <w:rsid w:val="00027263"/>
    <w:rsid w:val="00056E83"/>
    <w:rsid w:val="001C2D12"/>
    <w:rsid w:val="001E019D"/>
    <w:rsid w:val="00254376"/>
    <w:rsid w:val="00295ECA"/>
    <w:rsid w:val="002E3DD2"/>
    <w:rsid w:val="003D3DBD"/>
    <w:rsid w:val="003F1EE2"/>
    <w:rsid w:val="003F7D8D"/>
    <w:rsid w:val="004A3CA9"/>
    <w:rsid w:val="004C130E"/>
    <w:rsid w:val="005A70F2"/>
    <w:rsid w:val="006546A9"/>
    <w:rsid w:val="007310F1"/>
    <w:rsid w:val="00770E4D"/>
    <w:rsid w:val="007C138B"/>
    <w:rsid w:val="0083418C"/>
    <w:rsid w:val="0084598B"/>
    <w:rsid w:val="00877FEC"/>
    <w:rsid w:val="008C25EF"/>
    <w:rsid w:val="00A30236"/>
    <w:rsid w:val="00A619FF"/>
    <w:rsid w:val="00A77195"/>
    <w:rsid w:val="00A82189"/>
    <w:rsid w:val="00AF4EEE"/>
    <w:rsid w:val="00BA6BB1"/>
    <w:rsid w:val="00C35EC5"/>
    <w:rsid w:val="00D04879"/>
    <w:rsid w:val="00D431DC"/>
    <w:rsid w:val="00E70A67"/>
    <w:rsid w:val="00F03E31"/>
    <w:rsid w:val="00FA1474"/>
    <w:rsid w:val="00FB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E70A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1"/>
    <w:next w:val="a1"/>
    <w:link w:val="1Char"/>
    <w:qFormat/>
    <w:rsid w:val="00E70A67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1"/>
    <w:next w:val="a1"/>
    <w:link w:val="2Char"/>
    <w:uiPriority w:val="9"/>
    <w:qFormat/>
    <w:rsid w:val="00E70A67"/>
    <w:pPr>
      <w:keepNext/>
      <w:keepLines/>
      <w:spacing w:line="600" w:lineRule="exact"/>
      <w:outlineLvl w:val="1"/>
    </w:pPr>
    <w:rPr>
      <w:rFonts w:ascii="仿宋" w:eastAsia="仿宋" w:hAnsi="仿宋"/>
      <w:b/>
      <w:bCs/>
      <w:szCs w:val="32"/>
    </w:rPr>
  </w:style>
  <w:style w:type="paragraph" w:styleId="3">
    <w:name w:val="heading 3"/>
    <w:basedOn w:val="a1"/>
    <w:next w:val="a1"/>
    <w:link w:val="3Char"/>
    <w:unhideWhenUsed/>
    <w:qFormat/>
    <w:rsid w:val="00E70A67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footer"/>
    <w:basedOn w:val="a1"/>
    <w:link w:val="Char"/>
    <w:uiPriority w:val="99"/>
    <w:unhideWhenUsed/>
    <w:qFormat/>
    <w:rsid w:val="00E70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3"/>
    <w:link w:val="a2"/>
    <w:uiPriority w:val="99"/>
    <w:rsid w:val="00E70A67"/>
    <w:rPr>
      <w:sz w:val="18"/>
      <w:szCs w:val="18"/>
    </w:rPr>
  </w:style>
  <w:style w:type="character" w:customStyle="1" w:styleId="1Char">
    <w:name w:val="标题 1 Char"/>
    <w:basedOn w:val="a3"/>
    <w:link w:val="1"/>
    <w:rsid w:val="00E70A67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3"/>
    <w:link w:val="2"/>
    <w:uiPriority w:val="9"/>
    <w:rsid w:val="00E70A67"/>
    <w:rPr>
      <w:rFonts w:ascii="仿宋" w:eastAsia="仿宋" w:hAnsi="仿宋" w:cs="Times New Roman"/>
      <w:b/>
      <w:bCs/>
      <w:sz w:val="32"/>
      <w:szCs w:val="32"/>
    </w:rPr>
  </w:style>
  <w:style w:type="character" w:customStyle="1" w:styleId="3Char">
    <w:name w:val="标题 3 Char"/>
    <w:basedOn w:val="a3"/>
    <w:link w:val="3"/>
    <w:rsid w:val="00E70A67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6">
    <w:name w:val="header"/>
    <w:basedOn w:val="a1"/>
    <w:link w:val="Char0"/>
    <w:unhideWhenUsed/>
    <w:rsid w:val="00E70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3"/>
    <w:link w:val="a6"/>
    <w:rsid w:val="00E70A67"/>
    <w:rPr>
      <w:sz w:val="18"/>
      <w:szCs w:val="18"/>
    </w:rPr>
  </w:style>
  <w:style w:type="character" w:styleId="a7">
    <w:name w:val="Strong"/>
    <w:qFormat/>
    <w:rsid w:val="00E70A67"/>
    <w:rPr>
      <w:b/>
      <w:bCs/>
    </w:rPr>
  </w:style>
  <w:style w:type="paragraph" w:customStyle="1" w:styleId="Default">
    <w:name w:val="Default"/>
    <w:qFormat/>
    <w:rsid w:val="00E70A6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8">
    <w:name w:val="Normal (Web)"/>
    <w:basedOn w:val="a1"/>
    <w:unhideWhenUsed/>
    <w:qFormat/>
    <w:rsid w:val="00E70A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样式1"/>
    <w:basedOn w:val="a1"/>
    <w:qFormat/>
    <w:rsid w:val="00E70A67"/>
    <w:rPr>
      <w:rFonts w:ascii="仿宋_GB2312"/>
      <w:sz w:val="28"/>
    </w:rPr>
  </w:style>
  <w:style w:type="paragraph" w:customStyle="1" w:styleId="a">
    <w:name w:val="二级条标题"/>
    <w:basedOn w:val="a1"/>
    <w:next w:val="a1"/>
    <w:qFormat/>
    <w:rsid w:val="00E70A67"/>
    <w:pPr>
      <w:widowControl/>
      <w:numPr>
        <w:ilvl w:val="2"/>
        <w:numId w:val="1"/>
      </w:numPr>
      <w:spacing w:beforeLines="50" w:afterLines="50"/>
      <w:jc w:val="left"/>
      <w:outlineLvl w:val="3"/>
    </w:pPr>
    <w:rPr>
      <w:rFonts w:ascii="黑体" w:eastAsia="黑体" w:hAnsi="Calibri"/>
      <w:kern w:val="0"/>
      <w:szCs w:val="21"/>
    </w:rPr>
  </w:style>
  <w:style w:type="paragraph" w:customStyle="1" w:styleId="11">
    <w:name w:val="列出段落11"/>
    <w:basedOn w:val="a1"/>
    <w:qFormat/>
    <w:rsid w:val="00E70A67"/>
    <w:pPr>
      <w:ind w:firstLineChars="200" w:firstLine="420"/>
    </w:pPr>
    <w:rPr>
      <w:rFonts w:ascii="Calibri" w:hAnsi="Calibri"/>
      <w:szCs w:val="21"/>
    </w:rPr>
  </w:style>
  <w:style w:type="paragraph" w:customStyle="1" w:styleId="a0">
    <w:name w:val="三级条标题"/>
    <w:basedOn w:val="a"/>
    <w:next w:val="a9"/>
    <w:qFormat/>
    <w:rsid w:val="00E70A67"/>
    <w:pPr>
      <w:numPr>
        <w:ilvl w:val="3"/>
      </w:numPr>
      <w:spacing w:before="50" w:after="50"/>
      <w:outlineLvl w:val="4"/>
    </w:pPr>
  </w:style>
  <w:style w:type="paragraph" w:customStyle="1" w:styleId="a9">
    <w:name w:val="段"/>
    <w:qFormat/>
    <w:rsid w:val="00E70A6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</w:rPr>
  </w:style>
  <w:style w:type="paragraph" w:styleId="aa">
    <w:name w:val="Balloon Text"/>
    <w:basedOn w:val="a1"/>
    <w:link w:val="Char1"/>
    <w:rsid w:val="00E70A67"/>
    <w:rPr>
      <w:sz w:val="18"/>
      <w:szCs w:val="18"/>
    </w:rPr>
  </w:style>
  <w:style w:type="character" w:customStyle="1" w:styleId="Char1">
    <w:name w:val="批注框文本 Char"/>
    <w:basedOn w:val="a3"/>
    <w:link w:val="aa"/>
    <w:rsid w:val="00E70A67"/>
    <w:rPr>
      <w:rFonts w:ascii="Times New Roman" w:eastAsia="仿宋_GB2312" w:hAnsi="Times New Roman" w:cs="Times New Roman"/>
      <w:sz w:val="18"/>
      <w:szCs w:val="18"/>
    </w:rPr>
  </w:style>
  <w:style w:type="character" w:styleId="ab">
    <w:name w:val="annotation reference"/>
    <w:basedOn w:val="a3"/>
    <w:rsid w:val="00E70A67"/>
    <w:rPr>
      <w:sz w:val="21"/>
      <w:szCs w:val="21"/>
    </w:rPr>
  </w:style>
  <w:style w:type="paragraph" w:styleId="ac">
    <w:name w:val="annotation text"/>
    <w:basedOn w:val="a1"/>
    <w:link w:val="Char2"/>
    <w:rsid w:val="00E70A67"/>
    <w:pPr>
      <w:jc w:val="left"/>
    </w:pPr>
  </w:style>
  <w:style w:type="character" w:customStyle="1" w:styleId="Char2">
    <w:name w:val="批注文字 Char"/>
    <w:basedOn w:val="a3"/>
    <w:link w:val="ac"/>
    <w:rsid w:val="00E70A67"/>
    <w:rPr>
      <w:rFonts w:ascii="Times New Roman" w:eastAsia="仿宋_GB2312" w:hAnsi="Times New Roman" w:cs="Times New Roman"/>
      <w:sz w:val="32"/>
      <w:szCs w:val="24"/>
    </w:rPr>
  </w:style>
  <w:style w:type="paragraph" w:styleId="ad">
    <w:name w:val="annotation subject"/>
    <w:basedOn w:val="ac"/>
    <w:next w:val="ac"/>
    <w:link w:val="Char3"/>
    <w:rsid w:val="00E70A67"/>
    <w:rPr>
      <w:b/>
      <w:bCs/>
    </w:rPr>
  </w:style>
  <w:style w:type="character" w:customStyle="1" w:styleId="Char3">
    <w:name w:val="批注主题 Char"/>
    <w:basedOn w:val="Char2"/>
    <w:link w:val="ad"/>
    <w:rsid w:val="00E70A67"/>
    <w:rPr>
      <w:b/>
      <w:bCs/>
    </w:rPr>
  </w:style>
  <w:style w:type="paragraph" w:customStyle="1" w:styleId="ae">
    <w:name w:val="章标题"/>
    <w:next w:val="a1"/>
    <w:qFormat/>
    <w:rsid w:val="00E70A67"/>
    <w:pPr>
      <w:spacing w:beforeLines="100" w:afterLines="100"/>
      <w:jc w:val="both"/>
      <w:outlineLvl w:val="1"/>
    </w:pPr>
    <w:rPr>
      <w:rFonts w:ascii="黑体" w:eastAsia="黑体" w:hAnsi="Calibri" w:cs="Times New Roman"/>
      <w:kern w:val="0"/>
    </w:rPr>
  </w:style>
  <w:style w:type="paragraph" w:styleId="af">
    <w:name w:val="Body Text"/>
    <w:basedOn w:val="a1"/>
    <w:link w:val="Char4"/>
    <w:uiPriority w:val="1"/>
    <w:qFormat/>
    <w:rsid w:val="00E70A67"/>
    <w:pPr>
      <w:spacing w:before="29"/>
      <w:ind w:left="120" w:firstLine="559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Char4">
    <w:name w:val="正文文本 Char"/>
    <w:basedOn w:val="a3"/>
    <w:link w:val="af"/>
    <w:uiPriority w:val="1"/>
    <w:qFormat/>
    <w:rsid w:val="00E70A67"/>
    <w:rPr>
      <w:rFonts w:ascii="宋体" w:eastAsia="宋体" w:hAnsi="宋体" w:cs="Times New Roman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005CB-F1F7-418C-B72D-7138BF7F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25</Pages>
  <Words>1622</Words>
  <Characters>9248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2021-12-17T10:12:00Z</dcterms:created>
  <dcterms:modified xsi:type="dcterms:W3CDTF">2021-12-21T00:27:00Z</dcterms:modified>
</cp:coreProperties>
</file>