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200"/>
        <w:rPr>
          <w:rFonts w:ascii="宋体" w:cs="Times New Roman"/>
          <w:color w:val="auto"/>
          <w:sz w:val="48"/>
          <w:szCs w:val="48"/>
        </w:rPr>
      </w:pPr>
      <w:bookmarkStart w:id="74" w:name="_GoBack"/>
      <w:bookmarkEnd w:id="74"/>
    </w:p>
    <w:p>
      <w:pPr>
        <w:ind w:firstLine="960" w:firstLineChars="200"/>
        <w:rPr>
          <w:rFonts w:ascii="宋体" w:cs="Times New Roman"/>
          <w:color w:val="auto"/>
          <w:sz w:val="48"/>
          <w:szCs w:val="48"/>
        </w:rPr>
      </w:pPr>
    </w:p>
    <w:p>
      <w:pPr>
        <w:ind w:firstLine="960" w:firstLineChars="200"/>
        <w:rPr>
          <w:rFonts w:ascii="宋体" w:cs="Times New Roman"/>
          <w:color w:val="auto"/>
          <w:sz w:val="48"/>
          <w:szCs w:val="48"/>
        </w:rPr>
      </w:pPr>
    </w:p>
    <w:p>
      <w:pPr>
        <w:ind w:firstLine="960" w:firstLineChars="200"/>
        <w:rPr>
          <w:rFonts w:ascii="宋体" w:cs="Times New Roman"/>
          <w:color w:val="auto"/>
          <w:sz w:val="48"/>
          <w:szCs w:val="48"/>
        </w:rPr>
      </w:pPr>
    </w:p>
    <w:p>
      <w:pPr>
        <w:ind w:firstLine="960" w:firstLineChars="200"/>
        <w:rPr>
          <w:rFonts w:ascii="宋体" w:cs="Times New Roman"/>
          <w:color w:val="auto"/>
          <w:sz w:val="48"/>
          <w:szCs w:val="48"/>
        </w:rPr>
      </w:pPr>
    </w:p>
    <w:p>
      <w:pPr>
        <w:spacing w:line="600" w:lineRule="exact"/>
        <w:ind w:firstLine="960" w:firstLineChars="200"/>
        <w:rPr>
          <w:rFonts w:ascii="宋体" w:cs="Times New Roman"/>
          <w:color w:val="auto"/>
          <w:sz w:val="48"/>
          <w:szCs w:val="48"/>
        </w:rPr>
      </w:pPr>
    </w:p>
    <w:p>
      <w:pPr>
        <w:pStyle w:val="17"/>
        <w:kinsoku w:val="0"/>
        <w:overflowPunct w:val="0"/>
        <w:spacing w:before="0" w:beforeAutospacing="0" w:after="0" w:afterAutospacing="0" w:line="600" w:lineRule="exact"/>
        <w:jc w:val="center"/>
        <w:rPr>
          <w:rFonts w:hint="eastAsia"/>
          <w:b/>
          <w:bCs/>
          <w:color w:val="auto"/>
          <w:kern w:val="2"/>
          <w:sz w:val="48"/>
          <w:szCs w:val="48"/>
        </w:rPr>
      </w:pPr>
      <w:r>
        <w:rPr>
          <w:rFonts w:hint="eastAsia"/>
          <w:b/>
          <w:bCs/>
          <w:color w:val="auto"/>
          <w:kern w:val="2"/>
          <w:sz w:val="48"/>
          <w:szCs w:val="48"/>
        </w:rPr>
        <w:t>质子泵抑制剂临床应用指导原则</w:t>
      </w:r>
    </w:p>
    <w:p>
      <w:pPr>
        <w:pStyle w:val="17"/>
        <w:kinsoku w:val="0"/>
        <w:overflowPunct w:val="0"/>
        <w:spacing w:before="0" w:beforeAutospacing="0" w:after="0" w:afterAutospacing="0" w:line="600" w:lineRule="exact"/>
        <w:jc w:val="center"/>
        <w:rPr>
          <w:rFonts w:hint="default" w:eastAsia="宋体"/>
          <w:b/>
          <w:bCs/>
          <w:color w:val="auto"/>
          <w:kern w:val="2"/>
          <w:sz w:val="48"/>
          <w:szCs w:val="48"/>
          <w:lang w:val="en-US" w:eastAsia="zh-CN"/>
        </w:rPr>
      </w:pPr>
      <w:r>
        <w:rPr>
          <w:rFonts w:hint="eastAsia"/>
          <w:b/>
          <w:bCs/>
          <w:color w:val="auto"/>
          <w:kern w:val="2"/>
          <w:sz w:val="48"/>
          <w:szCs w:val="48"/>
          <w:lang w:eastAsia="zh-CN"/>
        </w:rPr>
        <w:t>（</w:t>
      </w:r>
      <w:r>
        <w:rPr>
          <w:rFonts w:hint="eastAsia"/>
          <w:b/>
          <w:bCs/>
          <w:color w:val="auto"/>
          <w:kern w:val="2"/>
          <w:sz w:val="48"/>
          <w:szCs w:val="48"/>
          <w:lang w:val="en-US" w:eastAsia="zh-CN"/>
        </w:rPr>
        <w:t>2020年版）</w:t>
      </w:r>
    </w:p>
    <w:p>
      <w:pPr>
        <w:pStyle w:val="17"/>
        <w:kinsoku w:val="0"/>
        <w:overflowPunct w:val="0"/>
        <w:spacing w:before="0" w:beforeAutospacing="0" w:after="0" w:afterAutospacing="0" w:line="600" w:lineRule="exact"/>
        <w:jc w:val="center"/>
        <w:rPr>
          <w:b/>
          <w:bCs/>
          <w:color w:val="auto"/>
          <w:kern w:val="2"/>
          <w:sz w:val="48"/>
          <w:szCs w:val="48"/>
        </w:rPr>
      </w:pPr>
    </w:p>
    <w:p>
      <w:pPr>
        <w:pStyle w:val="17"/>
        <w:kinsoku w:val="0"/>
        <w:overflowPunct w:val="0"/>
        <w:spacing w:before="0" w:beforeAutospacing="0" w:after="0" w:afterAutospacing="0" w:line="240" w:lineRule="atLeast"/>
        <w:jc w:val="center"/>
        <w:rPr>
          <w:b/>
          <w:bCs/>
          <w:color w:val="auto"/>
          <w:kern w:val="2"/>
          <w:sz w:val="48"/>
          <w:szCs w:val="48"/>
        </w:rPr>
      </w:pPr>
    </w:p>
    <w:p>
      <w:pPr>
        <w:pStyle w:val="17"/>
        <w:kinsoku w:val="0"/>
        <w:overflowPunct w:val="0"/>
        <w:spacing w:before="0" w:beforeAutospacing="0" w:after="0" w:afterAutospacing="0" w:line="240" w:lineRule="atLeast"/>
        <w:jc w:val="center"/>
        <w:rPr>
          <w:b/>
          <w:bCs/>
          <w:color w:val="auto"/>
          <w:kern w:val="2"/>
          <w:sz w:val="48"/>
          <w:szCs w:val="48"/>
        </w:rPr>
      </w:pPr>
    </w:p>
    <w:p>
      <w:pPr>
        <w:pStyle w:val="17"/>
        <w:kinsoku w:val="0"/>
        <w:overflowPunct w:val="0"/>
        <w:spacing w:before="0" w:beforeAutospacing="0" w:after="0" w:afterAutospacing="0" w:line="240" w:lineRule="atLeast"/>
        <w:jc w:val="center"/>
        <w:rPr>
          <w:b/>
          <w:bCs/>
          <w:color w:val="auto"/>
          <w:kern w:val="2"/>
          <w:sz w:val="48"/>
          <w:szCs w:val="48"/>
        </w:rPr>
      </w:pPr>
    </w:p>
    <w:p>
      <w:pPr>
        <w:pStyle w:val="17"/>
        <w:kinsoku w:val="0"/>
        <w:overflowPunct w:val="0"/>
        <w:spacing w:before="0" w:beforeAutospacing="0" w:after="0" w:afterAutospacing="0" w:line="240" w:lineRule="atLeast"/>
        <w:jc w:val="center"/>
        <w:rPr>
          <w:b/>
          <w:bCs/>
          <w:color w:val="auto"/>
          <w:kern w:val="2"/>
          <w:sz w:val="48"/>
          <w:szCs w:val="48"/>
        </w:rPr>
      </w:pPr>
    </w:p>
    <w:p>
      <w:pPr>
        <w:pStyle w:val="17"/>
        <w:kinsoku w:val="0"/>
        <w:overflowPunct w:val="0"/>
        <w:spacing w:before="0" w:beforeAutospacing="0" w:after="0" w:afterAutospacing="0" w:line="240" w:lineRule="atLeast"/>
        <w:jc w:val="center"/>
        <w:rPr>
          <w:b/>
          <w:bCs/>
          <w:color w:val="auto"/>
          <w:kern w:val="2"/>
          <w:sz w:val="48"/>
          <w:szCs w:val="48"/>
        </w:rPr>
      </w:pPr>
    </w:p>
    <w:p>
      <w:pPr>
        <w:pStyle w:val="17"/>
        <w:kinsoku w:val="0"/>
        <w:overflowPunct w:val="0"/>
        <w:spacing w:before="0" w:beforeAutospacing="0" w:after="0" w:afterAutospacing="0" w:line="240" w:lineRule="atLeast"/>
        <w:jc w:val="both"/>
        <w:rPr>
          <w:b/>
          <w:bCs/>
          <w:color w:val="auto"/>
          <w:kern w:val="2"/>
          <w:sz w:val="48"/>
          <w:szCs w:val="48"/>
        </w:rPr>
      </w:pPr>
    </w:p>
    <w:p>
      <w:pPr>
        <w:pStyle w:val="17"/>
        <w:kinsoku w:val="0"/>
        <w:overflowPunct w:val="0"/>
        <w:spacing w:before="0" w:beforeAutospacing="0" w:after="0" w:afterAutospacing="0" w:line="240" w:lineRule="atLeast"/>
        <w:jc w:val="both"/>
        <w:rPr>
          <w:b/>
          <w:bCs/>
          <w:color w:val="auto"/>
          <w:kern w:val="2"/>
          <w:sz w:val="48"/>
          <w:szCs w:val="48"/>
        </w:rPr>
      </w:pPr>
    </w:p>
    <w:p>
      <w:pPr>
        <w:jc w:val="center"/>
        <w:rPr>
          <w:rFonts w:hint="eastAsia" w:ascii="宋体" w:hAnsi="宋体" w:cs="宋体"/>
          <w:b/>
          <w:color w:val="auto"/>
          <w:sz w:val="44"/>
          <w:szCs w:val="44"/>
        </w:rPr>
      </w:pPr>
    </w:p>
    <w:p>
      <w:pPr>
        <w:pStyle w:val="17"/>
        <w:kinsoku w:val="0"/>
        <w:overflowPunct w:val="0"/>
        <w:spacing w:before="0" w:beforeAutospacing="0" w:after="0" w:afterAutospacing="0" w:line="240" w:lineRule="atLeast"/>
        <w:ind w:firstLine="643"/>
        <w:jc w:val="center"/>
        <w:rPr>
          <w:rFonts w:ascii="Times New Roman" w:hAnsi="Times New Roman" w:cs="Arial"/>
          <w:b/>
          <w:bCs/>
          <w:color w:val="auto"/>
          <w:kern w:val="24"/>
          <w:sz w:val="32"/>
          <w:szCs w:val="40"/>
        </w:rPr>
      </w:pPr>
    </w:p>
    <w:p>
      <w:pPr>
        <w:widowControl/>
        <w:ind w:firstLine="643"/>
        <w:jc w:val="left"/>
        <w:rPr>
          <w:rFonts w:eastAsia="宋体" w:cs="Arial"/>
          <w:b/>
          <w:bCs/>
          <w:color w:val="auto"/>
          <w:kern w:val="24"/>
          <w:szCs w:val="40"/>
        </w:rPr>
      </w:pPr>
      <w:r>
        <w:rPr>
          <w:rFonts w:cs="Arial"/>
          <w:b/>
          <w:bCs/>
          <w:color w:val="auto"/>
          <w:kern w:val="24"/>
          <w:szCs w:val="40"/>
        </w:rPr>
        <w:br w:type="page"/>
      </w:r>
    </w:p>
    <w:p>
      <w:pPr>
        <w:pStyle w:val="17"/>
        <w:kinsoku w:val="0"/>
        <w:overflowPunct w:val="0"/>
        <w:spacing w:before="0" w:beforeAutospacing="0" w:after="0" w:afterAutospacing="0" w:line="0" w:lineRule="atLeast"/>
        <w:ind w:firstLine="300"/>
        <w:textAlignment w:val="baseline"/>
        <w:rPr>
          <w:rFonts w:ascii="Times New Roman" w:hAnsi="Times New Roman" w:cs="Arial"/>
          <w:bCs/>
          <w:color w:val="auto"/>
          <w:kern w:val="24"/>
          <w:sz w:val="15"/>
          <w:szCs w:val="40"/>
        </w:rPr>
      </w:pPr>
    </w:p>
    <w:sdt>
      <w:sdtPr>
        <w:rPr>
          <w:rFonts w:ascii="Times New Roman" w:hAnsi="Times New Roman" w:eastAsia="仿宋" w:cstheme="minorBidi"/>
          <w:color w:val="auto"/>
          <w:w w:val="100"/>
          <w:kern w:val="2"/>
          <w:sz w:val="21"/>
          <w:szCs w:val="22"/>
          <w:lang w:val="zh-CN"/>
        </w:rPr>
        <w:id w:val="0"/>
        <w:docPartObj>
          <w:docPartGallery w:val="Table of Contents"/>
          <w:docPartUnique/>
        </w:docPartObj>
      </w:sdtPr>
      <w:sdtEndPr>
        <w:rPr>
          <w:rFonts w:ascii="Times New Roman" w:hAnsi="Times New Roman" w:eastAsia="宋体" w:cstheme="minorBidi"/>
          <w:b/>
          <w:bCs/>
          <w:color w:val="auto"/>
          <w:w w:val="100"/>
          <w:kern w:val="2"/>
          <w:sz w:val="32"/>
          <w:szCs w:val="22"/>
          <w:lang w:val="zh-CN"/>
        </w:rPr>
      </w:sdtEndPr>
      <w:sdtContent>
        <w:p>
          <w:pPr>
            <w:pStyle w:val="40"/>
            <w:spacing w:line="240" w:lineRule="atLeast"/>
            <w:jc w:val="center"/>
            <w:rPr>
              <w:color w:val="auto"/>
              <w:sz w:val="36"/>
            </w:rPr>
          </w:pPr>
          <w:r>
            <w:rPr>
              <w:rFonts w:hint="eastAsia"/>
              <w:color w:val="auto"/>
              <w:sz w:val="36"/>
            </w:rPr>
            <w:t>目录</w:t>
          </w:r>
        </w:p>
        <w:p>
          <w:pPr>
            <w:pStyle w:val="15"/>
            <w:spacing w:line="360" w:lineRule="exact"/>
            <w:rPr>
              <w:rFonts w:asciiTheme="minorEastAsia" w:hAnsiTheme="minorEastAsia" w:eastAsiaTheme="minorEastAsia"/>
              <w:color w:val="auto"/>
              <w:sz w:val="18"/>
            </w:rPr>
          </w:pPr>
          <w:r>
            <w:rPr>
              <w:rFonts w:eastAsia="宋体"/>
              <w:color w:val="auto"/>
              <w:sz w:val="21"/>
              <w:szCs w:val="21"/>
            </w:rPr>
            <w:fldChar w:fldCharType="begin"/>
          </w:r>
          <w:r>
            <w:rPr>
              <w:rFonts w:eastAsia="宋体"/>
              <w:color w:val="auto"/>
              <w:sz w:val="21"/>
              <w:szCs w:val="21"/>
            </w:rPr>
            <w:instrText xml:space="preserve"> TOC \o "1-3" \h \z \u </w:instrText>
          </w:r>
          <w:r>
            <w:rPr>
              <w:rFonts w:eastAsia="宋体"/>
              <w:color w:val="auto"/>
              <w:sz w:val="21"/>
              <w:szCs w:val="21"/>
            </w:rPr>
            <w:fldChar w:fldCharType="separate"/>
          </w:r>
          <w:r>
            <w:rPr>
              <w:color w:val="auto"/>
            </w:rPr>
            <w:fldChar w:fldCharType="begin"/>
          </w:r>
          <w:r>
            <w:rPr>
              <w:color w:val="auto"/>
            </w:rPr>
            <w:instrText xml:space="preserve"> HYPERLINK \l "_Toc535269719" </w:instrText>
          </w:r>
          <w:r>
            <w:rPr>
              <w:color w:val="auto"/>
            </w:rPr>
            <w:fldChar w:fldCharType="separate"/>
          </w:r>
          <w:r>
            <w:rPr>
              <w:rStyle w:val="22"/>
              <w:rFonts w:asciiTheme="minorEastAsia" w:hAnsiTheme="minorEastAsia" w:eastAsiaTheme="minorEastAsia"/>
              <w:color w:val="auto"/>
              <w:sz w:val="24"/>
            </w:rPr>
            <w:t>第一部分 质子泵抑制剂临床应用的基本原则</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PAGEREF _Toc535269719 \h </w:instrText>
          </w:r>
          <w:r>
            <w:rPr>
              <w:rFonts w:asciiTheme="minorEastAsia" w:hAnsiTheme="minorEastAsia" w:eastAsiaTheme="minorEastAsia"/>
              <w:color w:val="auto"/>
              <w:sz w:val="24"/>
            </w:rPr>
            <w:fldChar w:fldCharType="separate"/>
          </w:r>
          <w:r>
            <w:rPr>
              <w:rFonts w:asciiTheme="minorEastAsia" w:hAnsiTheme="minorEastAsia" w:eastAsiaTheme="minorEastAsia"/>
              <w:color w:val="auto"/>
              <w:sz w:val="24"/>
            </w:rPr>
            <w:t>1</w:t>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fldChar w:fldCharType="end"/>
          </w:r>
        </w:p>
        <w:p>
          <w:pPr>
            <w:pStyle w:val="16"/>
            <w:spacing w:line="360" w:lineRule="exact"/>
            <w:rPr>
              <w:rFonts w:asciiTheme="minorEastAsia" w:hAnsiTheme="minorEastAsia" w:eastAsiaTheme="minorEastAsia"/>
              <w:color w:val="auto"/>
              <w:sz w:val="18"/>
            </w:rPr>
          </w:pPr>
          <w:r>
            <w:rPr>
              <w:color w:val="auto"/>
            </w:rPr>
            <w:fldChar w:fldCharType="begin"/>
          </w:r>
          <w:r>
            <w:rPr>
              <w:color w:val="auto"/>
            </w:rPr>
            <w:instrText xml:space="preserve"> HYPERLINK \l "_Toc535269720" </w:instrText>
          </w:r>
          <w:r>
            <w:rPr>
              <w:color w:val="auto"/>
            </w:rPr>
            <w:fldChar w:fldCharType="separate"/>
          </w:r>
          <w:r>
            <w:rPr>
              <w:rStyle w:val="22"/>
              <w:rFonts w:asciiTheme="minorEastAsia" w:hAnsiTheme="minorEastAsia" w:eastAsiaTheme="minorEastAsia"/>
              <w:color w:val="auto"/>
              <w:sz w:val="24"/>
            </w:rPr>
            <w:t>质子泵抑制剂合理应用的基本原则</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PAGEREF _Toc535269720 \h </w:instrText>
          </w:r>
          <w:r>
            <w:rPr>
              <w:rFonts w:asciiTheme="minorEastAsia" w:hAnsiTheme="minorEastAsia" w:eastAsiaTheme="minorEastAsia"/>
              <w:color w:val="auto"/>
              <w:sz w:val="24"/>
            </w:rPr>
            <w:fldChar w:fldCharType="separate"/>
          </w:r>
          <w:r>
            <w:rPr>
              <w:rFonts w:asciiTheme="minorEastAsia" w:hAnsiTheme="minorEastAsia" w:eastAsiaTheme="minorEastAsia"/>
              <w:color w:val="auto"/>
              <w:sz w:val="24"/>
            </w:rPr>
            <w:t>1</w:t>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fldChar w:fldCharType="end"/>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"_Toc535269721" </w:instrText>
          </w:r>
          <w:r>
            <w:rPr>
              <w:color w:val="auto"/>
            </w:rPr>
            <w:fldChar w:fldCharType="separate"/>
          </w:r>
          <w:r>
            <w:rPr>
              <w:rStyle w:val="22"/>
              <w:rFonts w:asciiTheme="minorEastAsia" w:hAnsiTheme="minorEastAsia" w:eastAsiaTheme="minorEastAsia"/>
              <w:color w:val="auto"/>
              <w:sz w:val="24"/>
            </w:rPr>
            <w:t>一、 严格遵循适应证用药</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PAGEREF _Toc535269721 \h </w:instrText>
          </w:r>
          <w:r>
            <w:rPr>
              <w:rFonts w:asciiTheme="minorEastAsia" w:hAnsiTheme="minorEastAsia" w:eastAsiaTheme="minorEastAsia"/>
              <w:color w:val="auto"/>
              <w:sz w:val="24"/>
            </w:rPr>
            <w:fldChar w:fldCharType="separate"/>
          </w:r>
          <w:r>
            <w:rPr>
              <w:rFonts w:asciiTheme="minorEastAsia" w:hAnsiTheme="minorEastAsia" w:eastAsiaTheme="minorEastAsia"/>
              <w:color w:val="auto"/>
              <w:sz w:val="24"/>
            </w:rPr>
            <w:t>1</w:t>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fldChar w:fldCharType="end"/>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"_Toc535269722" </w:instrText>
          </w:r>
          <w:r>
            <w:rPr>
              <w:color w:val="auto"/>
            </w:rPr>
            <w:fldChar w:fldCharType="separate"/>
          </w:r>
          <w:r>
            <w:rPr>
              <w:rStyle w:val="22"/>
              <w:rFonts w:asciiTheme="minorEastAsia" w:hAnsiTheme="minorEastAsia" w:eastAsiaTheme="minorEastAsia"/>
              <w:color w:val="auto"/>
              <w:sz w:val="24"/>
            </w:rPr>
            <w:t>二、 合理制订治疗方案</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3</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"_Toc535269723" </w:instrText>
          </w:r>
          <w:r>
            <w:rPr>
              <w:color w:val="auto"/>
            </w:rPr>
            <w:fldChar w:fldCharType="separate"/>
          </w:r>
          <w:r>
            <w:rPr>
              <w:rStyle w:val="22"/>
              <w:rFonts w:asciiTheme="minorEastAsia" w:hAnsiTheme="minorEastAsia" w:eastAsiaTheme="minorEastAsia"/>
              <w:color w:val="auto"/>
              <w:sz w:val="24"/>
            </w:rPr>
            <w:t>三、 特殊情况下的药物合理使用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4</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"_Toc535269724" </w:instrText>
          </w:r>
          <w:r>
            <w:rPr>
              <w:color w:val="auto"/>
            </w:rPr>
            <w:fldChar w:fldCharType="separate"/>
          </w:r>
          <w:r>
            <w:rPr>
              <w:rStyle w:val="22"/>
              <w:rFonts w:asciiTheme="minorEastAsia" w:hAnsiTheme="minorEastAsia" w:eastAsiaTheme="minorEastAsia"/>
              <w:color w:val="auto"/>
              <w:sz w:val="24"/>
            </w:rPr>
            <w:t>四、 监测药物相关的不良反应</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5</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"_Toc535269725" </w:instrText>
          </w:r>
          <w:r>
            <w:rPr>
              <w:color w:val="auto"/>
            </w:rPr>
            <w:fldChar w:fldCharType="separate"/>
          </w:r>
          <w:r>
            <w:rPr>
              <w:rStyle w:val="22"/>
              <w:rFonts w:asciiTheme="minorEastAsia" w:hAnsiTheme="minorEastAsia" w:eastAsiaTheme="minorEastAsia"/>
              <w:color w:val="auto"/>
              <w:sz w:val="24"/>
            </w:rPr>
            <w:t>五、 关注药物相互作用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5</w:t>
          </w:r>
        </w:p>
        <w:p>
          <w:pPr>
            <w:pStyle w:val="16"/>
            <w:spacing w:line="360" w:lineRule="exact"/>
            <w:rPr>
              <w:rFonts w:asciiTheme="minorEastAsia" w:hAnsiTheme="minorEastAsia" w:eastAsiaTheme="minorEastAsia"/>
              <w:color w:val="auto"/>
              <w:sz w:val="18"/>
            </w:rPr>
          </w:pPr>
          <w:r>
            <w:rPr>
              <w:color w:val="auto"/>
            </w:rPr>
            <w:fldChar w:fldCharType="begin"/>
          </w:r>
          <w:r>
            <w:rPr>
              <w:color w:val="auto"/>
            </w:rPr>
            <w:instrText xml:space="preserve"> HYPERLINK \l "_Toc535269726" </w:instrText>
          </w:r>
          <w:r>
            <w:rPr>
              <w:color w:val="auto"/>
            </w:rPr>
            <w:fldChar w:fldCharType="separate"/>
          </w:r>
          <w:r>
            <w:rPr>
              <w:rStyle w:val="22"/>
              <w:rFonts w:asciiTheme="minorEastAsia" w:hAnsiTheme="minorEastAsia" w:eastAsiaTheme="minorEastAsia"/>
              <w:color w:val="auto"/>
              <w:sz w:val="24"/>
            </w:rPr>
            <w:t>质子泵抑制剂在特殊病理、生理状况患者中应用的基本原则</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6</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"_Toc535269727" </w:instrText>
          </w:r>
          <w:r>
            <w:rPr>
              <w:color w:val="auto"/>
            </w:rPr>
            <w:fldChar w:fldCharType="separate"/>
          </w:r>
          <w:r>
            <w:rPr>
              <w:rStyle w:val="22"/>
              <w:rFonts w:asciiTheme="minorEastAsia" w:hAnsiTheme="minorEastAsia" w:eastAsiaTheme="minorEastAsia"/>
              <w:color w:val="auto"/>
              <w:sz w:val="24"/>
            </w:rPr>
            <w:t>一、 肝、肾功能减退患者</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的应用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6</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"_Toc535269728" </w:instrText>
          </w:r>
          <w:r>
            <w:rPr>
              <w:color w:val="auto"/>
            </w:rPr>
            <w:fldChar w:fldCharType="separate"/>
          </w:r>
          <w:r>
            <w:rPr>
              <w:rStyle w:val="22"/>
              <w:rFonts w:asciiTheme="minorEastAsia" w:hAnsiTheme="minorEastAsia" w:eastAsiaTheme="minorEastAsia"/>
              <w:color w:val="auto"/>
              <w:sz w:val="24"/>
            </w:rPr>
            <w:t>二、 老年患者</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的应用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6</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"_Toc535269729" </w:instrText>
          </w:r>
          <w:r>
            <w:rPr>
              <w:color w:val="auto"/>
            </w:rPr>
            <w:fldChar w:fldCharType="separate"/>
          </w:r>
          <w:r>
            <w:rPr>
              <w:rStyle w:val="22"/>
              <w:rFonts w:asciiTheme="minorEastAsia" w:hAnsiTheme="minorEastAsia" w:eastAsiaTheme="minorEastAsia"/>
              <w:color w:val="auto"/>
              <w:sz w:val="24"/>
            </w:rPr>
            <w:t>三、 儿童患者</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的应用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7</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"_Toc535269730" </w:instrText>
          </w:r>
          <w:r>
            <w:rPr>
              <w:color w:val="auto"/>
            </w:rPr>
            <w:fldChar w:fldCharType="separate"/>
          </w:r>
          <w:r>
            <w:rPr>
              <w:rStyle w:val="22"/>
              <w:rFonts w:asciiTheme="minorEastAsia" w:hAnsiTheme="minorEastAsia" w:eastAsiaTheme="minorEastAsia"/>
              <w:color w:val="auto"/>
              <w:sz w:val="24"/>
            </w:rPr>
            <w:t>四、 妊娠期和哺乳期患者</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的应用</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7</w:t>
          </w:r>
        </w:p>
        <w:p>
          <w:pPr>
            <w:pStyle w:val="15"/>
            <w:spacing w:line="360" w:lineRule="exact"/>
            <w:rPr>
              <w:rFonts w:asciiTheme="minorEastAsia" w:hAnsiTheme="minorEastAsia" w:eastAsiaTheme="minorEastAsia"/>
              <w:color w:val="auto"/>
              <w:sz w:val="18"/>
            </w:rPr>
          </w:pPr>
          <w:r>
            <w:rPr>
              <w:color w:val="auto"/>
            </w:rPr>
            <w:fldChar w:fldCharType="begin"/>
          </w:r>
          <w:r>
            <w:rPr>
              <w:color w:val="auto"/>
            </w:rPr>
            <w:instrText xml:space="preserve"> HYPERLINK \l "_Toc535269731" </w:instrText>
          </w:r>
          <w:r>
            <w:rPr>
              <w:color w:val="auto"/>
            </w:rPr>
            <w:fldChar w:fldCharType="separate"/>
          </w:r>
          <w:r>
            <w:rPr>
              <w:rStyle w:val="22"/>
              <w:rFonts w:asciiTheme="minorEastAsia" w:hAnsiTheme="minorEastAsia" w:eastAsiaTheme="minorEastAsia"/>
              <w:color w:val="auto"/>
              <w:sz w:val="24"/>
            </w:rPr>
            <w:t>第二部分质子泵抑制剂临床应用管理制度</w:t>
          </w:r>
          <w:r>
            <w:rPr>
              <w:rFonts w:asciiTheme="minorEastAsia" w:hAnsiTheme="minorEastAsia" w:eastAsiaTheme="minorEastAsia"/>
              <w:color w:val="auto"/>
              <w:sz w:val="24"/>
            </w:rPr>
            <w:tab/>
          </w:r>
          <w:r>
            <w:rPr>
              <w:rFonts w:asciiTheme="minorEastAsia" w:hAnsiTheme="minorEastAsia" w:eastAsiaTheme="minorEastAsia"/>
              <w:color w:val="auto"/>
              <w:sz w:val="24"/>
            </w:rPr>
            <w:t>9</w:t>
          </w:r>
          <w:r>
            <w:rPr>
              <w:rFonts w:asciiTheme="minorEastAsia" w:hAnsiTheme="minorEastAsia" w:eastAsiaTheme="minorEastAsia"/>
              <w:color w:val="auto"/>
              <w:sz w:val="24"/>
            </w:rPr>
            <w:fldChar w:fldCharType="end"/>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"_Toc535269732" </w:instrText>
          </w:r>
          <w:r>
            <w:rPr>
              <w:color w:val="auto"/>
            </w:rPr>
            <w:fldChar w:fldCharType="separate"/>
          </w:r>
          <w:r>
            <w:rPr>
              <w:rStyle w:val="22"/>
              <w:rFonts w:asciiTheme="minorEastAsia" w:hAnsiTheme="minorEastAsia" w:eastAsiaTheme="minorEastAsia"/>
              <w:color w:val="auto"/>
              <w:sz w:val="24"/>
            </w:rPr>
            <w:t>一、 医疗机构制订</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合理使用管理规定</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9</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"_Toc535269733" </w:instrText>
          </w:r>
          <w:r>
            <w:rPr>
              <w:color w:val="auto"/>
            </w:rPr>
            <w:fldChar w:fldCharType="separate"/>
          </w:r>
          <w:r>
            <w:rPr>
              <w:rStyle w:val="22"/>
              <w:rFonts w:asciiTheme="minorEastAsia" w:hAnsiTheme="minorEastAsia" w:eastAsiaTheme="minorEastAsia"/>
              <w:color w:val="auto"/>
              <w:sz w:val="24"/>
            </w:rPr>
            <w:t xml:space="preserve">二、 </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药品品种遴选</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9</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"_Toc535269734" </w:instrText>
          </w:r>
          <w:r>
            <w:rPr>
              <w:color w:val="auto"/>
            </w:rPr>
            <w:fldChar w:fldCharType="separate"/>
          </w:r>
          <w:r>
            <w:rPr>
              <w:rStyle w:val="22"/>
              <w:rFonts w:asciiTheme="minorEastAsia" w:hAnsiTheme="minorEastAsia" w:eastAsiaTheme="minorEastAsia"/>
              <w:color w:val="auto"/>
              <w:sz w:val="24"/>
            </w:rPr>
            <w:t xml:space="preserve">三、 </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临床管理措施</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9</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"_Toc535269735" </w:instrText>
          </w:r>
          <w:r>
            <w:rPr>
              <w:color w:val="auto"/>
            </w:rPr>
            <w:fldChar w:fldCharType="separate"/>
          </w:r>
          <w:r>
            <w:rPr>
              <w:rStyle w:val="22"/>
              <w:rFonts w:asciiTheme="minorEastAsia" w:hAnsiTheme="minorEastAsia" w:eastAsiaTheme="minorEastAsia"/>
              <w:color w:val="auto"/>
              <w:sz w:val="24"/>
            </w:rPr>
            <w:t xml:space="preserve">四、 </w:t>
          </w:r>
          <w:r>
            <w:rPr>
              <w:rStyle w:val="22"/>
              <w:rFonts w:hint="eastAsia" w:asciiTheme="minorEastAsia" w:hAnsiTheme="minorEastAsia" w:eastAsiaTheme="minorEastAsia"/>
              <w:color w:val="auto"/>
              <w:sz w:val="24"/>
              <w:lang w:eastAsia="zh-CN"/>
            </w:rPr>
            <w:t>质子泵抑制剂</w:t>
          </w:r>
          <w:r>
            <w:rPr>
              <w:rStyle w:val="22"/>
              <w:rFonts w:asciiTheme="minorEastAsia" w:hAnsiTheme="minorEastAsia" w:eastAsiaTheme="minorEastAsia"/>
              <w:color w:val="auto"/>
              <w:sz w:val="24"/>
            </w:rPr>
            <w:t>药事监管</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10</w:t>
          </w:r>
        </w:p>
        <w:p>
          <w:pPr>
            <w:pStyle w:val="15"/>
            <w:spacing w:line="360" w:lineRule="exact"/>
            <w:rPr>
              <w:rFonts w:asciiTheme="minorEastAsia" w:hAnsiTheme="minorEastAsia" w:eastAsiaTheme="minorEastAsia"/>
              <w:color w:val="auto"/>
              <w:sz w:val="18"/>
            </w:rPr>
          </w:pPr>
          <w:r>
            <w:rPr>
              <w:color w:val="auto"/>
            </w:rPr>
            <w:fldChar w:fldCharType="begin"/>
          </w:r>
          <w:r>
            <w:rPr>
              <w:color w:val="auto"/>
            </w:rPr>
            <w:instrText xml:space="preserve"> HYPERLINK \l "_Toc535269736" </w:instrText>
          </w:r>
          <w:r>
            <w:rPr>
              <w:color w:val="auto"/>
            </w:rPr>
            <w:fldChar w:fldCharType="separate"/>
          </w:r>
          <w:r>
            <w:rPr>
              <w:rStyle w:val="22"/>
              <w:rFonts w:asciiTheme="minorEastAsia" w:hAnsiTheme="minorEastAsia" w:eastAsiaTheme="minorEastAsia"/>
              <w:color w:val="auto"/>
              <w:sz w:val="24"/>
            </w:rPr>
            <w:t>第三部分 常用质子泵抑制剂的适应证和注意事项</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11</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"_Toc535269737" </w:instrText>
          </w:r>
          <w:r>
            <w:rPr>
              <w:color w:val="auto"/>
            </w:rPr>
            <w:fldChar w:fldCharType="separate"/>
          </w:r>
          <w:r>
            <w:rPr>
              <w:rStyle w:val="22"/>
              <w:rFonts w:asciiTheme="minorEastAsia" w:hAnsiTheme="minorEastAsia" w:eastAsiaTheme="minorEastAsia"/>
              <w:color w:val="auto"/>
              <w:sz w:val="24"/>
            </w:rPr>
            <w:t>一、 奥美拉唑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12</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"_Toc535269738" </w:instrText>
          </w:r>
          <w:r>
            <w:rPr>
              <w:color w:val="auto"/>
            </w:rPr>
            <w:fldChar w:fldCharType="separate"/>
          </w:r>
          <w:r>
            <w:rPr>
              <w:rStyle w:val="22"/>
              <w:rFonts w:asciiTheme="minorEastAsia" w:hAnsiTheme="minorEastAsia" w:eastAsiaTheme="minorEastAsia"/>
              <w:color w:val="auto"/>
              <w:sz w:val="24"/>
            </w:rPr>
            <w:t>二、 兰索拉唑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14</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"_Toc535269739" </w:instrText>
          </w:r>
          <w:r>
            <w:rPr>
              <w:color w:val="auto"/>
            </w:rPr>
            <w:fldChar w:fldCharType="separate"/>
          </w:r>
          <w:r>
            <w:rPr>
              <w:rStyle w:val="22"/>
              <w:rFonts w:asciiTheme="minorEastAsia" w:hAnsiTheme="minorEastAsia" w:eastAsiaTheme="minorEastAsia"/>
              <w:color w:val="auto"/>
              <w:sz w:val="24"/>
            </w:rPr>
            <w:t>三、 泮托拉唑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15</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"_Toc535269740" </w:instrText>
          </w:r>
          <w:r>
            <w:rPr>
              <w:color w:val="auto"/>
            </w:rPr>
            <w:fldChar w:fldCharType="separate"/>
          </w:r>
          <w:r>
            <w:rPr>
              <w:rStyle w:val="22"/>
              <w:rFonts w:asciiTheme="minorEastAsia" w:hAnsiTheme="minorEastAsia" w:eastAsiaTheme="minorEastAsia"/>
              <w:color w:val="auto"/>
              <w:sz w:val="24"/>
            </w:rPr>
            <w:t>四、 雷贝拉唑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16</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"_Toc535269741" </w:instrText>
          </w:r>
          <w:r>
            <w:rPr>
              <w:color w:val="auto"/>
            </w:rPr>
            <w:fldChar w:fldCharType="separate"/>
          </w:r>
          <w:r>
            <w:rPr>
              <w:rStyle w:val="22"/>
              <w:rFonts w:asciiTheme="minorEastAsia" w:hAnsiTheme="minorEastAsia" w:eastAsiaTheme="minorEastAsia"/>
              <w:color w:val="auto"/>
              <w:sz w:val="24"/>
            </w:rPr>
            <w:t>五、 艾司奥美拉唑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17</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"_Toc535269742" </w:instrText>
          </w:r>
          <w:r>
            <w:rPr>
              <w:color w:val="auto"/>
            </w:rPr>
            <w:fldChar w:fldCharType="separate"/>
          </w:r>
          <w:r>
            <w:rPr>
              <w:rStyle w:val="22"/>
              <w:rFonts w:asciiTheme="minorEastAsia" w:hAnsiTheme="minorEastAsia" w:eastAsiaTheme="minorEastAsia"/>
              <w:color w:val="auto"/>
              <w:sz w:val="24"/>
            </w:rPr>
            <w:t>六、 艾普拉唑</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19</w:t>
          </w:r>
        </w:p>
        <w:p>
          <w:pPr>
            <w:pStyle w:val="15"/>
            <w:spacing w:line="360" w:lineRule="exact"/>
            <w:rPr>
              <w:rFonts w:asciiTheme="minorEastAsia" w:hAnsiTheme="minorEastAsia" w:eastAsiaTheme="minorEastAsia"/>
              <w:color w:val="auto"/>
              <w:sz w:val="18"/>
            </w:rPr>
          </w:pPr>
          <w:r>
            <w:rPr>
              <w:color w:val="auto"/>
            </w:rPr>
            <w:fldChar w:fldCharType="begin"/>
          </w:r>
          <w:r>
            <w:rPr>
              <w:color w:val="auto"/>
            </w:rPr>
            <w:instrText xml:space="preserve"> HYPERLINK \l "_Toc535269743" </w:instrText>
          </w:r>
          <w:r>
            <w:rPr>
              <w:color w:val="auto"/>
            </w:rPr>
            <w:fldChar w:fldCharType="separate"/>
          </w:r>
          <w:r>
            <w:rPr>
              <w:rStyle w:val="22"/>
              <w:rFonts w:asciiTheme="minorEastAsia" w:hAnsiTheme="minorEastAsia" w:eastAsiaTheme="minorEastAsia"/>
              <w:color w:val="auto"/>
              <w:sz w:val="24"/>
            </w:rPr>
            <w:t>第四部分 各类疾病中质子泵抑制剂的治疗原则</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21</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"_Toc535269744" </w:instrText>
          </w:r>
          <w:r>
            <w:rPr>
              <w:color w:val="auto"/>
            </w:rPr>
            <w:fldChar w:fldCharType="separate"/>
          </w:r>
          <w:r>
            <w:rPr>
              <w:rStyle w:val="22"/>
              <w:rFonts w:asciiTheme="minorEastAsia" w:hAnsiTheme="minorEastAsia" w:eastAsiaTheme="minorEastAsia"/>
              <w:color w:val="auto"/>
              <w:sz w:val="24"/>
            </w:rPr>
            <w:t>一、 消化性溃疡</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21</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"_Toc535269745" </w:instrText>
          </w:r>
          <w:r>
            <w:rPr>
              <w:color w:val="auto"/>
            </w:rPr>
            <w:fldChar w:fldCharType="separate"/>
          </w:r>
          <w:r>
            <w:rPr>
              <w:rStyle w:val="22"/>
              <w:rFonts w:asciiTheme="minorEastAsia" w:hAnsiTheme="minorEastAsia" w:eastAsiaTheme="minorEastAsia"/>
              <w:color w:val="auto"/>
              <w:sz w:val="24"/>
            </w:rPr>
            <w:t>二、 胃食管反流病</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23</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"_Toc535269746" </w:instrText>
          </w:r>
          <w:r>
            <w:rPr>
              <w:color w:val="auto"/>
            </w:rPr>
            <w:fldChar w:fldCharType="separate"/>
          </w:r>
          <w:r>
            <w:rPr>
              <w:rStyle w:val="22"/>
              <w:rFonts w:asciiTheme="minorEastAsia" w:hAnsiTheme="minorEastAsia" w:eastAsiaTheme="minorEastAsia"/>
              <w:color w:val="auto"/>
              <w:sz w:val="24"/>
            </w:rPr>
            <w:t>三、 幽门螺杆菌根除</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26</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"_Toc535269747" </w:instrText>
          </w:r>
          <w:r>
            <w:rPr>
              <w:color w:val="auto"/>
            </w:rPr>
            <w:fldChar w:fldCharType="separate"/>
          </w:r>
          <w:r>
            <w:rPr>
              <w:rStyle w:val="22"/>
              <w:rFonts w:asciiTheme="minorEastAsia" w:hAnsiTheme="minorEastAsia" w:eastAsiaTheme="minorEastAsia"/>
              <w:color w:val="auto"/>
              <w:sz w:val="24"/>
            </w:rPr>
            <w:t>四、 急性非静脉曲张性上消化道出血</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27</w:t>
          </w:r>
        </w:p>
        <w:p>
          <w:pPr>
            <w:pStyle w:val="10"/>
            <w:tabs>
              <w:tab w:val="right" w:leader="dot" w:pos="8296"/>
            </w:tabs>
            <w:spacing w:line="360" w:lineRule="exact"/>
            <w:ind w:left="0" w:leftChars="0" w:firstLine="640" w:firstLineChars="200"/>
            <w:rPr>
              <w:rFonts w:asciiTheme="minorEastAsia" w:hAnsiTheme="minorEastAsia" w:eastAsiaTheme="minorEastAsia"/>
              <w:color w:val="auto"/>
              <w:sz w:val="18"/>
            </w:rPr>
          </w:pPr>
          <w:r>
            <w:rPr>
              <w:color w:val="auto"/>
            </w:rPr>
            <w:fldChar w:fldCharType="begin"/>
          </w:r>
          <w:r>
            <w:rPr>
              <w:color w:val="auto"/>
            </w:rPr>
            <w:instrText xml:space="preserve"> HYPERLINK \l "_Toc535269748" </w:instrText>
          </w:r>
          <w:r>
            <w:rPr>
              <w:color w:val="auto"/>
            </w:rPr>
            <w:fldChar w:fldCharType="separate"/>
          </w:r>
          <w:r>
            <w:rPr>
              <w:rStyle w:val="22"/>
              <w:rFonts w:asciiTheme="minorEastAsia" w:hAnsiTheme="minorEastAsia" w:eastAsiaTheme="minorEastAsia"/>
              <w:color w:val="auto"/>
              <w:sz w:val="24"/>
            </w:rPr>
            <w:t>五、 应激性黏膜病变</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30</w:t>
          </w:r>
        </w:p>
        <w:p>
          <w:pPr>
            <w:pStyle w:val="10"/>
            <w:tabs>
              <w:tab w:val="right" w:leader="dot" w:pos="8296"/>
            </w:tabs>
            <w:spacing w:line="360" w:lineRule="exact"/>
            <w:ind w:left="0" w:leftChars="0" w:firstLine="640" w:firstLineChars="200"/>
            <w:rPr>
              <w:rFonts w:asciiTheme="minorHAnsi" w:hAnsiTheme="minorHAnsi" w:eastAsiaTheme="minorEastAsia"/>
              <w:color w:val="auto"/>
              <w:sz w:val="21"/>
            </w:rPr>
          </w:pPr>
          <w:r>
            <w:rPr>
              <w:color w:val="auto"/>
            </w:rPr>
            <w:fldChar w:fldCharType="begin"/>
          </w:r>
          <w:r>
            <w:rPr>
              <w:color w:val="auto"/>
            </w:rPr>
            <w:instrText xml:space="preserve"> HYPERLINK \l "_Toc535269749" </w:instrText>
          </w:r>
          <w:r>
            <w:rPr>
              <w:color w:val="auto"/>
            </w:rPr>
            <w:fldChar w:fldCharType="separate"/>
          </w:r>
          <w:r>
            <w:rPr>
              <w:rStyle w:val="22"/>
              <w:rFonts w:asciiTheme="minorEastAsia" w:hAnsiTheme="minorEastAsia" w:eastAsiaTheme="minorEastAsia"/>
              <w:color w:val="auto"/>
              <w:sz w:val="24"/>
            </w:rPr>
            <w:t>六、 肿瘤化疗后的上消化道疾病</w:t>
          </w:r>
          <w:r>
            <w:rPr>
              <w:rStyle w:val="22"/>
              <w:rFonts w:asciiTheme="minorEastAsia" w:hAnsiTheme="minorEastAsia" w:eastAsiaTheme="minorEastAsia"/>
              <w:color w:val="auto"/>
              <w:sz w:val="24"/>
              <w:vertAlign w:val="superscript"/>
            </w:rPr>
            <w:t>*</w:t>
          </w:r>
          <w:r>
            <w:rPr>
              <w:rFonts w:asciiTheme="minorEastAsia" w:hAnsiTheme="minorEastAsia" w:eastAsiaTheme="minorEastAsia"/>
              <w:color w:val="auto"/>
              <w:sz w:val="24"/>
            </w:rPr>
            <w:tab/>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32</w:t>
          </w:r>
        </w:p>
        <w:p>
          <w:pPr>
            <w:spacing w:line="240" w:lineRule="auto"/>
            <w:ind w:firstLine="643"/>
            <w:rPr>
              <w:rFonts w:eastAsia="宋体"/>
              <w:color w:val="auto"/>
            </w:rPr>
          </w:pPr>
          <w:r>
            <w:rPr>
              <w:rFonts w:eastAsia="宋体"/>
              <w:b/>
              <w:bCs/>
              <w:color w:val="auto"/>
              <w:sz w:val="21"/>
              <w:szCs w:val="21"/>
              <w:lang w:val="zh-CN"/>
            </w:rPr>
            <w:fldChar w:fldCharType="end"/>
          </w:r>
        </w:p>
      </w:sdtContent>
    </w:sdt>
    <w:p>
      <w:pPr>
        <w:widowControl/>
        <w:ind w:firstLine="480"/>
        <w:jc w:val="left"/>
        <w:rPr>
          <w:rFonts w:eastAsia="宋体" w:cs="Arial"/>
          <w:bCs/>
          <w:color w:val="auto"/>
          <w:kern w:val="24"/>
          <w:sz w:val="24"/>
          <w:szCs w:val="24"/>
        </w:rPr>
      </w:pPr>
    </w:p>
    <w:p>
      <w:pPr>
        <w:widowControl/>
        <w:ind w:firstLine="0"/>
        <w:jc w:val="left"/>
        <w:rPr>
          <w:color w:val="auto"/>
        </w:rPr>
        <w:sectPr>
          <w:footerReference r:id="rId5" w:type="first"/>
          <w:headerReference r:id="rId3" w:type="default"/>
          <w:footerReference r:id="rId4" w:type="default"/>
          <w:pgSz w:w="11906" w:h="16838"/>
          <w:pgMar w:top="1440" w:right="1800" w:bottom="1440" w:left="1800" w:header="851" w:footer="992" w:gutter="0"/>
          <w:pgNumType w:start="1" w:chapStyle="1"/>
          <w:cols w:space="425" w:num="1"/>
          <w:docGrid w:type="lines" w:linePitch="435" w:charSpace="0"/>
        </w:sectPr>
      </w:pPr>
    </w:p>
    <w:p>
      <w:pPr>
        <w:pStyle w:val="2"/>
        <w:spacing w:before="217" w:after="217" w:line="600" w:lineRule="exact"/>
        <w:rPr>
          <w:color w:val="auto"/>
        </w:rPr>
      </w:pPr>
      <w:bookmarkStart w:id="0" w:name="_Toc535269719"/>
      <w:r>
        <w:rPr>
          <w:rFonts w:hint="eastAsia"/>
          <w:color w:val="auto"/>
        </w:rPr>
        <w:t>第一部分 质子泵抑制剂临床应用的基本原则</w:t>
      </w:r>
      <w:bookmarkEnd w:id="0"/>
    </w:p>
    <w:p>
      <w:pPr>
        <w:pStyle w:val="17"/>
        <w:kinsoku w:val="0"/>
        <w:overflowPunct w:val="0"/>
        <w:spacing w:before="0" w:beforeAutospacing="0" w:after="0" w:afterAutospacing="0" w:line="600" w:lineRule="exact"/>
        <w:ind w:firstLine="640"/>
        <w:jc w:val="both"/>
        <w:rPr>
          <w:rFonts w:ascii="Times New Roman" w:hAnsi="Times New Roman" w:eastAsia="仿宋" w:cs="Arial"/>
          <w:bCs/>
          <w:color w:val="auto"/>
          <w:kern w:val="24"/>
          <w:sz w:val="32"/>
        </w:rPr>
      </w:pPr>
      <w:r>
        <w:rPr>
          <w:rFonts w:hint="eastAsia" w:ascii="Times New Roman" w:hAnsi="Times New Roman" w:eastAsia="仿宋" w:cs="Arial"/>
          <w:bCs/>
          <w:color w:val="auto"/>
          <w:kern w:val="24"/>
          <w:sz w:val="32"/>
        </w:rPr>
        <w:t>质子泵抑制剂（</w:t>
      </w:r>
      <w:r>
        <w:rPr>
          <w:rFonts w:ascii="Times New Roman" w:hAnsi="Times New Roman" w:eastAsia="仿宋" w:cs="Arial"/>
          <w:bCs/>
          <w:color w:val="auto"/>
          <w:kern w:val="24"/>
          <w:sz w:val="32"/>
        </w:rPr>
        <w:t>Proton Pump Inhibitors</w:t>
      </w:r>
      <w:r>
        <w:rPr>
          <w:rFonts w:hint="eastAsia" w:ascii="Times New Roman" w:hAnsi="Times New Roman" w:eastAsia="仿宋" w:cs="Arial"/>
          <w:bCs/>
          <w:color w:val="auto"/>
          <w:kern w:val="24"/>
          <w:sz w:val="32"/>
        </w:rPr>
        <w:t>，</w:t>
      </w:r>
      <w:r>
        <w:rPr>
          <w:rFonts w:hint="eastAsia" w:ascii="Times New Roman" w:hAnsi="Times New Roman" w:eastAsia="仿宋" w:cs="Arial"/>
          <w:bCs/>
          <w:color w:val="auto"/>
          <w:kern w:val="24"/>
          <w:sz w:val="32"/>
          <w:lang w:val="en-US" w:eastAsia="zh-CN"/>
        </w:rPr>
        <w:t>PPIs</w:t>
      </w:r>
      <w:r>
        <w:rPr>
          <w:rFonts w:hint="eastAsia" w:ascii="Times New Roman" w:hAnsi="Times New Roman" w:eastAsia="仿宋" w:cs="Arial"/>
          <w:bCs/>
          <w:color w:val="auto"/>
          <w:kern w:val="24"/>
          <w:sz w:val="32"/>
        </w:rPr>
        <w:t>）广泛用于治疗急、慢性消化系统酸相关性疾病，包括胃食管反流病（</w:t>
      </w:r>
      <w:r>
        <w:rPr>
          <w:rFonts w:ascii="Times New Roman" w:hAnsi="Times New Roman" w:eastAsia="仿宋" w:cs="Arial"/>
          <w:bCs/>
          <w:color w:val="auto"/>
          <w:kern w:val="24"/>
          <w:sz w:val="32"/>
        </w:rPr>
        <w:t>Gastroesophageal Reflux Disease, GERD</w:t>
      </w:r>
      <w:r>
        <w:rPr>
          <w:rFonts w:hint="eastAsia" w:ascii="Times New Roman" w:hAnsi="Times New Roman" w:eastAsia="仿宋" w:cs="Arial"/>
          <w:bCs/>
          <w:color w:val="auto"/>
          <w:kern w:val="24"/>
          <w:sz w:val="32"/>
        </w:rPr>
        <w:t>）、卓-艾综合征、消化性溃疡、上消化道出血及相关疾病，根除幽门螺杆菌（</w:t>
      </w:r>
      <w:r>
        <w:rPr>
          <w:rFonts w:ascii="Times New Roman" w:hAnsi="Times New Roman" w:eastAsia="仿宋" w:cs="Arial"/>
          <w:bCs/>
          <w:i/>
          <w:color w:val="auto"/>
          <w:kern w:val="24"/>
          <w:sz w:val="32"/>
        </w:rPr>
        <w:t>Helicobacter pylori</w:t>
      </w:r>
      <w:r>
        <w:rPr>
          <w:rFonts w:hint="eastAsia" w:ascii="Times New Roman" w:hAnsi="Times New Roman" w:eastAsia="仿宋" w:cs="Arial"/>
          <w:bCs/>
          <w:color w:val="auto"/>
          <w:kern w:val="24"/>
          <w:sz w:val="32"/>
        </w:rPr>
        <w:t>，</w:t>
      </w:r>
      <w:r>
        <w:rPr>
          <w:rFonts w:ascii="Times New Roman" w:hAnsi="Times New Roman" w:eastAsia="仿宋" w:cs="Arial"/>
          <w:bCs/>
          <w:i/>
          <w:color w:val="auto"/>
          <w:kern w:val="24"/>
          <w:sz w:val="32"/>
        </w:rPr>
        <w:t>H.pylori</w:t>
      </w:r>
      <w:r>
        <w:rPr>
          <w:rFonts w:hint="eastAsia" w:ascii="Times New Roman" w:hAnsi="Times New Roman" w:eastAsia="仿宋" w:cs="Arial"/>
          <w:bCs/>
          <w:color w:val="auto"/>
          <w:kern w:val="24"/>
          <w:sz w:val="32"/>
        </w:rPr>
        <w:t>）感染，以及预防和治疗应激性胃黏膜病变等。近年来，</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的临床应用存在超适应证、超剂量、超疗程用药以及药物联合使用不当等情况，可能增加患者用药的风险以及经济负担。为了进一步规范</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的临床应用，特制订《</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临床应用指导原则》。</w:t>
      </w:r>
    </w:p>
    <w:p>
      <w:pPr>
        <w:pStyle w:val="3"/>
        <w:spacing w:before="240" w:line="600" w:lineRule="exact"/>
        <w:rPr>
          <w:color w:val="auto"/>
        </w:rPr>
      </w:pPr>
      <w:bookmarkStart w:id="1" w:name="_Toc535269720"/>
      <w:r>
        <w:rPr>
          <w:rFonts w:hint="eastAsia"/>
          <w:color w:val="auto"/>
        </w:rPr>
        <w:t>质子泵抑制剂合理应用的基本原则</w:t>
      </w:r>
      <w:bookmarkEnd w:id="1"/>
    </w:p>
    <w:p>
      <w:pPr>
        <w:pStyle w:val="4"/>
        <w:spacing w:line="600" w:lineRule="exact"/>
        <w:rPr>
          <w:b w:val="0"/>
          <w:bCs w:val="0"/>
          <w:color w:val="auto"/>
        </w:rPr>
      </w:pPr>
      <w:bookmarkStart w:id="2" w:name="_Toc535269721"/>
      <w:r>
        <w:rPr>
          <w:rFonts w:hint="eastAsia"/>
          <w:b w:val="0"/>
          <w:bCs w:val="0"/>
          <w:color w:val="auto"/>
        </w:rPr>
        <w:t>严格遵循适应证用药</w:t>
      </w:r>
      <w:bookmarkEnd w:id="2"/>
    </w:p>
    <w:p>
      <w:pPr>
        <w:pStyle w:val="17"/>
        <w:kinsoku w:val="0"/>
        <w:overflowPunct w:val="0"/>
        <w:spacing w:beforeAutospacing="0" w:afterAutospacing="0" w:line="600" w:lineRule="exact"/>
        <w:ind w:firstLine="640"/>
        <w:jc w:val="both"/>
        <w:rPr>
          <w:rFonts w:hint="eastAsia" w:ascii="Times New Roman" w:hAnsi="Times New Roman" w:eastAsia="仿宋" w:cs="Arial"/>
          <w:bCs/>
          <w:color w:val="auto"/>
          <w:kern w:val="24"/>
          <w:sz w:val="32"/>
        </w:rPr>
      </w:pPr>
      <w:r>
        <w:rPr>
          <w:rFonts w:hint="eastAsia" w:ascii="Times New Roman" w:hAnsi="Times New Roman" w:eastAsia="仿宋" w:cs="Arial"/>
          <w:bCs/>
          <w:color w:val="auto"/>
          <w:kern w:val="24"/>
          <w:sz w:val="32"/>
        </w:rPr>
        <w:t>依据《处方管理办法》，医师应当根据医疗、预防、保健需要，在明确诊断的基础上，按照诊疗规范、权威指南、药品说明书中的药品适应</w:t>
      </w:r>
      <w:r>
        <w:rPr>
          <w:rFonts w:hint="default" w:ascii="Times New Roman" w:hAnsi="Times New Roman" w:eastAsia="仿宋" w:cs="Arial"/>
          <w:bCs/>
          <w:color w:val="auto"/>
          <w:kern w:val="24"/>
          <w:sz w:val="32"/>
        </w:rPr>
        <w:t>症</w:t>
      </w:r>
      <w:r>
        <w:rPr>
          <w:rFonts w:hint="eastAsia" w:ascii="Times New Roman" w:hAnsi="Times New Roman" w:eastAsia="仿宋" w:cs="Arial"/>
          <w:bCs/>
          <w:color w:val="auto"/>
          <w:kern w:val="24"/>
          <w:sz w:val="32"/>
        </w:rPr>
        <w:t>、药理作用、用法用量、禁忌、不良反应和注意事项等开具处方。不同</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用于治疗各种酸相关性胃肠道疾病的适应证有所差异，见</w:t>
      </w:r>
      <w:r>
        <w:rPr>
          <w:color w:val="auto"/>
        </w:rPr>
        <w:fldChar w:fldCharType="begin"/>
      </w:r>
      <w:r>
        <w:rPr>
          <w:color w:val="auto"/>
        </w:rPr>
        <w:instrText xml:space="preserve"> REF _Ref527921569 \h  \* MERGEFORMAT </w:instrText>
      </w:r>
      <w:r>
        <w:rPr>
          <w:color w:val="auto"/>
        </w:rPr>
        <w:fldChar w:fldCharType="separate"/>
      </w:r>
      <w:r>
        <w:rPr>
          <w:rFonts w:hint="eastAsia" w:ascii="Times New Roman" w:hAnsi="Times New Roman" w:eastAsia="仿宋" w:cs="Arial"/>
          <w:bCs/>
          <w:color w:val="auto"/>
          <w:kern w:val="24"/>
          <w:sz w:val="32"/>
        </w:rPr>
        <w:t>表</w:t>
      </w:r>
      <w:r>
        <w:rPr>
          <w:rFonts w:ascii="Times New Roman" w:hAnsi="Times New Roman" w:eastAsia="仿宋" w:cs="Arial"/>
          <w:bCs/>
          <w:color w:val="auto"/>
          <w:kern w:val="24"/>
          <w:sz w:val="32"/>
        </w:rPr>
        <w:t>1- 1</w:t>
      </w:r>
      <w:r>
        <w:rPr>
          <w:color w:val="auto"/>
        </w:rPr>
        <w:fldChar w:fldCharType="end"/>
      </w:r>
      <w:r>
        <w:rPr>
          <w:rFonts w:hint="eastAsia" w:ascii="Times New Roman" w:hAnsi="Times New Roman" w:eastAsia="仿宋" w:cs="Arial"/>
          <w:bCs/>
          <w:color w:val="auto"/>
          <w:kern w:val="24"/>
          <w:sz w:val="32"/>
        </w:rPr>
        <w:t>和</w:t>
      </w:r>
      <w:r>
        <w:rPr>
          <w:rFonts w:ascii="Times New Roman" w:hAnsi="Times New Roman" w:eastAsia="仿宋" w:cs="Arial"/>
          <w:bCs/>
          <w:color w:val="auto"/>
          <w:kern w:val="24"/>
          <w:sz w:val="32"/>
        </w:rPr>
        <w:fldChar w:fldCharType="begin"/>
      </w:r>
      <w:r>
        <w:rPr>
          <w:rFonts w:ascii="Times New Roman" w:hAnsi="Times New Roman" w:eastAsia="仿宋" w:cs="Arial"/>
          <w:bCs/>
          <w:color w:val="auto"/>
          <w:kern w:val="24"/>
          <w:sz w:val="32"/>
        </w:rPr>
        <w:instrText xml:space="preserve"> REF _Ref527921074 \h  \* MERGEFORMAT </w:instrText>
      </w:r>
      <w:r>
        <w:rPr>
          <w:rFonts w:ascii="Times New Roman" w:hAnsi="Times New Roman" w:eastAsia="仿宋" w:cs="Arial"/>
          <w:bCs/>
          <w:color w:val="auto"/>
          <w:kern w:val="24"/>
          <w:sz w:val="32"/>
        </w:rPr>
        <w:fldChar w:fldCharType="separate"/>
      </w:r>
      <w:r>
        <w:rPr>
          <w:rFonts w:hint="eastAsia" w:ascii="Times New Roman" w:hAnsi="Times New Roman" w:eastAsia="仿宋" w:cs="Arial"/>
          <w:bCs/>
          <w:color w:val="auto"/>
          <w:kern w:val="24"/>
          <w:sz w:val="32"/>
        </w:rPr>
        <w:t>表</w:t>
      </w:r>
      <w:r>
        <w:rPr>
          <w:rFonts w:ascii="Times New Roman" w:hAnsi="Times New Roman" w:eastAsia="仿宋" w:cs="Arial"/>
          <w:bCs/>
          <w:color w:val="auto"/>
          <w:kern w:val="24"/>
          <w:sz w:val="32"/>
        </w:rPr>
        <w:t>1- 2</w:t>
      </w:r>
      <w:r>
        <w:rPr>
          <w:rFonts w:ascii="Times New Roman" w:hAnsi="Times New Roman" w:eastAsia="仿宋" w:cs="Arial"/>
          <w:bCs/>
          <w:color w:val="auto"/>
          <w:kern w:val="24"/>
          <w:sz w:val="32"/>
        </w:rPr>
        <w:fldChar w:fldCharType="end"/>
      </w:r>
      <w:r>
        <w:rPr>
          <w:rFonts w:hint="eastAsia" w:ascii="Times New Roman" w:hAnsi="Times New Roman" w:eastAsia="仿宋" w:cs="Arial"/>
          <w:bCs/>
          <w:color w:val="auto"/>
          <w:kern w:val="24"/>
          <w:sz w:val="32"/>
        </w:rPr>
        <w:t>。</w:t>
      </w:r>
      <w:bookmarkStart w:id="3" w:name="_Ref523164590"/>
    </w:p>
    <w:p>
      <w:pPr>
        <w:pStyle w:val="17"/>
        <w:kinsoku w:val="0"/>
        <w:overflowPunct w:val="0"/>
        <w:spacing w:line="600" w:lineRule="exact"/>
        <w:ind w:firstLine="640"/>
        <w:rPr>
          <w:rFonts w:hint="eastAsia" w:ascii="Times New Roman" w:hAnsi="Times New Roman" w:eastAsia="仿宋" w:cs="Arial"/>
          <w:bCs/>
          <w:color w:val="auto"/>
          <w:kern w:val="24"/>
          <w:sz w:val="32"/>
        </w:rPr>
      </w:pPr>
    </w:p>
    <w:p>
      <w:pPr>
        <w:pStyle w:val="17"/>
        <w:kinsoku w:val="0"/>
        <w:overflowPunct w:val="0"/>
        <w:spacing w:before="0" w:beforeAutospacing="0" w:after="0" w:afterAutospacing="0" w:line="360" w:lineRule="auto"/>
        <w:jc w:val="center"/>
        <w:rPr>
          <w:rFonts w:ascii="Times New Roman" w:hAnsi="Times New Roman"/>
          <w:color w:val="auto"/>
        </w:rPr>
      </w:pPr>
      <w:bookmarkStart w:id="4" w:name="_Ref527921569"/>
      <w:r>
        <w:rPr>
          <w:rFonts w:hint="eastAsia" w:ascii="Times New Roman" w:hAnsi="Times New Roman"/>
          <w:color w:val="auto"/>
        </w:rPr>
        <w:t>表</w:t>
      </w:r>
      <w:r>
        <w:rPr>
          <w:rFonts w:ascii="Times New Roman" w:hAnsi="Times New Roman"/>
          <w:color w:val="auto"/>
        </w:rPr>
        <w:t xml:space="preserve">1- </w:t>
      </w:r>
      <w:r>
        <w:rPr>
          <w:rFonts w:ascii="Times New Roman" w:hAnsi="Times New Roman"/>
          <w:color w:val="auto"/>
        </w:rPr>
        <w:fldChar w:fldCharType="begin"/>
      </w:r>
      <w:r>
        <w:rPr>
          <w:rFonts w:ascii="Times New Roman" w:hAnsi="Times New Roman"/>
          <w:color w:val="auto"/>
        </w:rPr>
        <w:instrText xml:space="preserve"> SEQ </w:instrText>
      </w:r>
      <w:r>
        <w:rPr>
          <w:rFonts w:hint="eastAsia" w:ascii="Times New Roman" w:hAnsi="Times New Roman"/>
          <w:color w:val="auto"/>
        </w:rPr>
        <w:instrText xml:space="preserve">表</w:instrText>
      </w:r>
      <w:r>
        <w:rPr>
          <w:rFonts w:ascii="Times New Roman" w:hAnsi="Times New Roman"/>
          <w:color w:val="auto"/>
        </w:rPr>
        <w:instrText xml:space="preserve">1- \* ARABIC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bookmarkEnd w:id="3"/>
      <w:bookmarkEnd w:id="4"/>
      <w:r>
        <w:rPr>
          <w:rFonts w:hint="eastAsia" w:ascii="Times New Roman" w:hAnsi="Times New Roman"/>
          <w:color w:val="auto"/>
        </w:rPr>
        <w:t>不同</w:t>
      </w:r>
      <w:r>
        <w:rPr>
          <w:rFonts w:hint="eastAsia" w:ascii="Times New Roman" w:hAnsi="Times New Roman"/>
          <w:color w:val="auto"/>
          <w:lang w:eastAsia="zh-CN"/>
        </w:rPr>
        <w:t>质子泵抑制剂</w:t>
      </w:r>
      <w:r>
        <w:rPr>
          <w:rFonts w:hint="eastAsia" w:ascii="Times New Roman" w:hAnsi="Times New Roman"/>
          <w:color w:val="auto"/>
        </w:rPr>
        <w:t>口服剂的适应证</w:t>
      </w:r>
    </w:p>
    <w:tbl>
      <w:tblPr>
        <w:tblStyle w:val="25"/>
        <w:tblpPr w:leftFromText="180" w:rightFromText="180" w:vertAnchor="text" w:horzAnchor="margin" w:tblpY="291"/>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1059"/>
        <w:gridCol w:w="1355"/>
        <w:gridCol w:w="1413"/>
        <w:gridCol w:w="1418"/>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blHeader/>
        </w:trPr>
        <w:tc>
          <w:tcPr>
            <w:tcW w:w="1951" w:type="dxa"/>
            <w:tcBorders>
              <w:top w:val="single" w:color="auto" w:sz="12" w:space="0"/>
              <w:bottom w:val="single" w:color="auto" w:sz="8" w:space="0"/>
              <w:tl2br w:val="single" w:color="auto" w:sz="8" w:space="0"/>
            </w:tcBorders>
          </w:tcPr>
          <w:p>
            <w:pPr>
              <w:pStyle w:val="17"/>
              <w:kinsoku w:val="0"/>
              <w:overflowPunct w:val="0"/>
              <w:spacing w:before="0" w:beforeAutospacing="0" w:after="0" w:afterAutospacing="0"/>
              <w:ind w:firstLine="1050" w:firstLineChars="50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适应证</w:t>
            </w:r>
          </w:p>
          <w:p>
            <w:pPr>
              <w:pStyle w:val="17"/>
              <w:kinsoku w:val="0"/>
              <w:overflowPunct w:val="0"/>
              <w:spacing w:before="0" w:beforeAutospacing="0" w:after="0" w:afterAutospacing="0"/>
              <w:jc w:val="both"/>
              <w:textAlignment w:val="baseline"/>
              <w:rPr>
                <w:rFonts w:hint="eastAsia" w:ascii="Times New Roman" w:hAnsi="Times New Roman" w:eastAsia="宋体" w:cs="Arial"/>
                <w:bCs/>
                <w:color w:val="auto"/>
                <w:kern w:val="24"/>
                <w:sz w:val="21"/>
                <w:szCs w:val="21"/>
                <w:lang w:eastAsia="zh-CN"/>
              </w:rPr>
            </w:pPr>
            <w:r>
              <w:rPr>
                <w:rFonts w:hint="eastAsia" w:ascii="Times New Roman" w:hAnsi="Times New Roman" w:cs="Arial"/>
                <w:bCs/>
                <w:color w:val="auto"/>
                <w:kern w:val="24"/>
                <w:sz w:val="21"/>
                <w:szCs w:val="21"/>
                <w:lang w:eastAsia="zh-CN"/>
              </w:rPr>
              <w:t>质子泵抑制剂</w:t>
            </w:r>
          </w:p>
        </w:tc>
        <w:tc>
          <w:tcPr>
            <w:tcW w:w="1059" w:type="dxa"/>
            <w:tcBorders>
              <w:top w:val="single" w:color="auto" w:sz="12" w:space="0"/>
              <w:bottom w:val="single" w:color="auto" w:sz="8"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ascii="Times New Roman" w:hAnsi="Times New Roman" w:cs="Arial"/>
                <w:bCs/>
                <w:color w:val="auto"/>
                <w:kern w:val="24"/>
                <w:sz w:val="21"/>
                <w:szCs w:val="21"/>
              </w:rPr>
              <w:t>GERD</w:t>
            </w:r>
          </w:p>
        </w:tc>
        <w:tc>
          <w:tcPr>
            <w:tcW w:w="1355" w:type="dxa"/>
            <w:tcBorders>
              <w:top w:val="single" w:color="auto" w:sz="12" w:space="0"/>
              <w:bottom w:val="single" w:color="auto" w:sz="8"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消化性溃疡</w:t>
            </w:r>
          </w:p>
        </w:tc>
        <w:tc>
          <w:tcPr>
            <w:tcW w:w="1413" w:type="dxa"/>
            <w:tcBorders>
              <w:top w:val="single" w:color="auto" w:sz="12" w:space="0"/>
              <w:bottom w:val="single" w:color="auto" w:sz="8"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ascii="Times New Roman" w:hAnsi="Times New Roman" w:cs="Arial"/>
                <w:bCs/>
                <w:color w:val="auto"/>
                <w:kern w:val="24"/>
                <w:sz w:val="21"/>
                <w:szCs w:val="21"/>
              </w:rPr>
              <w:t>NSAIDs</w:t>
            </w:r>
          </w:p>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相关性溃疡</w:t>
            </w:r>
          </w:p>
        </w:tc>
        <w:tc>
          <w:tcPr>
            <w:tcW w:w="1418" w:type="dxa"/>
            <w:tcBorders>
              <w:top w:val="single" w:color="auto" w:sz="12" w:space="0"/>
              <w:bottom w:val="single" w:color="auto" w:sz="8"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bCs/>
                <w:color w:val="auto"/>
                <w:sz w:val="21"/>
                <w:szCs w:val="21"/>
              </w:rPr>
              <w:t>卓</w:t>
            </w:r>
            <w:r>
              <w:rPr>
                <w:rFonts w:ascii="Times New Roman" w:hAnsi="Times New Roman"/>
                <w:bCs/>
                <w:color w:val="auto"/>
                <w:sz w:val="21"/>
                <w:szCs w:val="21"/>
              </w:rPr>
              <w:t>-</w:t>
            </w:r>
            <w:r>
              <w:rPr>
                <w:rFonts w:hint="eastAsia" w:ascii="Times New Roman" w:hAnsi="Times New Roman"/>
                <w:bCs/>
                <w:color w:val="auto"/>
                <w:sz w:val="21"/>
                <w:szCs w:val="21"/>
              </w:rPr>
              <w:t>艾综合征</w:t>
            </w:r>
          </w:p>
        </w:tc>
        <w:tc>
          <w:tcPr>
            <w:tcW w:w="1417" w:type="dxa"/>
            <w:tcBorders>
              <w:top w:val="single" w:color="auto" w:sz="12" w:space="0"/>
              <w:bottom w:val="single" w:color="auto" w:sz="8" w:space="0"/>
            </w:tcBorders>
          </w:tcPr>
          <w:p>
            <w:pPr>
              <w:pStyle w:val="17"/>
              <w:kinsoku w:val="0"/>
              <w:overflowPunct w:val="0"/>
              <w:spacing w:before="0" w:beforeAutospacing="0" w:after="0" w:afterAutospacing="0"/>
              <w:jc w:val="both"/>
              <w:textAlignment w:val="baseline"/>
              <w:rPr>
                <w:rFonts w:ascii="Times New Roman" w:hAnsi="Times New Roman"/>
                <w:bCs/>
                <w:color w:val="auto"/>
                <w:sz w:val="21"/>
                <w:szCs w:val="21"/>
              </w:rPr>
            </w:pPr>
            <w:r>
              <w:rPr>
                <w:rFonts w:ascii="Times New Roman" w:hAnsi="Times New Roman" w:cs="Arial"/>
                <w:bCs/>
                <w:i/>
                <w:color w:val="auto"/>
                <w:kern w:val="24"/>
                <w:sz w:val="21"/>
                <w:szCs w:val="21"/>
              </w:rPr>
              <w:t>H.pylori</w:t>
            </w:r>
            <w:r>
              <w:rPr>
                <w:rFonts w:hint="eastAsia" w:ascii="Times New Roman" w:hAnsi="Times New Roman" w:cs="Arial"/>
                <w:bCs/>
                <w:color w:val="auto"/>
                <w:kern w:val="24"/>
                <w:sz w:val="21"/>
                <w:szCs w:val="21"/>
              </w:rPr>
              <w:t>感染根除</w:t>
            </w:r>
            <w:r>
              <w:rPr>
                <w:rFonts w:ascii="Times New Roman" w:hAnsi="Times New Roman" w:cs="Arial"/>
                <w:bCs/>
                <w:color w:val="auto"/>
                <w:kern w:val="24"/>
                <w:sz w:val="21"/>
                <w:szCs w:val="21"/>
                <w:vertAlign w:val="superscript"/>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 w:hRule="atLeast"/>
          <w:tblHeader/>
        </w:trPr>
        <w:tc>
          <w:tcPr>
            <w:tcW w:w="1951" w:type="dxa"/>
            <w:tcBorders>
              <w:top w:val="single" w:color="auto" w:sz="8"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奥美拉唑</w:t>
            </w:r>
          </w:p>
        </w:tc>
        <w:tc>
          <w:tcPr>
            <w:tcW w:w="1059" w:type="dxa"/>
            <w:tcBorders>
              <w:top w:val="single" w:color="auto" w:sz="8" w:space="0"/>
            </w:tcBorders>
          </w:tcPr>
          <w:p>
            <w:pPr>
              <w:rPr>
                <w:rFonts w:eastAsia="宋体" w:cs="Arial"/>
                <w:bCs/>
                <w:color w:val="auto"/>
                <w:kern w:val="24"/>
                <w:sz w:val="21"/>
                <w:szCs w:val="21"/>
              </w:rPr>
            </w:pPr>
            <w:r>
              <w:rPr>
                <w:rFonts w:eastAsia="宋体" w:cs="Arial"/>
                <w:bCs/>
                <w:color w:val="auto"/>
                <w:kern w:val="24"/>
                <w:sz w:val="21"/>
                <w:szCs w:val="21"/>
              </w:rPr>
              <w:t>+</w:t>
            </w:r>
          </w:p>
        </w:tc>
        <w:tc>
          <w:tcPr>
            <w:tcW w:w="1355" w:type="dxa"/>
            <w:tcBorders>
              <w:top w:val="single" w:color="auto" w:sz="8" w:space="0"/>
            </w:tcBorders>
          </w:tcPr>
          <w:p>
            <w:pPr>
              <w:rPr>
                <w:rFonts w:eastAsia="宋体" w:cs="Arial"/>
                <w:bCs/>
                <w:color w:val="auto"/>
                <w:kern w:val="24"/>
                <w:sz w:val="21"/>
                <w:szCs w:val="21"/>
              </w:rPr>
            </w:pPr>
            <w:r>
              <w:rPr>
                <w:rFonts w:eastAsia="宋体" w:cs="Arial"/>
                <w:bCs/>
                <w:color w:val="auto"/>
                <w:kern w:val="24"/>
                <w:sz w:val="21"/>
                <w:szCs w:val="21"/>
              </w:rPr>
              <w:t>+</w:t>
            </w:r>
          </w:p>
        </w:tc>
        <w:tc>
          <w:tcPr>
            <w:tcW w:w="1413" w:type="dxa"/>
            <w:tcBorders>
              <w:top w:val="single" w:color="auto" w:sz="8" w:space="0"/>
            </w:tcBorders>
          </w:tcPr>
          <w:p>
            <w:pPr>
              <w:rPr>
                <w:rFonts w:eastAsia="宋体" w:cs="Arial"/>
                <w:bCs/>
                <w:color w:val="auto"/>
                <w:kern w:val="24"/>
                <w:sz w:val="21"/>
                <w:szCs w:val="21"/>
              </w:rPr>
            </w:pPr>
            <w:r>
              <w:rPr>
                <w:rFonts w:eastAsia="宋体" w:cs="Arial"/>
                <w:bCs/>
                <w:color w:val="auto"/>
                <w:kern w:val="24"/>
                <w:sz w:val="21"/>
                <w:szCs w:val="21"/>
              </w:rPr>
              <w:t>+</w:t>
            </w:r>
            <w:r>
              <w:rPr>
                <w:rFonts w:eastAsia="宋体" w:cs="Arial"/>
                <w:bCs/>
                <w:color w:val="auto"/>
                <w:kern w:val="24"/>
                <w:sz w:val="21"/>
                <w:szCs w:val="21"/>
                <w:vertAlign w:val="superscript"/>
              </w:rPr>
              <w:t>*</w:t>
            </w:r>
          </w:p>
        </w:tc>
        <w:tc>
          <w:tcPr>
            <w:tcW w:w="1418" w:type="dxa"/>
            <w:tcBorders>
              <w:top w:val="single" w:color="auto" w:sz="8" w:space="0"/>
            </w:tcBorders>
            <w:shd w:val="clear" w:color="auto" w:fill="auto"/>
          </w:tcPr>
          <w:p>
            <w:pPr>
              <w:rPr>
                <w:rFonts w:eastAsia="宋体" w:cs="Arial"/>
                <w:bCs/>
                <w:color w:val="auto"/>
                <w:kern w:val="24"/>
                <w:sz w:val="21"/>
                <w:szCs w:val="21"/>
              </w:rPr>
            </w:pPr>
            <w:r>
              <w:rPr>
                <w:rFonts w:eastAsia="宋体" w:cs="Arial"/>
                <w:bCs/>
                <w:color w:val="auto"/>
                <w:kern w:val="24"/>
                <w:sz w:val="21"/>
                <w:szCs w:val="21"/>
              </w:rPr>
              <w:t>+</w:t>
            </w:r>
          </w:p>
        </w:tc>
        <w:tc>
          <w:tcPr>
            <w:tcW w:w="1417" w:type="dxa"/>
            <w:tcBorders>
              <w:top w:val="single" w:color="auto" w:sz="8" w:space="0"/>
            </w:tcBorders>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 w:hRule="atLeast"/>
          <w:tblHeader/>
        </w:trPr>
        <w:tc>
          <w:tcPr>
            <w:tcW w:w="1951" w:type="dxa"/>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兰索拉唑</w:t>
            </w:r>
          </w:p>
        </w:tc>
        <w:tc>
          <w:tcPr>
            <w:tcW w:w="1059" w:type="dxa"/>
          </w:tcPr>
          <w:p>
            <w:pPr>
              <w:rPr>
                <w:rFonts w:eastAsia="宋体" w:cs="Arial"/>
                <w:bCs/>
                <w:color w:val="auto"/>
                <w:kern w:val="24"/>
                <w:sz w:val="21"/>
                <w:szCs w:val="21"/>
              </w:rPr>
            </w:pPr>
            <w:r>
              <w:rPr>
                <w:rFonts w:eastAsia="宋体" w:cs="Arial"/>
                <w:bCs/>
                <w:color w:val="auto"/>
                <w:kern w:val="24"/>
                <w:sz w:val="21"/>
                <w:szCs w:val="21"/>
              </w:rPr>
              <w:t>+</w:t>
            </w:r>
          </w:p>
        </w:tc>
        <w:tc>
          <w:tcPr>
            <w:tcW w:w="1355" w:type="dxa"/>
          </w:tcPr>
          <w:p>
            <w:pPr>
              <w:rPr>
                <w:rFonts w:eastAsia="宋体" w:cs="Arial"/>
                <w:bCs/>
                <w:color w:val="auto"/>
                <w:kern w:val="24"/>
                <w:sz w:val="21"/>
                <w:szCs w:val="21"/>
              </w:rPr>
            </w:pPr>
            <w:r>
              <w:rPr>
                <w:rFonts w:eastAsia="宋体" w:cs="Arial"/>
                <w:bCs/>
                <w:color w:val="auto"/>
                <w:kern w:val="24"/>
                <w:sz w:val="21"/>
                <w:szCs w:val="21"/>
              </w:rPr>
              <w:t>+</w:t>
            </w:r>
          </w:p>
        </w:tc>
        <w:tc>
          <w:tcPr>
            <w:tcW w:w="1413" w:type="dxa"/>
          </w:tcPr>
          <w:p>
            <w:pPr>
              <w:rPr>
                <w:rFonts w:eastAsia="宋体" w:cs="Arial"/>
                <w:bCs/>
                <w:color w:val="auto"/>
                <w:kern w:val="24"/>
                <w:sz w:val="21"/>
                <w:szCs w:val="21"/>
              </w:rPr>
            </w:pPr>
          </w:p>
        </w:tc>
        <w:tc>
          <w:tcPr>
            <w:tcW w:w="1418" w:type="dxa"/>
            <w:shd w:val="clear" w:color="auto" w:fill="auto"/>
          </w:tcPr>
          <w:p>
            <w:pPr>
              <w:rPr>
                <w:rFonts w:eastAsia="宋体" w:cs="Arial"/>
                <w:bCs/>
                <w:color w:val="auto"/>
                <w:kern w:val="24"/>
                <w:sz w:val="21"/>
                <w:szCs w:val="21"/>
              </w:rPr>
            </w:pPr>
            <w:r>
              <w:rPr>
                <w:rFonts w:eastAsia="宋体" w:cs="Arial"/>
                <w:bCs/>
                <w:color w:val="auto"/>
                <w:kern w:val="24"/>
                <w:sz w:val="21"/>
                <w:szCs w:val="21"/>
              </w:rPr>
              <w:t>+</w:t>
            </w:r>
          </w:p>
        </w:tc>
        <w:tc>
          <w:tcPr>
            <w:tcW w:w="1417" w:type="dxa"/>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 w:hRule="atLeast"/>
          <w:tblHeader/>
        </w:trPr>
        <w:tc>
          <w:tcPr>
            <w:tcW w:w="1951" w:type="dxa"/>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泮托拉唑</w:t>
            </w:r>
          </w:p>
        </w:tc>
        <w:tc>
          <w:tcPr>
            <w:tcW w:w="1059" w:type="dxa"/>
          </w:tcPr>
          <w:p>
            <w:pPr>
              <w:rPr>
                <w:rFonts w:eastAsia="宋体" w:cs="Arial"/>
                <w:bCs/>
                <w:color w:val="auto"/>
                <w:kern w:val="24"/>
                <w:sz w:val="21"/>
                <w:szCs w:val="21"/>
              </w:rPr>
            </w:pPr>
            <w:r>
              <w:rPr>
                <w:rFonts w:eastAsia="宋体" w:cs="Arial"/>
                <w:bCs/>
                <w:color w:val="auto"/>
                <w:kern w:val="24"/>
                <w:sz w:val="21"/>
                <w:szCs w:val="21"/>
              </w:rPr>
              <w:t>+</w:t>
            </w:r>
          </w:p>
        </w:tc>
        <w:tc>
          <w:tcPr>
            <w:tcW w:w="1355" w:type="dxa"/>
          </w:tcPr>
          <w:p>
            <w:pPr>
              <w:rPr>
                <w:rFonts w:eastAsia="宋体" w:cs="Arial"/>
                <w:bCs/>
                <w:color w:val="auto"/>
                <w:kern w:val="24"/>
                <w:sz w:val="21"/>
                <w:szCs w:val="21"/>
              </w:rPr>
            </w:pPr>
            <w:r>
              <w:rPr>
                <w:rFonts w:eastAsia="宋体" w:cs="Arial"/>
                <w:bCs/>
                <w:color w:val="auto"/>
                <w:kern w:val="24"/>
                <w:sz w:val="21"/>
                <w:szCs w:val="21"/>
              </w:rPr>
              <w:t>+</w:t>
            </w:r>
          </w:p>
        </w:tc>
        <w:tc>
          <w:tcPr>
            <w:tcW w:w="1413" w:type="dxa"/>
          </w:tcPr>
          <w:p>
            <w:pPr>
              <w:rPr>
                <w:rFonts w:eastAsia="宋体" w:cs="Arial"/>
                <w:bCs/>
                <w:color w:val="auto"/>
                <w:kern w:val="24"/>
                <w:sz w:val="21"/>
                <w:szCs w:val="21"/>
              </w:rPr>
            </w:pPr>
          </w:p>
        </w:tc>
        <w:tc>
          <w:tcPr>
            <w:tcW w:w="1418" w:type="dxa"/>
            <w:shd w:val="clear" w:color="auto" w:fill="auto"/>
          </w:tcPr>
          <w:p>
            <w:pPr>
              <w:rPr>
                <w:rFonts w:eastAsia="宋体" w:cs="Arial"/>
                <w:bCs/>
                <w:color w:val="auto"/>
                <w:kern w:val="24"/>
                <w:sz w:val="21"/>
                <w:szCs w:val="21"/>
              </w:rPr>
            </w:pPr>
          </w:p>
        </w:tc>
        <w:tc>
          <w:tcPr>
            <w:tcW w:w="1417" w:type="dxa"/>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3" w:hRule="atLeast"/>
          <w:tblHeader/>
        </w:trPr>
        <w:tc>
          <w:tcPr>
            <w:tcW w:w="1951" w:type="dxa"/>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雷贝拉唑</w:t>
            </w:r>
          </w:p>
        </w:tc>
        <w:tc>
          <w:tcPr>
            <w:tcW w:w="1059" w:type="dxa"/>
          </w:tcPr>
          <w:p>
            <w:pPr>
              <w:rPr>
                <w:rFonts w:eastAsia="宋体" w:cs="Arial"/>
                <w:bCs/>
                <w:color w:val="auto"/>
                <w:kern w:val="24"/>
                <w:sz w:val="21"/>
                <w:szCs w:val="21"/>
              </w:rPr>
            </w:pPr>
            <w:r>
              <w:rPr>
                <w:rFonts w:eastAsia="宋体" w:cs="Arial"/>
                <w:bCs/>
                <w:color w:val="auto"/>
                <w:kern w:val="24"/>
                <w:sz w:val="21"/>
                <w:szCs w:val="21"/>
              </w:rPr>
              <w:t>+</w:t>
            </w:r>
          </w:p>
        </w:tc>
        <w:tc>
          <w:tcPr>
            <w:tcW w:w="1355" w:type="dxa"/>
          </w:tcPr>
          <w:p>
            <w:pPr>
              <w:rPr>
                <w:rFonts w:eastAsia="宋体" w:cs="Arial"/>
                <w:bCs/>
                <w:color w:val="auto"/>
                <w:kern w:val="24"/>
                <w:sz w:val="21"/>
                <w:szCs w:val="21"/>
              </w:rPr>
            </w:pPr>
            <w:r>
              <w:rPr>
                <w:rFonts w:eastAsia="宋体" w:cs="Arial"/>
                <w:bCs/>
                <w:color w:val="auto"/>
                <w:kern w:val="24"/>
                <w:sz w:val="21"/>
                <w:szCs w:val="21"/>
              </w:rPr>
              <w:t>+</w:t>
            </w:r>
          </w:p>
        </w:tc>
        <w:tc>
          <w:tcPr>
            <w:tcW w:w="1413" w:type="dxa"/>
          </w:tcPr>
          <w:p>
            <w:pPr>
              <w:rPr>
                <w:rFonts w:eastAsia="宋体" w:cs="Arial"/>
                <w:bCs/>
                <w:color w:val="auto"/>
                <w:kern w:val="24"/>
                <w:sz w:val="21"/>
                <w:szCs w:val="21"/>
              </w:rPr>
            </w:pPr>
          </w:p>
        </w:tc>
        <w:tc>
          <w:tcPr>
            <w:tcW w:w="1418" w:type="dxa"/>
            <w:shd w:val="clear" w:color="auto" w:fill="auto"/>
          </w:tcPr>
          <w:p>
            <w:pPr>
              <w:rPr>
                <w:rFonts w:eastAsia="宋体" w:cs="Arial"/>
                <w:bCs/>
                <w:color w:val="auto"/>
                <w:kern w:val="24"/>
                <w:sz w:val="21"/>
                <w:szCs w:val="21"/>
              </w:rPr>
            </w:pPr>
            <w:r>
              <w:rPr>
                <w:rFonts w:eastAsia="宋体" w:cs="Arial"/>
                <w:bCs/>
                <w:color w:val="auto"/>
                <w:kern w:val="24"/>
                <w:sz w:val="21"/>
                <w:szCs w:val="21"/>
              </w:rPr>
              <w:t>+</w:t>
            </w:r>
          </w:p>
        </w:tc>
        <w:tc>
          <w:tcPr>
            <w:tcW w:w="1417" w:type="dxa"/>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blHeader/>
        </w:trPr>
        <w:tc>
          <w:tcPr>
            <w:tcW w:w="1951" w:type="dxa"/>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艾司奥美拉唑</w:t>
            </w:r>
          </w:p>
        </w:tc>
        <w:tc>
          <w:tcPr>
            <w:tcW w:w="1059" w:type="dxa"/>
          </w:tcPr>
          <w:p>
            <w:pPr>
              <w:rPr>
                <w:rFonts w:eastAsia="宋体" w:cs="Arial"/>
                <w:bCs/>
                <w:color w:val="auto"/>
                <w:kern w:val="24"/>
                <w:sz w:val="21"/>
                <w:szCs w:val="21"/>
              </w:rPr>
            </w:pPr>
            <w:r>
              <w:rPr>
                <w:rFonts w:eastAsia="宋体" w:cs="Arial"/>
                <w:bCs/>
                <w:color w:val="auto"/>
                <w:kern w:val="24"/>
                <w:sz w:val="21"/>
                <w:szCs w:val="21"/>
              </w:rPr>
              <w:t>+</w:t>
            </w:r>
          </w:p>
        </w:tc>
        <w:tc>
          <w:tcPr>
            <w:tcW w:w="1355" w:type="dxa"/>
          </w:tcPr>
          <w:p>
            <w:pPr>
              <w:rPr>
                <w:rFonts w:eastAsia="宋体" w:cs="Arial"/>
                <w:bCs/>
                <w:color w:val="auto"/>
                <w:kern w:val="24"/>
                <w:sz w:val="21"/>
                <w:szCs w:val="21"/>
              </w:rPr>
            </w:pPr>
          </w:p>
        </w:tc>
        <w:tc>
          <w:tcPr>
            <w:tcW w:w="1413" w:type="dxa"/>
          </w:tcPr>
          <w:p>
            <w:pPr>
              <w:rPr>
                <w:rFonts w:eastAsia="宋体" w:cs="Arial"/>
                <w:bCs/>
                <w:color w:val="auto"/>
                <w:kern w:val="24"/>
                <w:sz w:val="21"/>
                <w:szCs w:val="21"/>
              </w:rPr>
            </w:pPr>
            <w:r>
              <w:rPr>
                <w:rFonts w:eastAsia="宋体" w:cs="Arial"/>
                <w:bCs/>
                <w:color w:val="auto"/>
                <w:kern w:val="24"/>
                <w:sz w:val="21"/>
                <w:szCs w:val="21"/>
              </w:rPr>
              <w:t>+</w:t>
            </w:r>
          </w:p>
        </w:tc>
        <w:tc>
          <w:tcPr>
            <w:tcW w:w="1418" w:type="dxa"/>
            <w:shd w:val="clear" w:color="auto" w:fill="auto"/>
          </w:tcPr>
          <w:p>
            <w:pPr>
              <w:rPr>
                <w:rFonts w:eastAsia="宋体" w:cs="Arial"/>
                <w:bCs/>
                <w:color w:val="auto"/>
                <w:kern w:val="24"/>
                <w:sz w:val="21"/>
                <w:szCs w:val="21"/>
              </w:rPr>
            </w:pPr>
          </w:p>
        </w:tc>
        <w:tc>
          <w:tcPr>
            <w:tcW w:w="1417" w:type="dxa"/>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blHeader/>
        </w:trPr>
        <w:tc>
          <w:tcPr>
            <w:tcW w:w="1951" w:type="dxa"/>
            <w:tcBorders>
              <w:bottom w:val="single" w:color="auto" w:sz="12" w:space="0"/>
            </w:tcBorders>
          </w:tcPr>
          <w:p>
            <w:pPr>
              <w:pStyle w:val="17"/>
              <w:kinsoku w:val="0"/>
              <w:overflowPunct w:val="0"/>
              <w:spacing w:before="0" w:beforeAutospacing="0" w:after="0" w:afterAutospacing="0"/>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艾普拉唑</w:t>
            </w:r>
          </w:p>
        </w:tc>
        <w:tc>
          <w:tcPr>
            <w:tcW w:w="1059" w:type="dxa"/>
            <w:tcBorders>
              <w:bottom w:val="single" w:color="auto" w:sz="12" w:space="0"/>
            </w:tcBorders>
          </w:tcPr>
          <w:p>
            <w:pPr>
              <w:rPr>
                <w:rFonts w:eastAsia="宋体" w:cs="Arial"/>
                <w:bCs/>
                <w:color w:val="auto"/>
                <w:kern w:val="24"/>
                <w:sz w:val="21"/>
                <w:szCs w:val="21"/>
              </w:rPr>
            </w:pPr>
            <w:r>
              <w:rPr>
                <w:rFonts w:eastAsia="宋体" w:cs="Arial"/>
                <w:bCs/>
                <w:color w:val="auto"/>
                <w:kern w:val="24"/>
                <w:sz w:val="21"/>
                <w:szCs w:val="21"/>
              </w:rPr>
              <w:t>+</w:t>
            </w:r>
          </w:p>
        </w:tc>
        <w:tc>
          <w:tcPr>
            <w:tcW w:w="1355" w:type="dxa"/>
            <w:tcBorders>
              <w:bottom w:val="single" w:color="auto" w:sz="12" w:space="0"/>
            </w:tcBorders>
          </w:tcPr>
          <w:p>
            <w:pPr>
              <w:rPr>
                <w:rFonts w:eastAsia="宋体" w:cs="Arial"/>
                <w:bCs/>
                <w:color w:val="auto"/>
                <w:kern w:val="24"/>
                <w:sz w:val="21"/>
                <w:szCs w:val="21"/>
              </w:rPr>
            </w:pPr>
            <w:r>
              <w:rPr>
                <w:rFonts w:eastAsia="宋体" w:cs="Arial"/>
                <w:bCs/>
                <w:color w:val="auto"/>
                <w:kern w:val="24"/>
                <w:sz w:val="21"/>
                <w:szCs w:val="21"/>
              </w:rPr>
              <w:t>+</w:t>
            </w:r>
          </w:p>
        </w:tc>
        <w:tc>
          <w:tcPr>
            <w:tcW w:w="1413" w:type="dxa"/>
            <w:tcBorders>
              <w:bottom w:val="single" w:color="auto" w:sz="12" w:space="0"/>
            </w:tcBorders>
          </w:tcPr>
          <w:p>
            <w:pPr>
              <w:rPr>
                <w:rFonts w:eastAsia="宋体" w:cs="Arial"/>
                <w:bCs/>
                <w:color w:val="auto"/>
                <w:kern w:val="24"/>
                <w:sz w:val="21"/>
                <w:szCs w:val="21"/>
              </w:rPr>
            </w:pPr>
          </w:p>
        </w:tc>
        <w:tc>
          <w:tcPr>
            <w:tcW w:w="1418" w:type="dxa"/>
            <w:tcBorders>
              <w:bottom w:val="single" w:color="auto" w:sz="12" w:space="0"/>
            </w:tcBorders>
            <w:shd w:val="clear" w:color="auto" w:fill="auto"/>
          </w:tcPr>
          <w:p>
            <w:pPr>
              <w:rPr>
                <w:rFonts w:eastAsia="宋体" w:cs="Arial"/>
                <w:bCs/>
                <w:color w:val="auto"/>
                <w:kern w:val="24"/>
                <w:sz w:val="21"/>
                <w:szCs w:val="21"/>
              </w:rPr>
            </w:pPr>
          </w:p>
        </w:tc>
        <w:tc>
          <w:tcPr>
            <w:tcW w:w="1417" w:type="dxa"/>
            <w:tcBorders>
              <w:bottom w:val="single" w:color="auto" w:sz="12" w:space="0"/>
            </w:tcBorders>
          </w:tcPr>
          <w:p>
            <w:pPr>
              <w:rPr>
                <w:rFonts w:eastAsia="宋体" w:cs="Arial"/>
                <w:bCs/>
                <w:color w:val="auto"/>
                <w:kern w:val="24"/>
                <w:sz w:val="21"/>
                <w:szCs w:val="21"/>
              </w:rPr>
            </w:pPr>
            <w:r>
              <w:rPr>
                <w:rFonts w:eastAsia="宋体" w:cs="Arial"/>
                <w:bCs/>
                <w:color w:val="auto"/>
                <w:kern w:val="24"/>
                <w:sz w:val="21"/>
                <w:szCs w:val="21"/>
                <w:highlight w:val="none"/>
              </w:rPr>
              <w:t>+</w:t>
            </w:r>
          </w:p>
        </w:tc>
      </w:tr>
    </w:tbl>
    <w:p>
      <w:pPr>
        <w:widowControl/>
        <w:spacing w:line="240" w:lineRule="auto"/>
        <w:jc w:val="left"/>
        <w:rPr>
          <w:rFonts w:eastAsia="宋体"/>
          <w:color w:val="auto"/>
          <w:sz w:val="21"/>
          <w:szCs w:val="24"/>
        </w:rPr>
      </w:pPr>
      <w:bookmarkStart w:id="5" w:name="_Ref523164593"/>
      <w:r>
        <w:rPr>
          <w:rFonts w:hint="eastAsia" w:eastAsia="宋体"/>
          <w:color w:val="auto"/>
          <w:sz w:val="21"/>
          <w:szCs w:val="24"/>
        </w:rPr>
        <w:t>备注：GERD 胃食管反流病；NSAIDs</w:t>
      </w:r>
      <w:r>
        <w:rPr>
          <w:rFonts w:hint="default" w:eastAsia="宋体"/>
          <w:color w:val="auto"/>
          <w:sz w:val="21"/>
          <w:szCs w:val="24"/>
        </w:rPr>
        <w:t xml:space="preserve"> </w:t>
      </w:r>
      <w:r>
        <w:rPr>
          <w:rFonts w:hint="eastAsia" w:eastAsia="宋体"/>
          <w:color w:val="auto"/>
          <w:sz w:val="21"/>
          <w:szCs w:val="24"/>
        </w:rPr>
        <w:t>非甾体抗炎药；</w:t>
      </w:r>
      <w:r>
        <w:rPr>
          <w:rFonts w:eastAsia="宋体"/>
          <w:color w:val="auto"/>
          <w:sz w:val="21"/>
          <w:szCs w:val="24"/>
          <w:vertAlign w:val="superscript"/>
        </w:rPr>
        <w:t>*</w:t>
      </w:r>
      <w:r>
        <w:rPr>
          <w:rFonts w:hint="eastAsia" w:eastAsia="宋体"/>
          <w:color w:val="auto"/>
          <w:sz w:val="21"/>
          <w:szCs w:val="24"/>
        </w:rPr>
        <w:t>包括预防NSAIDs相关性溃疡；</w:t>
      </w:r>
    </w:p>
    <w:p>
      <w:pPr>
        <w:widowControl/>
        <w:spacing w:line="240" w:lineRule="auto"/>
        <w:jc w:val="left"/>
        <w:rPr>
          <w:rFonts w:eastAsia="宋体"/>
          <w:color w:val="auto"/>
          <w:sz w:val="21"/>
          <w:szCs w:val="24"/>
        </w:rPr>
      </w:pPr>
      <w:r>
        <w:rPr>
          <w:rFonts w:hint="eastAsia" w:eastAsia="宋体"/>
          <w:color w:val="auto"/>
          <w:sz w:val="21"/>
          <w:szCs w:val="24"/>
        </w:rPr>
        <w:t>参考信息来自原研药的药品说明书，</w:t>
      </w:r>
      <w:r>
        <w:rPr>
          <w:rFonts w:eastAsia="宋体"/>
          <w:color w:val="auto"/>
          <w:sz w:val="21"/>
          <w:szCs w:val="24"/>
          <w:vertAlign w:val="superscript"/>
        </w:rPr>
        <w:t>**</w:t>
      </w:r>
      <w:r>
        <w:rPr>
          <w:rFonts w:hint="eastAsia" w:eastAsia="宋体"/>
          <w:color w:val="auto"/>
          <w:sz w:val="21"/>
          <w:szCs w:val="24"/>
          <w:vertAlign w:val="baseline"/>
        </w:rPr>
        <w:t>参考</w:t>
      </w:r>
      <w:r>
        <w:rPr>
          <w:rFonts w:hint="eastAsia" w:eastAsia="宋体"/>
          <w:color w:val="auto"/>
          <w:sz w:val="21"/>
          <w:szCs w:val="24"/>
        </w:rPr>
        <w:t>《</w:t>
      </w:r>
      <w:r>
        <w:rPr>
          <w:rFonts w:hint="eastAsia" w:eastAsia="宋体"/>
          <w:color w:val="auto"/>
          <w:sz w:val="21"/>
          <w:szCs w:val="24"/>
          <w:vertAlign w:val="baseline"/>
        </w:rPr>
        <w:t>第五次全国幽门螺杆菌感染处理共识报告</w:t>
      </w:r>
      <w:r>
        <w:rPr>
          <w:rFonts w:hint="eastAsia" w:eastAsia="宋体"/>
          <w:color w:val="auto"/>
          <w:sz w:val="21"/>
          <w:szCs w:val="24"/>
        </w:rPr>
        <w:t>》。</w:t>
      </w:r>
    </w:p>
    <w:p>
      <w:pPr>
        <w:widowControl/>
        <w:spacing w:line="240" w:lineRule="auto"/>
        <w:jc w:val="left"/>
        <w:rPr>
          <w:rFonts w:eastAsia="宋体"/>
          <w:color w:val="auto"/>
          <w:sz w:val="21"/>
          <w:szCs w:val="24"/>
        </w:rPr>
      </w:pPr>
      <w:r>
        <w:rPr>
          <w:rFonts w:eastAsia="宋体"/>
          <w:color w:val="auto"/>
          <w:sz w:val="21"/>
          <w:szCs w:val="24"/>
        </w:rPr>
        <w:br w:type="page"/>
      </w:r>
    </w:p>
    <w:tbl>
      <w:tblPr>
        <w:tblStyle w:val="25"/>
        <w:tblpPr w:leftFromText="180" w:rightFromText="180" w:vertAnchor="text" w:horzAnchor="margin" w:tblpX="-416" w:tblpY="721"/>
        <w:tblW w:w="8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902"/>
        <w:gridCol w:w="959"/>
        <w:gridCol w:w="1392"/>
        <w:gridCol w:w="1072"/>
        <w:gridCol w:w="1071"/>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2061" w:type="dxa"/>
            <w:tcBorders>
              <w:top w:val="single" w:color="auto" w:sz="12" w:space="0"/>
              <w:bottom w:val="single" w:color="auto" w:sz="8" w:space="0"/>
              <w:tl2br w:val="single" w:color="auto" w:sz="8" w:space="0"/>
            </w:tcBorders>
          </w:tcPr>
          <w:p>
            <w:pPr>
              <w:pStyle w:val="17"/>
              <w:kinsoku w:val="0"/>
              <w:overflowPunct w:val="0"/>
              <w:spacing w:before="0" w:beforeAutospacing="0" w:after="0" w:afterAutospacing="0"/>
              <w:ind w:firstLine="630" w:firstLineChars="300"/>
              <w:textAlignment w:val="baseline"/>
              <w:rPr>
                <w:rFonts w:ascii="Times New Roman" w:hAnsi="Times New Roman" w:cs="Arial"/>
                <w:bCs/>
                <w:color w:val="auto"/>
                <w:kern w:val="24"/>
                <w:sz w:val="21"/>
                <w:szCs w:val="21"/>
              </w:rPr>
            </w:pPr>
            <w:r>
              <w:rPr>
                <w:color w:val="auto"/>
                <w:sz w:val="21"/>
              </w:rPr>
              <w:br w:type="page"/>
            </w:r>
            <w:bookmarkEnd w:id="5"/>
            <w:r>
              <w:rPr>
                <w:rFonts w:hint="eastAsia" w:ascii="Times New Roman" w:hAnsi="Times New Roman" w:cs="Arial"/>
                <w:bCs/>
                <w:color w:val="auto"/>
                <w:kern w:val="24"/>
                <w:sz w:val="21"/>
                <w:szCs w:val="21"/>
              </w:rPr>
              <w:t>适应证</w:t>
            </w:r>
          </w:p>
          <w:p>
            <w:pPr>
              <w:pStyle w:val="17"/>
              <w:kinsoku w:val="0"/>
              <w:overflowPunct w:val="0"/>
              <w:spacing w:before="0" w:beforeAutospacing="0" w:after="0" w:afterAutospacing="0"/>
              <w:textAlignment w:val="baseline"/>
              <w:rPr>
                <w:rFonts w:hint="eastAsia" w:ascii="Times New Roman" w:hAnsi="Times New Roman" w:eastAsia="宋体" w:cs="Arial"/>
                <w:bCs/>
                <w:color w:val="auto"/>
                <w:kern w:val="24"/>
                <w:sz w:val="21"/>
                <w:szCs w:val="21"/>
                <w:lang w:eastAsia="zh-CN"/>
              </w:rPr>
            </w:pPr>
            <w:r>
              <w:rPr>
                <w:rFonts w:hint="eastAsia" w:ascii="Times New Roman" w:hAnsi="Times New Roman" w:cs="Arial"/>
                <w:bCs/>
                <w:color w:val="auto"/>
                <w:kern w:val="24"/>
                <w:sz w:val="21"/>
                <w:szCs w:val="21"/>
                <w:lang w:eastAsia="zh-CN"/>
              </w:rPr>
              <w:t>质子泵抑制剂</w:t>
            </w:r>
          </w:p>
        </w:tc>
        <w:tc>
          <w:tcPr>
            <w:tcW w:w="902"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ascii="Times New Roman" w:hAnsi="Times New Roman" w:cs="Arial"/>
                <w:bCs/>
                <w:color w:val="auto"/>
                <w:kern w:val="24"/>
                <w:sz w:val="21"/>
                <w:szCs w:val="21"/>
              </w:rPr>
              <w:t>GERD</w:t>
            </w:r>
          </w:p>
        </w:tc>
        <w:tc>
          <w:tcPr>
            <w:tcW w:w="959"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消化性溃疡</w:t>
            </w:r>
          </w:p>
        </w:tc>
        <w:tc>
          <w:tcPr>
            <w:tcW w:w="1392"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ascii="Times New Roman" w:hAnsi="Times New Roman" w:cs="Arial"/>
                <w:bCs/>
                <w:color w:val="auto"/>
                <w:kern w:val="24"/>
                <w:sz w:val="21"/>
                <w:szCs w:val="21"/>
              </w:rPr>
              <w:t>NSAIDs</w:t>
            </w:r>
          </w:p>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相关性溃疡</w:t>
            </w:r>
          </w:p>
        </w:tc>
        <w:tc>
          <w:tcPr>
            <w:tcW w:w="1072"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hint="eastAsia" w:ascii="Times New Roman" w:hAnsi="Times New Roman"/>
                <w:bCs/>
                <w:color w:val="auto"/>
                <w:sz w:val="21"/>
                <w:szCs w:val="21"/>
              </w:rPr>
              <w:t>卓</w:t>
            </w:r>
            <w:r>
              <w:rPr>
                <w:rFonts w:ascii="Times New Roman" w:hAnsi="Times New Roman"/>
                <w:bCs/>
                <w:color w:val="auto"/>
                <w:sz w:val="21"/>
                <w:szCs w:val="21"/>
              </w:rPr>
              <w:t>-</w:t>
            </w:r>
            <w:r>
              <w:rPr>
                <w:rFonts w:hint="eastAsia" w:ascii="Times New Roman" w:hAnsi="Times New Roman"/>
                <w:bCs/>
                <w:color w:val="auto"/>
                <w:sz w:val="21"/>
                <w:szCs w:val="21"/>
              </w:rPr>
              <w:t>艾综合征</w:t>
            </w:r>
          </w:p>
        </w:tc>
        <w:tc>
          <w:tcPr>
            <w:tcW w:w="1071"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上消化道出血</w:t>
            </w:r>
          </w:p>
        </w:tc>
        <w:tc>
          <w:tcPr>
            <w:tcW w:w="1385" w:type="dxa"/>
            <w:tcBorders>
              <w:top w:val="single" w:color="auto" w:sz="12" w:space="0"/>
              <w:bottom w:val="single" w:color="auto" w:sz="8" w:space="0"/>
            </w:tcBorders>
          </w:tcPr>
          <w:p>
            <w:pPr>
              <w:pStyle w:val="17"/>
              <w:kinsoku w:val="0"/>
              <w:overflowPunct w:val="0"/>
              <w:spacing w:before="0" w:beforeAutospacing="0" w:after="0" w:afterAutospacing="0"/>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预防应激性黏膜损伤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 w:hRule="atLeast"/>
        </w:trPr>
        <w:tc>
          <w:tcPr>
            <w:tcW w:w="2061" w:type="dxa"/>
            <w:tcBorders>
              <w:top w:val="single" w:color="auto" w:sz="8" w:space="0"/>
            </w:tcBorders>
            <w:vAlign w:val="center"/>
          </w:tcPr>
          <w:p>
            <w:pPr>
              <w:rPr>
                <w:rFonts w:eastAsia="宋体" w:cs="Arial"/>
                <w:bCs/>
                <w:color w:val="auto"/>
                <w:kern w:val="24"/>
                <w:sz w:val="21"/>
                <w:szCs w:val="21"/>
              </w:rPr>
            </w:pPr>
            <w:r>
              <w:rPr>
                <w:rFonts w:hint="eastAsia" w:eastAsia="宋体" w:cs="Arial"/>
                <w:bCs/>
                <w:color w:val="auto"/>
                <w:kern w:val="24"/>
                <w:sz w:val="21"/>
                <w:szCs w:val="21"/>
              </w:rPr>
              <w:t>奥美拉唑</w:t>
            </w:r>
          </w:p>
        </w:tc>
        <w:tc>
          <w:tcPr>
            <w:tcW w:w="902" w:type="dxa"/>
            <w:tcBorders>
              <w:top w:val="single" w:color="auto" w:sz="8" w:space="0"/>
            </w:tcBorders>
            <w:vAlign w:val="center"/>
          </w:tcPr>
          <w:p>
            <w:pPr>
              <w:rPr>
                <w:rFonts w:eastAsia="宋体" w:cs="Arial"/>
                <w:bCs/>
                <w:color w:val="auto"/>
                <w:kern w:val="24"/>
                <w:sz w:val="21"/>
                <w:szCs w:val="21"/>
              </w:rPr>
            </w:pPr>
            <w:r>
              <w:rPr>
                <w:rFonts w:eastAsia="宋体" w:cs="Arial"/>
                <w:bCs/>
                <w:color w:val="auto"/>
                <w:kern w:val="24"/>
                <w:sz w:val="21"/>
                <w:szCs w:val="21"/>
              </w:rPr>
              <w:t>+</w:t>
            </w:r>
          </w:p>
        </w:tc>
        <w:tc>
          <w:tcPr>
            <w:tcW w:w="959" w:type="dxa"/>
            <w:tcBorders>
              <w:top w:val="single" w:color="auto" w:sz="8" w:space="0"/>
            </w:tcBorders>
            <w:vAlign w:val="center"/>
          </w:tcPr>
          <w:p>
            <w:pPr>
              <w:rPr>
                <w:rFonts w:eastAsia="宋体" w:cs="Arial"/>
                <w:bCs/>
                <w:color w:val="auto"/>
                <w:kern w:val="24"/>
                <w:sz w:val="21"/>
                <w:szCs w:val="21"/>
              </w:rPr>
            </w:pPr>
            <w:r>
              <w:rPr>
                <w:rFonts w:eastAsia="宋体" w:cs="Arial"/>
                <w:bCs/>
                <w:color w:val="auto"/>
                <w:kern w:val="24"/>
                <w:sz w:val="21"/>
                <w:szCs w:val="21"/>
              </w:rPr>
              <w:t>+</w:t>
            </w:r>
          </w:p>
        </w:tc>
        <w:tc>
          <w:tcPr>
            <w:tcW w:w="1392" w:type="dxa"/>
            <w:tcBorders>
              <w:top w:val="single" w:color="auto" w:sz="8" w:space="0"/>
            </w:tcBorders>
            <w:vAlign w:val="center"/>
          </w:tcPr>
          <w:p>
            <w:pPr>
              <w:rPr>
                <w:rFonts w:eastAsia="宋体" w:cs="Arial"/>
                <w:bCs/>
                <w:color w:val="auto"/>
                <w:kern w:val="24"/>
                <w:sz w:val="21"/>
                <w:szCs w:val="21"/>
              </w:rPr>
            </w:pPr>
            <w:r>
              <w:rPr>
                <w:rFonts w:eastAsia="宋体" w:cs="Arial"/>
                <w:bCs/>
                <w:color w:val="auto"/>
                <w:kern w:val="24"/>
                <w:sz w:val="21"/>
                <w:szCs w:val="21"/>
              </w:rPr>
              <w:t>+</w:t>
            </w:r>
          </w:p>
        </w:tc>
        <w:tc>
          <w:tcPr>
            <w:tcW w:w="1072" w:type="dxa"/>
            <w:tcBorders>
              <w:top w:val="single" w:color="auto" w:sz="8" w:space="0"/>
            </w:tcBorders>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071" w:type="dxa"/>
            <w:tcBorders>
              <w:top w:val="single" w:color="auto" w:sz="8" w:space="0"/>
            </w:tcBorders>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tcBorders>
              <w:top w:val="single" w:color="auto" w:sz="8" w:space="0"/>
            </w:tcBorders>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 w:hRule="atLeast"/>
        </w:trPr>
        <w:tc>
          <w:tcPr>
            <w:tcW w:w="2061" w:type="dxa"/>
            <w:vAlign w:val="center"/>
          </w:tcPr>
          <w:p>
            <w:pPr>
              <w:rPr>
                <w:rFonts w:eastAsia="宋体" w:cs="Arial"/>
                <w:bCs/>
                <w:color w:val="auto"/>
                <w:kern w:val="24"/>
                <w:sz w:val="21"/>
                <w:szCs w:val="21"/>
              </w:rPr>
            </w:pPr>
            <w:r>
              <w:rPr>
                <w:rFonts w:hint="eastAsia" w:eastAsia="宋体" w:cs="Arial"/>
                <w:bCs/>
                <w:color w:val="auto"/>
                <w:kern w:val="24"/>
                <w:sz w:val="21"/>
                <w:szCs w:val="21"/>
              </w:rPr>
              <w:t>兰索拉唑</w:t>
            </w:r>
          </w:p>
        </w:tc>
        <w:tc>
          <w:tcPr>
            <w:tcW w:w="902" w:type="dxa"/>
            <w:vAlign w:val="center"/>
          </w:tcPr>
          <w:p>
            <w:pPr>
              <w:rPr>
                <w:rFonts w:eastAsia="宋体" w:cs="Arial"/>
                <w:bCs/>
                <w:color w:val="auto"/>
                <w:kern w:val="24"/>
                <w:sz w:val="21"/>
                <w:szCs w:val="21"/>
              </w:rPr>
            </w:pPr>
          </w:p>
        </w:tc>
        <w:tc>
          <w:tcPr>
            <w:tcW w:w="959" w:type="dxa"/>
            <w:vAlign w:val="center"/>
          </w:tcPr>
          <w:p>
            <w:pPr>
              <w:rPr>
                <w:rFonts w:eastAsia="宋体" w:cs="Arial"/>
                <w:bCs/>
                <w:color w:val="auto"/>
                <w:kern w:val="24"/>
                <w:sz w:val="21"/>
                <w:szCs w:val="21"/>
              </w:rPr>
            </w:pPr>
            <w:r>
              <w:rPr>
                <w:rFonts w:eastAsia="宋体" w:cs="Arial"/>
                <w:bCs/>
                <w:color w:val="auto"/>
                <w:kern w:val="24"/>
                <w:sz w:val="21"/>
                <w:szCs w:val="21"/>
              </w:rPr>
              <w:t>+</w:t>
            </w:r>
          </w:p>
        </w:tc>
        <w:tc>
          <w:tcPr>
            <w:tcW w:w="1392" w:type="dxa"/>
            <w:vAlign w:val="center"/>
          </w:tcPr>
          <w:p>
            <w:pPr>
              <w:rPr>
                <w:rFonts w:eastAsia="宋体" w:cs="Arial"/>
                <w:bCs/>
                <w:color w:val="auto"/>
                <w:kern w:val="24"/>
                <w:sz w:val="21"/>
                <w:szCs w:val="21"/>
              </w:rPr>
            </w:pPr>
          </w:p>
        </w:tc>
        <w:tc>
          <w:tcPr>
            <w:tcW w:w="1072" w:type="dxa"/>
            <w:shd w:val="clear" w:color="auto" w:fill="auto"/>
            <w:vAlign w:val="center"/>
          </w:tcPr>
          <w:p>
            <w:pPr>
              <w:rPr>
                <w:rFonts w:eastAsia="宋体" w:cs="Arial"/>
                <w:bCs/>
                <w:color w:val="auto"/>
                <w:kern w:val="24"/>
                <w:sz w:val="21"/>
                <w:szCs w:val="21"/>
              </w:rPr>
            </w:pPr>
          </w:p>
        </w:tc>
        <w:tc>
          <w:tcPr>
            <w:tcW w:w="1071" w:type="dxa"/>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shd w:val="clear" w:color="auto" w:fill="auto"/>
            <w:vAlign w:val="center"/>
          </w:tcPr>
          <w:p>
            <w:pPr>
              <w:rPr>
                <w:rFonts w:eastAsia="宋体" w:cs="Arial"/>
                <w:bCs/>
                <w:color w:val="auto"/>
                <w:kern w:val="24"/>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 w:hRule="atLeast"/>
        </w:trPr>
        <w:tc>
          <w:tcPr>
            <w:tcW w:w="2061" w:type="dxa"/>
            <w:vAlign w:val="center"/>
          </w:tcPr>
          <w:p>
            <w:pPr>
              <w:rPr>
                <w:rFonts w:eastAsia="宋体" w:cs="Arial"/>
                <w:bCs/>
                <w:color w:val="auto"/>
                <w:kern w:val="24"/>
                <w:sz w:val="21"/>
                <w:szCs w:val="21"/>
              </w:rPr>
            </w:pPr>
            <w:r>
              <w:rPr>
                <w:rFonts w:hint="eastAsia" w:eastAsia="宋体" w:cs="Arial"/>
                <w:bCs/>
                <w:color w:val="auto"/>
                <w:kern w:val="24"/>
                <w:sz w:val="21"/>
                <w:szCs w:val="21"/>
              </w:rPr>
              <w:t>泮托拉唑</w:t>
            </w:r>
          </w:p>
        </w:tc>
        <w:tc>
          <w:tcPr>
            <w:tcW w:w="902" w:type="dxa"/>
            <w:vAlign w:val="center"/>
          </w:tcPr>
          <w:p>
            <w:pPr>
              <w:rPr>
                <w:rFonts w:eastAsia="宋体" w:cs="Arial"/>
                <w:bCs/>
                <w:color w:val="auto"/>
                <w:kern w:val="24"/>
                <w:sz w:val="21"/>
                <w:szCs w:val="21"/>
              </w:rPr>
            </w:pPr>
            <w:r>
              <w:rPr>
                <w:rFonts w:eastAsia="宋体" w:cs="Arial"/>
                <w:bCs/>
                <w:color w:val="auto"/>
                <w:kern w:val="24"/>
                <w:sz w:val="21"/>
                <w:szCs w:val="21"/>
              </w:rPr>
              <w:t>+</w:t>
            </w:r>
          </w:p>
        </w:tc>
        <w:tc>
          <w:tcPr>
            <w:tcW w:w="959" w:type="dxa"/>
            <w:vAlign w:val="center"/>
          </w:tcPr>
          <w:p>
            <w:pPr>
              <w:rPr>
                <w:rFonts w:eastAsia="宋体" w:cs="Arial"/>
                <w:bCs/>
                <w:color w:val="auto"/>
                <w:kern w:val="24"/>
                <w:sz w:val="21"/>
                <w:szCs w:val="21"/>
              </w:rPr>
            </w:pPr>
            <w:r>
              <w:rPr>
                <w:rFonts w:eastAsia="宋体" w:cs="Arial"/>
                <w:bCs/>
                <w:color w:val="auto"/>
                <w:kern w:val="24"/>
                <w:sz w:val="21"/>
                <w:szCs w:val="21"/>
              </w:rPr>
              <w:t>+</w:t>
            </w:r>
          </w:p>
        </w:tc>
        <w:tc>
          <w:tcPr>
            <w:tcW w:w="1392" w:type="dxa"/>
            <w:vAlign w:val="center"/>
          </w:tcPr>
          <w:p>
            <w:pPr>
              <w:rPr>
                <w:rFonts w:eastAsia="宋体" w:cs="Arial"/>
                <w:bCs/>
                <w:color w:val="auto"/>
                <w:kern w:val="24"/>
                <w:sz w:val="21"/>
                <w:szCs w:val="21"/>
              </w:rPr>
            </w:pPr>
          </w:p>
        </w:tc>
        <w:tc>
          <w:tcPr>
            <w:tcW w:w="1072" w:type="dxa"/>
            <w:shd w:val="clear" w:color="auto" w:fill="auto"/>
            <w:vAlign w:val="center"/>
          </w:tcPr>
          <w:p>
            <w:pPr>
              <w:rPr>
                <w:rFonts w:eastAsia="宋体" w:cs="Arial"/>
                <w:bCs/>
                <w:color w:val="auto"/>
                <w:kern w:val="24"/>
                <w:sz w:val="21"/>
                <w:szCs w:val="21"/>
              </w:rPr>
            </w:pPr>
          </w:p>
        </w:tc>
        <w:tc>
          <w:tcPr>
            <w:tcW w:w="1071" w:type="dxa"/>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shd w:val="clear" w:color="auto" w:fill="auto"/>
            <w:vAlign w:val="center"/>
          </w:tcPr>
          <w:p>
            <w:pPr>
              <w:rPr>
                <w:rFonts w:eastAsia="宋体" w:cs="Arial"/>
                <w:bCs/>
                <w:color w:val="auto"/>
                <w:kern w:val="24"/>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3" w:hRule="atLeast"/>
        </w:trPr>
        <w:tc>
          <w:tcPr>
            <w:tcW w:w="2061" w:type="dxa"/>
            <w:vAlign w:val="center"/>
          </w:tcPr>
          <w:p>
            <w:pPr>
              <w:rPr>
                <w:rFonts w:eastAsia="宋体" w:cs="Arial"/>
                <w:bCs/>
                <w:color w:val="auto"/>
                <w:kern w:val="24"/>
                <w:sz w:val="21"/>
                <w:szCs w:val="21"/>
              </w:rPr>
            </w:pPr>
            <w:r>
              <w:rPr>
                <w:rFonts w:hint="eastAsia" w:eastAsia="宋体" w:cs="Arial"/>
                <w:bCs/>
                <w:color w:val="auto"/>
                <w:kern w:val="24"/>
                <w:sz w:val="21"/>
                <w:szCs w:val="21"/>
              </w:rPr>
              <w:t>雷贝拉唑</w:t>
            </w:r>
          </w:p>
        </w:tc>
        <w:tc>
          <w:tcPr>
            <w:tcW w:w="902" w:type="dxa"/>
            <w:vAlign w:val="center"/>
          </w:tcPr>
          <w:p>
            <w:pPr>
              <w:rPr>
                <w:rFonts w:eastAsia="宋体" w:cs="Arial"/>
                <w:bCs/>
                <w:color w:val="auto"/>
                <w:kern w:val="24"/>
                <w:sz w:val="21"/>
                <w:szCs w:val="21"/>
              </w:rPr>
            </w:pPr>
          </w:p>
        </w:tc>
        <w:tc>
          <w:tcPr>
            <w:tcW w:w="959" w:type="dxa"/>
            <w:vAlign w:val="center"/>
          </w:tcPr>
          <w:p>
            <w:pPr>
              <w:rPr>
                <w:rFonts w:eastAsia="宋体" w:cs="Arial"/>
                <w:bCs/>
                <w:color w:val="auto"/>
                <w:kern w:val="24"/>
                <w:sz w:val="21"/>
                <w:szCs w:val="21"/>
              </w:rPr>
            </w:pPr>
          </w:p>
        </w:tc>
        <w:tc>
          <w:tcPr>
            <w:tcW w:w="1392" w:type="dxa"/>
            <w:vAlign w:val="center"/>
          </w:tcPr>
          <w:p>
            <w:pPr>
              <w:rPr>
                <w:rFonts w:eastAsia="宋体" w:cs="Arial"/>
                <w:bCs/>
                <w:color w:val="auto"/>
                <w:kern w:val="24"/>
                <w:sz w:val="21"/>
                <w:szCs w:val="21"/>
              </w:rPr>
            </w:pPr>
          </w:p>
        </w:tc>
        <w:tc>
          <w:tcPr>
            <w:tcW w:w="1072" w:type="dxa"/>
            <w:shd w:val="clear" w:color="auto" w:fill="auto"/>
            <w:vAlign w:val="center"/>
          </w:tcPr>
          <w:p>
            <w:pPr>
              <w:rPr>
                <w:rFonts w:eastAsia="宋体" w:cs="Arial"/>
                <w:bCs/>
                <w:color w:val="auto"/>
                <w:kern w:val="24"/>
                <w:sz w:val="21"/>
                <w:szCs w:val="21"/>
              </w:rPr>
            </w:pPr>
          </w:p>
        </w:tc>
        <w:tc>
          <w:tcPr>
            <w:tcW w:w="1071" w:type="dxa"/>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shd w:val="clear" w:color="auto" w:fill="auto"/>
            <w:vAlign w:val="center"/>
          </w:tcPr>
          <w:p>
            <w:pPr>
              <w:rPr>
                <w:rFonts w:eastAsia="宋体" w:cs="Arial"/>
                <w:bCs/>
                <w:color w:val="auto"/>
                <w:kern w:val="24"/>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2061" w:type="dxa"/>
            <w:vAlign w:val="center"/>
          </w:tcPr>
          <w:p>
            <w:pPr>
              <w:rPr>
                <w:rFonts w:eastAsia="宋体" w:cs="Arial"/>
                <w:bCs/>
                <w:color w:val="auto"/>
                <w:kern w:val="24"/>
                <w:sz w:val="21"/>
                <w:szCs w:val="21"/>
              </w:rPr>
            </w:pPr>
            <w:r>
              <w:rPr>
                <w:rFonts w:hint="eastAsia" w:eastAsia="宋体" w:cs="Arial"/>
                <w:bCs/>
                <w:color w:val="auto"/>
                <w:kern w:val="24"/>
                <w:sz w:val="21"/>
                <w:szCs w:val="21"/>
              </w:rPr>
              <w:t>艾司奥美拉唑</w:t>
            </w:r>
          </w:p>
        </w:tc>
        <w:tc>
          <w:tcPr>
            <w:tcW w:w="902" w:type="dxa"/>
            <w:vAlign w:val="center"/>
          </w:tcPr>
          <w:p>
            <w:pPr>
              <w:rPr>
                <w:rFonts w:eastAsia="宋体" w:cs="Arial"/>
                <w:bCs/>
                <w:color w:val="auto"/>
                <w:kern w:val="24"/>
                <w:sz w:val="21"/>
                <w:szCs w:val="21"/>
              </w:rPr>
            </w:pPr>
            <w:r>
              <w:rPr>
                <w:rFonts w:eastAsia="宋体" w:cs="Arial"/>
                <w:bCs/>
                <w:color w:val="auto"/>
                <w:kern w:val="24"/>
                <w:sz w:val="21"/>
                <w:szCs w:val="21"/>
              </w:rPr>
              <w:t>+</w:t>
            </w:r>
          </w:p>
        </w:tc>
        <w:tc>
          <w:tcPr>
            <w:tcW w:w="959" w:type="dxa"/>
            <w:vAlign w:val="center"/>
          </w:tcPr>
          <w:p>
            <w:pPr>
              <w:rPr>
                <w:rFonts w:eastAsia="宋体" w:cs="Arial"/>
                <w:bCs/>
                <w:color w:val="auto"/>
                <w:kern w:val="24"/>
                <w:sz w:val="21"/>
                <w:szCs w:val="21"/>
              </w:rPr>
            </w:pPr>
          </w:p>
        </w:tc>
        <w:tc>
          <w:tcPr>
            <w:tcW w:w="1392" w:type="dxa"/>
            <w:vAlign w:val="center"/>
          </w:tcPr>
          <w:p>
            <w:pPr>
              <w:rPr>
                <w:rFonts w:eastAsia="宋体" w:cs="Arial"/>
                <w:bCs/>
                <w:color w:val="auto"/>
                <w:kern w:val="24"/>
                <w:sz w:val="21"/>
                <w:szCs w:val="21"/>
              </w:rPr>
            </w:pPr>
          </w:p>
        </w:tc>
        <w:tc>
          <w:tcPr>
            <w:tcW w:w="1072" w:type="dxa"/>
            <w:shd w:val="clear" w:color="auto" w:fill="auto"/>
            <w:vAlign w:val="center"/>
          </w:tcPr>
          <w:p>
            <w:pPr>
              <w:rPr>
                <w:rFonts w:eastAsia="宋体" w:cs="Arial"/>
                <w:bCs/>
                <w:color w:val="auto"/>
                <w:kern w:val="24"/>
                <w:sz w:val="21"/>
                <w:szCs w:val="21"/>
              </w:rPr>
            </w:pPr>
          </w:p>
        </w:tc>
        <w:tc>
          <w:tcPr>
            <w:tcW w:w="1071" w:type="dxa"/>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2061" w:type="dxa"/>
            <w:tcBorders>
              <w:bottom w:val="single" w:color="auto" w:sz="12" w:space="0"/>
            </w:tcBorders>
            <w:vAlign w:val="center"/>
          </w:tcPr>
          <w:p>
            <w:pPr>
              <w:rPr>
                <w:rFonts w:eastAsia="宋体" w:cs="Arial"/>
                <w:bCs/>
                <w:color w:val="auto"/>
                <w:kern w:val="24"/>
                <w:sz w:val="21"/>
                <w:szCs w:val="21"/>
              </w:rPr>
            </w:pPr>
            <w:r>
              <w:rPr>
                <w:rFonts w:hint="eastAsia" w:eastAsia="宋体" w:cs="Arial"/>
                <w:bCs/>
                <w:color w:val="auto"/>
                <w:kern w:val="24"/>
                <w:sz w:val="21"/>
                <w:szCs w:val="21"/>
              </w:rPr>
              <w:t>艾普拉唑</w:t>
            </w:r>
          </w:p>
        </w:tc>
        <w:tc>
          <w:tcPr>
            <w:tcW w:w="902" w:type="dxa"/>
            <w:tcBorders>
              <w:bottom w:val="single" w:color="auto" w:sz="12" w:space="0"/>
            </w:tcBorders>
            <w:vAlign w:val="center"/>
          </w:tcPr>
          <w:p>
            <w:pPr>
              <w:rPr>
                <w:rFonts w:eastAsia="宋体" w:cs="Arial"/>
                <w:bCs/>
                <w:color w:val="auto"/>
                <w:kern w:val="24"/>
                <w:sz w:val="21"/>
                <w:szCs w:val="21"/>
              </w:rPr>
            </w:pPr>
          </w:p>
        </w:tc>
        <w:tc>
          <w:tcPr>
            <w:tcW w:w="959" w:type="dxa"/>
            <w:tcBorders>
              <w:bottom w:val="single" w:color="auto" w:sz="12" w:space="0"/>
            </w:tcBorders>
            <w:vAlign w:val="center"/>
          </w:tcPr>
          <w:p>
            <w:pPr>
              <w:rPr>
                <w:rFonts w:eastAsia="宋体" w:cs="Arial"/>
                <w:bCs/>
                <w:color w:val="auto"/>
                <w:kern w:val="24"/>
                <w:sz w:val="21"/>
                <w:szCs w:val="21"/>
              </w:rPr>
            </w:pPr>
            <w:r>
              <w:rPr>
                <w:rFonts w:eastAsia="宋体" w:cs="Arial"/>
                <w:bCs/>
                <w:color w:val="auto"/>
                <w:kern w:val="24"/>
                <w:sz w:val="21"/>
                <w:szCs w:val="21"/>
              </w:rPr>
              <w:t>+</w:t>
            </w:r>
          </w:p>
        </w:tc>
        <w:tc>
          <w:tcPr>
            <w:tcW w:w="1392" w:type="dxa"/>
            <w:tcBorders>
              <w:bottom w:val="single" w:color="auto" w:sz="12" w:space="0"/>
            </w:tcBorders>
            <w:vAlign w:val="center"/>
          </w:tcPr>
          <w:p>
            <w:pPr>
              <w:rPr>
                <w:rFonts w:eastAsia="宋体" w:cs="Arial"/>
                <w:bCs/>
                <w:color w:val="auto"/>
                <w:kern w:val="24"/>
                <w:sz w:val="21"/>
                <w:szCs w:val="21"/>
              </w:rPr>
            </w:pPr>
          </w:p>
        </w:tc>
        <w:tc>
          <w:tcPr>
            <w:tcW w:w="1072" w:type="dxa"/>
            <w:tcBorders>
              <w:bottom w:val="single" w:color="auto" w:sz="12" w:space="0"/>
            </w:tcBorders>
            <w:shd w:val="clear" w:color="auto" w:fill="auto"/>
            <w:vAlign w:val="center"/>
          </w:tcPr>
          <w:p>
            <w:pPr>
              <w:rPr>
                <w:rFonts w:eastAsia="宋体" w:cs="Arial"/>
                <w:bCs/>
                <w:color w:val="auto"/>
                <w:kern w:val="24"/>
                <w:sz w:val="21"/>
                <w:szCs w:val="21"/>
              </w:rPr>
            </w:pPr>
          </w:p>
        </w:tc>
        <w:tc>
          <w:tcPr>
            <w:tcW w:w="1071" w:type="dxa"/>
            <w:tcBorders>
              <w:bottom w:val="single" w:color="auto" w:sz="12" w:space="0"/>
            </w:tcBorders>
            <w:shd w:val="clear" w:color="auto" w:fill="auto"/>
            <w:vAlign w:val="center"/>
          </w:tcPr>
          <w:p>
            <w:pPr>
              <w:rPr>
                <w:rFonts w:eastAsia="宋体" w:cs="Arial"/>
                <w:bCs/>
                <w:color w:val="auto"/>
                <w:kern w:val="24"/>
                <w:sz w:val="21"/>
                <w:szCs w:val="21"/>
              </w:rPr>
            </w:pPr>
            <w:r>
              <w:rPr>
                <w:rFonts w:eastAsia="宋体" w:cs="Arial"/>
                <w:bCs/>
                <w:color w:val="auto"/>
                <w:kern w:val="24"/>
                <w:sz w:val="21"/>
                <w:szCs w:val="21"/>
              </w:rPr>
              <w:t>+</w:t>
            </w:r>
          </w:p>
        </w:tc>
        <w:tc>
          <w:tcPr>
            <w:tcW w:w="1385" w:type="dxa"/>
            <w:tcBorders>
              <w:bottom w:val="single" w:color="auto" w:sz="12" w:space="0"/>
            </w:tcBorders>
            <w:shd w:val="clear" w:color="auto" w:fill="auto"/>
            <w:vAlign w:val="center"/>
          </w:tcPr>
          <w:p>
            <w:pPr>
              <w:rPr>
                <w:rFonts w:eastAsia="宋体" w:cs="Arial"/>
                <w:bCs/>
                <w:color w:val="auto"/>
                <w:kern w:val="24"/>
                <w:sz w:val="21"/>
                <w:szCs w:val="21"/>
              </w:rPr>
            </w:pPr>
          </w:p>
        </w:tc>
      </w:tr>
    </w:tbl>
    <w:p>
      <w:pPr>
        <w:pStyle w:val="17"/>
        <w:kinsoku w:val="0"/>
        <w:overflowPunct w:val="0"/>
        <w:spacing w:before="0" w:beforeAutospacing="0" w:after="0" w:afterAutospacing="0"/>
        <w:jc w:val="center"/>
        <w:textAlignment w:val="baseline"/>
        <w:rPr>
          <w:rFonts w:ascii="Times New Roman" w:hAnsi="Times New Roman" w:cs="Arial"/>
          <w:bCs/>
          <w:color w:val="auto"/>
          <w:kern w:val="24"/>
        </w:rPr>
      </w:pPr>
      <w:bookmarkStart w:id="6" w:name="_Ref527921074"/>
      <w:bookmarkStart w:id="7" w:name="_Ref527921070"/>
      <w:r>
        <w:rPr>
          <w:rFonts w:hint="eastAsia" w:ascii="Times New Roman" w:hAnsi="Times New Roman" w:cs="Arial"/>
          <w:bCs/>
          <w:color w:val="auto"/>
          <w:kern w:val="24"/>
        </w:rPr>
        <w:t>表</w:t>
      </w:r>
      <w:r>
        <w:rPr>
          <w:rFonts w:ascii="Times New Roman" w:hAnsi="Times New Roman" w:cs="Arial"/>
          <w:bCs/>
          <w:color w:val="auto"/>
          <w:kern w:val="24"/>
        </w:rPr>
        <w:t xml:space="preserve">1- </w:t>
      </w:r>
      <w:r>
        <w:rPr>
          <w:rFonts w:ascii="Times New Roman" w:hAnsi="Times New Roman" w:cs="Arial"/>
          <w:bCs/>
          <w:color w:val="auto"/>
          <w:kern w:val="24"/>
        </w:rPr>
        <w:fldChar w:fldCharType="begin"/>
      </w:r>
      <w:r>
        <w:rPr>
          <w:rFonts w:ascii="Times New Roman" w:hAnsi="Times New Roman" w:cs="Arial"/>
          <w:bCs/>
          <w:color w:val="auto"/>
          <w:kern w:val="24"/>
        </w:rPr>
        <w:instrText xml:space="preserve">SEQ </w:instrText>
      </w:r>
      <w:r>
        <w:rPr>
          <w:rFonts w:hint="eastAsia" w:ascii="Times New Roman" w:hAnsi="Times New Roman" w:cs="Arial"/>
          <w:bCs/>
          <w:color w:val="auto"/>
          <w:kern w:val="24"/>
        </w:rPr>
        <w:instrText xml:space="preserve">表</w:instrText>
      </w:r>
      <w:r>
        <w:rPr>
          <w:rFonts w:ascii="Times New Roman" w:hAnsi="Times New Roman" w:cs="Arial"/>
          <w:bCs/>
          <w:color w:val="auto"/>
          <w:kern w:val="24"/>
        </w:rPr>
        <w:instrText xml:space="preserve">1- \* ARABIC</w:instrText>
      </w:r>
      <w:r>
        <w:rPr>
          <w:rFonts w:ascii="Times New Roman" w:hAnsi="Times New Roman" w:cs="Arial"/>
          <w:bCs/>
          <w:color w:val="auto"/>
          <w:kern w:val="24"/>
        </w:rPr>
        <w:fldChar w:fldCharType="separate"/>
      </w:r>
      <w:r>
        <w:rPr>
          <w:rFonts w:ascii="Times New Roman" w:hAnsi="Times New Roman" w:cs="Arial"/>
          <w:bCs/>
          <w:color w:val="auto"/>
          <w:kern w:val="24"/>
        </w:rPr>
        <w:t>2</w:t>
      </w:r>
      <w:r>
        <w:rPr>
          <w:rFonts w:ascii="Times New Roman" w:hAnsi="Times New Roman" w:cs="Arial"/>
          <w:bCs/>
          <w:color w:val="auto"/>
          <w:kern w:val="24"/>
        </w:rPr>
        <w:fldChar w:fldCharType="end"/>
      </w:r>
      <w:bookmarkEnd w:id="6"/>
      <w:r>
        <w:rPr>
          <w:rFonts w:hint="eastAsia" w:ascii="Times New Roman" w:hAnsi="Times New Roman" w:cs="Arial"/>
          <w:bCs/>
          <w:color w:val="auto"/>
          <w:kern w:val="24"/>
        </w:rPr>
        <w:t>不同</w:t>
      </w:r>
      <w:r>
        <w:rPr>
          <w:rFonts w:hint="eastAsia" w:ascii="Times New Roman" w:hAnsi="Times New Roman" w:cs="Arial"/>
          <w:bCs/>
          <w:color w:val="auto"/>
          <w:kern w:val="24"/>
          <w:lang w:eastAsia="zh-CN"/>
        </w:rPr>
        <w:t>质子泵抑制剂</w:t>
      </w:r>
      <w:r>
        <w:rPr>
          <w:rFonts w:hint="eastAsia" w:ascii="Times New Roman" w:hAnsi="Times New Roman" w:cs="Arial"/>
          <w:bCs/>
          <w:color w:val="auto"/>
          <w:kern w:val="24"/>
        </w:rPr>
        <w:t>注射剂的适应证</w:t>
      </w:r>
      <w:bookmarkEnd w:id="7"/>
    </w:p>
    <w:p>
      <w:pPr>
        <w:spacing w:line="240" w:lineRule="auto"/>
        <w:rPr>
          <w:rFonts w:eastAsia="宋体" w:cs="Arial"/>
          <w:bCs/>
          <w:color w:val="auto"/>
          <w:kern w:val="24"/>
          <w:sz w:val="21"/>
          <w:szCs w:val="21"/>
        </w:rPr>
      </w:pPr>
      <w:r>
        <w:rPr>
          <w:rFonts w:hint="eastAsia" w:eastAsia="宋体" w:cs="Arial"/>
          <w:bCs/>
          <w:color w:val="auto"/>
          <w:kern w:val="24"/>
          <w:sz w:val="21"/>
          <w:szCs w:val="21"/>
        </w:rPr>
        <w:t>备注：</w:t>
      </w:r>
      <w:r>
        <w:rPr>
          <w:rFonts w:eastAsia="宋体" w:cs="Arial"/>
          <w:bCs/>
          <w:color w:val="auto"/>
          <w:kern w:val="24"/>
          <w:sz w:val="21"/>
          <w:szCs w:val="21"/>
        </w:rPr>
        <w:t>GERD</w:t>
      </w:r>
      <w:r>
        <w:rPr>
          <w:rFonts w:hint="eastAsia" w:eastAsia="宋体" w:cs="Arial"/>
          <w:bCs/>
          <w:color w:val="auto"/>
          <w:kern w:val="24"/>
          <w:sz w:val="21"/>
          <w:szCs w:val="21"/>
        </w:rPr>
        <w:t>胃食管反流病；</w:t>
      </w:r>
      <w:r>
        <w:rPr>
          <w:rFonts w:eastAsia="宋体" w:cs="Arial"/>
          <w:bCs/>
          <w:color w:val="auto"/>
          <w:kern w:val="24"/>
          <w:sz w:val="21"/>
          <w:szCs w:val="21"/>
        </w:rPr>
        <w:t>NSAIDs</w:t>
      </w:r>
      <w:r>
        <w:rPr>
          <w:rFonts w:hint="eastAsia" w:eastAsia="宋体" w:cs="Arial"/>
          <w:bCs/>
          <w:color w:val="auto"/>
          <w:kern w:val="24"/>
          <w:sz w:val="21"/>
          <w:szCs w:val="21"/>
        </w:rPr>
        <w:t>非甾体抗炎药；</w:t>
      </w:r>
    </w:p>
    <w:p>
      <w:pPr>
        <w:widowControl/>
        <w:spacing w:line="240" w:lineRule="auto"/>
        <w:jc w:val="left"/>
        <w:rPr>
          <w:rFonts w:eastAsia="宋体"/>
          <w:color w:val="auto"/>
          <w:sz w:val="21"/>
          <w:szCs w:val="24"/>
        </w:rPr>
      </w:pPr>
      <w:r>
        <w:rPr>
          <w:rFonts w:hint="eastAsia" w:eastAsia="宋体"/>
          <w:color w:val="auto"/>
          <w:sz w:val="21"/>
          <w:szCs w:val="24"/>
        </w:rPr>
        <w:t>参考信息来自原研药的药品说明书。</w:t>
      </w:r>
    </w:p>
    <w:p>
      <w:pPr>
        <w:pStyle w:val="4"/>
        <w:spacing w:before="240" w:line="600" w:lineRule="exact"/>
        <w:rPr>
          <w:b w:val="0"/>
          <w:bCs w:val="0"/>
          <w:color w:val="auto"/>
        </w:rPr>
      </w:pPr>
      <w:bookmarkStart w:id="8" w:name="_Toc535269722"/>
      <w:r>
        <w:rPr>
          <w:rFonts w:hint="eastAsia"/>
          <w:b w:val="0"/>
          <w:bCs w:val="0"/>
          <w:color w:val="auto"/>
        </w:rPr>
        <w:t>合理制订治疗方案</w:t>
      </w:r>
      <w:bookmarkEnd w:id="8"/>
      <w:r>
        <w:rPr>
          <w:b w:val="0"/>
          <w:bCs w:val="0"/>
          <w:color w:val="auto"/>
        </w:rPr>
        <w:tab/>
      </w:r>
    </w:p>
    <w:p>
      <w:pPr>
        <w:pStyle w:val="17"/>
        <w:kinsoku w:val="0"/>
        <w:overflowPunct w:val="0"/>
        <w:spacing w:before="0" w:beforeAutospacing="0" w:after="0" w:afterAutospacing="0" w:line="600" w:lineRule="exact"/>
        <w:ind w:firstLine="640"/>
        <w:jc w:val="both"/>
        <w:rPr>
          <w:rFonts w:ascii="Times New Roman" w:hAnsi="Times New Roman" w:eastAsia="仿宋"/>
          <w:bCs/>
          <w:color w:val="auto"/>
          <w:kern w:val="24"/>
          <w:sz w:val="32"/>
        </w:rPr>
      </w:pP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治疗方案的制订应综合考虑疾病的治疗目标和药物的作用特点，包括药物品种和剂型的选择、用法用量、用药疗程和联合用药等。</w:t>
      </w:r>
    </w:p>
    <w:p>
      <w:pPr>
        <w:pStyle w:val="17"/>
        <w:numPr>
          <w:ilvl w:val="0"/>
          <w:numId w:val="2"/>
        </w:numPr>
        <w:kinsoku w:val="0"/>
        <w:overflowPunct w:val="0"/>
        <w:spacing w:before="0" w:beforeAutospacing="0" w:after="0" w:afterAutospacing="0" w:line="600" w:lineRule="exact"/>
        <w:ind w:firstLine="640"/>
        <w:rPr>
          <w:rStyle w:val="41"/>
          <w:rFonts w:ascii="楷体" w:hAnsi="楷体" w:cs="Arial"/>
          <w:color w:val="auto"/>
          <w:kern w:val="24"/>
          <w:szCs w:val="24"/>
        </w:rPr>
      </w:pPr>
      <w:r>
        <w:rPr>
          <w:rStyle w:val="41"/>
          <w:rFonts w:hint="eastAsia" w:ascii="楷体" w:hAnsi="楷体"/>
          <w:color w:val="auto"/>
        </w:rPr>
        <w:t>品种选择</w:t>
      </w:r>
    </w:p>
    <w:p>
      <w:pPr>
        <w:pStyle w:val="17"/>
        <w:kinsoku w:val="0"/>
        <w:overflowPunct w:val="0"/>
        <w:spacing w:beforeAutospacing="0" w:afterAutospacing="0" w:line="600" w:lineRule="exact"/>
        <w:ind w:firstLine="640"/>
        <w:rPr>
          <w:rFonts w:ascii="Times New Roman" w:hAnsi="Times New Roman" w:eastAsia="仿宋" w:cs="Arial"/>
          <w:bCs/>
          <w:color w:val="auto"/>
          <w:kern w:val="24"/>
          <w:sz w:val="32"/>
        </w:rPr>
      </w:pPr>
      <w:r>
        <w:rPr>
          <w:rFonts w:hint="eastAsia" w:ascii="Times New Roman" w:hAnsi="Times New Roman" w:eastAsia="仿宋" w:cs="Arial"/>
          <w:bCs/>
          <w:color w:val="auto"/>
          <w:kern w:val="24"/>
          <w:sz w:val="32"/>
        </w:rPr>
        <w:t>根据疾病的治疗目标、药物的效应及患者的意愿，选用安全、有效、价格适当和用药适宜的药物。如果使用某种</w:t>
      </w:r>
      <w:r>
        <w:rPr>
          <w:rFonts w:hint="eastAsia" w:ascii="Times New Roman" w:hAnsi="Times New Roman" w:eastAsia="仿宋" w:cs="Arial"/>
          <w:bCs/>
          <w:color w:val="auto"/>
          <w:kern w:val="24"/>
          <w:sz w:val="32"/>
          <w:lang w:val="en-US" w:eastAsia="zh-CN"/>
        </w:rPr>
        <w:t>质子泵抑制剂</w:t>
      </w:r>
      <w:r>
        <w:rPr>
          <w:rFonts w:hint="eastAsia" w:ascii="Times New Roman" w:hAnsi="Times New Roman" w:eastAsia="仿宋" w:cs="Arial"/>
          <w:bCs/>
          <w:color w:val="auto"/>
          <w:kern w:val="24"/>
          <w:sz w:val="32"/>
        </w:rPr>
        <w:t>后出现明确的不良反应，可换用其他</w:t>
      </w:r>
      <w:r>
        <w:rPr>
          <w:rFonts w:hint="eastAsia" w:ascii="Times New Roman" w:hAnsi="Times New Roman" w:eastAsia="仿宋" w:cs="Arial"/>
          <w:bCs/>
          <w:color w:val="auto"/>
          <w:kern w:val="24"/>
          <w:sz w:val="32"/>
          <w:lang w:val="en-US" w:eastAsia="zh-CN"/>
        </w:rPr>
        <w:t>质子泵抑制剂</w:t>
      </w:r>
      <w:r>
        <w:rPr>
          <w:rFonts w:hint="eastAsia" w:ascii="Times New Roman" w:hAnsi="Times New Roman" w:eastAsia="仿宋" w:cs="Arial"/>
          <w:bCs/>
          <w:color w:val="auto"/>
          <w:kern w:val="24"/>
          <w:sz w:val="32"/>
        </w:rPr>
        <w:t>。</w:t>
      </w:r>
    </w:p>
    <w:p>
      <w:pPr>
        <w:pStyle w:val="17"/>
        <w:numPr>
          <w:ilvl w:val="0"/>
          <w:numId w:val="2"/>
        </w:numPr>
        <w:kinsoku w:val="0"/>
        <w:overflowPunct w:val="0"/>
        <w:spacing w:before="0" w:beforeAutospacing="0" w:after="0" w:afterAutospacing="0" w:line="600" w:lineRule="exact"/>
        <w:ind w:firstLine="640"/>
        <w:rPr>
          <w:rStyle w:val="41"/>
          <w:rFonts w:ascii="楷体" w:hAnsi="楷体"/>
          <w:color w:val="auto"/>
        </w:rPr>
      </w:pPr>
      <w:r>
        <w:rPr>
          <w:rStyle w:val="41"/>
          <w:rFonts w:hint="eastAsia" w:ascii="楷体" w:hAnsi="楷体"/>
          <w:color w:val="auto"/>
        </w:rPr>
        <w:t>用法用量</w:t>
      </w:r>
    </w:p>
    <w:p>
      <w:pPr>
        <w:pStyle w:val="17"/>
        <w:spacing w:beforeAutospacing="0" w:after="0" w:afterAutospacing="0" w:line="600" w:lineRule="exact"/>
        <w:ind w:firstLine="0"/>
        <w:jc w:val="both"/>
        <w:rPr>
          <w:rFonts w:ascii="Times New Roman" w:hAnsi="Times New Roman" w:eastAsia="仿宋" w:cstheme="minorBidi"/>
          <w:color w:val="auto"/>
          <w:kern w:val="2"/>
          <w:sz w:val="32"/>
          <w:szCs w:val="22"/>
        </w:rPr>
      </w:pPr>
      <w:r>
        <w:rPr>
          <w:rFonts w:hint="default" w:ascii="Times New Roman" w:hAnsi="Times New Roman" w:eastAsia="仿宋" w:cs="Arial"/>
          <w:bCs/>
          <w:color w:val="auto"/>
          <w:kern w:val="24"/>
          <w:sz w:val="32"/>
        </w:rPr>
        <w:t xml:space="preserve">    </w:t>
      </w:r>
      <w:r>
        <w:rPr>
          <w:rFonts w:hint="eastAsia" w:ascii="Times New Roman" w:hAnsi="Times New Roman" w:eastAsia="仿宋" w:cs="Arial"/>
          <w:bCs/>
          <w:color w:val="auto"/>
          <w:kern w:val="24"/>
          <w:sz w:val="32"/>
        </w:rPr>
        <w:t>根据治疗目的选择药物的治疗剂量、给药途径及用药频次，个体化制订给药方案。对于轻、中度的患者，应予口服治疗；对于口服疗法不适用和</w:t>
      </w:r>
      <w:r>
        <w:rPr>
          <w:rFonts w:ascii="Times New Roman" w:hAnsi="Times New Roman" w:eastAsia="仿宋" w:cs="Arial"/>
          <w:bCs/>
          <w:color w:val="auto"/>
          <w:kern w:val="24"/>
          <w:sz w:val="32"/>
        </w:rPr>
        <w:t>/</w:t>
      </w:r>
      <w:r>
        <w:rPr>
          <w:rFonts w:hint="eastAsia" w:ascii="Times New Roman" w:hAnsi="Times New Roman" w:eastAsia="仿宋" w:cs="Arial"/>
          <w:bCs/>
          <w:color w:val="auto"/>
          <w:kern w:val="24"/>
          <w:sz w:val="32"/>
        </w:rPr>
        <w:t>或中、重度的患者，可以先静脉给药，好转后转为口服治疗。口服用</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多为肠溶制剂，</w:t>
      </w:r>
      <w:r>
        <w:rPr>
          <w:rFonts w:hint="eastAsia" w:ascii="Times New Roman" w:hAnsi="Times New Roman" w:eastAsia="仿宋"/>
          <w:color w:val="auto"/>
          <w:sz w:val="32"/>
        </w:rPr>
        <w:t>必须整片/粒吞服，不可咀嚼或压碎；</w:t>
      </w:r>
      <w:r>
        <w:rPr>
          <w:rFonts w:hint="eastAsia" w:ascii="Times New Roman" w:hAnsi="Times New Roman" w:eastAsia="仿宋" w:cstheme="minorBidi"/>
          <w:color w:val="auto"/>
          <w:kern w:val="2"/>
          <w:sz w:val="32"/>
          <w:szCs w:val="22"/>
        </w:rPr>
        <w:t>对于不能吞咽药片或胶囊的患者，宜选用可分散于液体中的肠溶颗粒、肠溶片或者口崩片，口服或者鼻胃管给药。</w:t>
      </w:r>
    </w:p>
    <w:p>
      <w:pPr>
        <w:pStyle w:val="17"/>
        <w:numPr>
          <w:ilvl w:val="0"/>
          <w:numId w:val="2"/>
        </w:numPr>
        <w:kinsoku w:val="0"/>
        <w:overflowPunct w:val="0"/>
        <w:spacing w:before="0" w:beforeAutospacing="0" w:after="0" w:afterAutospacing="0" w:line="600" w:lineRule="exact"/>
        <w:ind w:firstLine="640"/>
        <w:rPr>
          <w:rStyle w:val="41"/>
          <w:rFonts w:ascii="楷体" w:hAnsi="楷体"/>
          <w:color w:val="auto"/>
        </w:rPr>
      </w:pPr>
      <w:r>
        <w:rPr>
          <w:rStyle w:val="41"/>
          <w:rFonts w:hint="eastAsia" w:ascii="楷体" w:hAnsi="楷体"/>
          <w:color w:val="auto"/>
        </w:rPr>
        <w:t>疗程</w:t>
      </w:r>
    </w:p>
    <w:p>
      <w:pPr>
        <w:pStyle w:val="17"/>
        <w:kinsoku w:val="0"/>
        <w:overflowPunct w:val="0"/>
        <w:spacing w:before="0" w:beforeAutospacing="0" w:after="0" w:afterAutospacing="0" w:line="600" w:lineRule="exact"/>
        <w:ind w:firstLine="640"/>
        <w:jc w:val="both"/>
        <w:rPr>
          <w:rFonts w:ascii="Times New Roman" w:hAnsi="Times New Roman" w:eastAsia="仿宋" w:cs="Arial"/>
          <w:bCs/>
          <w:color w:val="auto"/>
          <w:kern w:val="24"/>
          <w:sz w:val="32"/>
        </w:rPr>
      </w:pPr>
      <w:r>
        <w:rPr>
          <w:rFonts w:hint="eastAsia" w:ascii="Times New Roman" w:hAnsi="Times New Roman" w:eastAsia="仿宋" w:cs="Arial"/>
          <w:bCs/>
          <w:color w:val="auto"/>
          <w:kern w:val="24"/>
          <w:sz w:val="32"/>
        </w:rPr>
        <w:t>根据疾病的特点和治疗目标确定</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的治疗疗程，应予适合所治疗疾病的最短疗程。</w:t>
      </w: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用于预防应激性黏膜病变</w:t>
      </w:r>
      <w:r>
        <w:rPr>
          <w:rFonts w:hint="eastAsia" w:ascii="Times New Roman" w:hAnsi="Times New Roman" w:eastAsia="仿宋" w:cs="Arial"/>
          <w:bCs/>
          <w:color w:val="auto"/>
          <w:kern w:val="24"/>
          <w:sz w:val="32"/>
          <w:lang w:eastAsia="zh-CN"/>
        </w:rPr>
        <w:t>，</w:t>
      </w:r>
      <w:r>
        <w:rPr>
          <w:rFonts w:hint="eastAsia" w:ascii="Times New Roman" w:hAnsi="Times New Roman" w:eastAsia="仿宋" w:cs="Arial"/>
          <w:bCs/>
          <w:color w:val="auto"/>
          <w:kern w:val="24"/>
          <w:sz w:val="32"/>
        </w:rPr>
        <w:t>应及时评价疾病状态，仅存在严重危险因素时应用。</w:t>
      </w:r>
    </w:p>
    <w:p>
      <w:pPr>
        <w:pStyle w:val="17"/>
        <w:numPr>
          <w:ilvl w:val="0"/>
          <w:numId w:val="2"/>
        </w:numPr>
        <w:kinsoku w:val="0"/>
        <w:overflowPunct w:val="0"/>
        <w:spacing w:before="0" w:beforeAutospacing="0" w:after="0" w:afterAutospacing="0" w:line="600" w:lineRule="exact"/>
        <w:ind w:firstLine="640"/>
        <w:rPr>
          <w:rStyle w:val="41"/>
          <w:rFonts w:ascii="楷体" w:hAnsi="楷体"/>
          <w:color w:val="auto"/>
        </w:rPr>
      </w:pPr>
      <w:r>
        <w:rPr>
          <w:rStyle w:val="41"/>
          <w:rFonts w:hint="eastAsia" w:ascii="楷体" w:hAnsi="楷体"/>
          <w:color w:val="auto"/>
        </w:rPr>
        <w:t>抑酸剂的联合使用</w:t>
      </w:r>
    </w:p>
    <w:p>
      <w:pPr>
        <w:pStyle w:val="17"/>
        <w:kinsoku w:val="0"/>
        <w:overflowPunct w:val="0"/>
        <w:spacing w:before="0" w:beforeAutospacing="0" w:after="0" w:afterAutospacing="0" w:line="600" w:lineRule="exact"/>
        <w:ind w:firstLine="640"/>
        <w:rPr>
          <w:rFonts w:ascii="Times New Roman" w:hAnsi="Times New Roman" w:eastAsia="仿宋" w:cs="Arial"/>
          <w:bCs/>
          <w:color w:val="auto"/>
          <w:kern w:val="24"/>
          <w:sz w:val="32"/>
        </w:rPr>
      </w:pPr>
      <w:r>
        <w:rPr>
          <w:rFonts w:hint="eastAsia" w:ascii="Times New Roman" w:hAnsi="Times New Roman" w:eastAsia="仿宋" w:cs="Arial"/>
          <w:bCs/>
          <w:color w:val="auto"/>
          <w:kern w:val="24"/>
          <w:sz w:val="32"/>
          <w:lang w:eastAsia="zh-CN"/>
        </w:rPr>
        <w:t>质子泵抑制剂</w:t>
      </w:r>
      <w:r>
        <w:rPr>
          <w:rFonts w:hint="eastAsia" w:ascii="Times New Roman" w:hAnsi="Times New Roman" w:eastAsia="仿宋" w:cs="Arial"/>
          <w:bCs/>
          <w:color w:val="auto"/>
          <w:kern w:val="24"/>
          <w:sz w:val="32"/>
        </w:rPr>
        <w:t>不应与其他抑酸剂联合使用。若存在夜间酸突破症状，可在睡前或夜间加用</w:t>
      </w:r>
      <w:r>
        <w:rPr>
          <w:rFonts w:ascii="Times New Roman" w:hAnsi="Times New Roman" w:eastAsia="仿宋" w:cs="Arial"/>
          <w:bCs/>
          <w:color w:val="auto"/>
          <w:kern w:val="24"/>
          <w:sz w:val="32"/>
        </w:rPr>
        <w:t>H</w:t>
      </w:r>
      <w:r>
        <w:rPr>
          <w:rFonts w:ascii="Times New Roman" w:hAnsi="Times New Roman" w:eastAsia="仿宋" w:cs="Arial"/>
          <w:bCs/>
          <w:color w:val="auto"/>
          <w:kern w:val="24"/>
          <w:sz w:val="32"/>
          <w:vertAlign w:val="subscript"/>
        </w:rPr>
        <w:t>2</w:t>
      </w:r>
      <w:r>
        <w:rPr>
          <w:rFonts w:hint="eastAsia" w:ascii="Times New Roman" w:hAnsi="Times New Roman" w:eastAsia="仿宋" w:cs="Arial"/>
          <w:bCs/>
          <w:color w:val="auto"/>
          <w:kern w:val="24"/>
          <w:sz w:val="32"/>
        </w:rPr>
        <w:t>受体拮抗剂（</w:t>
      </w:r>
      <w:r>
        <w:rPr>
          <w:rFonts w:ascii="Times New Roman" w:hAnsi="Times New Roman" w:eastAsia="仿宋" w:cs="Arial"/>
          <w:bCs/>
          <w:color w:val="auto"/>
          <w:kern w:val="24"/>
          <w:sz w:val="32"/>
        </w:rPr>
        <w:t>Histamine-2 Receptor Antagonist</w:t>
      </w:r>
      <w:r>
        <w:rPr>
          <w:rFonts w:hint="eastAsia" w:ascii="Times New Roman" w:hAnsi="Times New Roman" w:eastAsia="仿宋" w:cs="Arial"/>
          <w:bCs/>
          <w:color w:val="auto"/>
          <w:kern w:val="24"/>
          <w:sz w:val="32"/>
        </w:rPr>
        <w:t>，</w:t>
      </w:r>
      <w:r>
        <w:rPr>
          <w:rFonts w:ascii="Times New Roman" w:hAnsi="Times New Roman" w:eastAsia="仿宋" w:cs="Arial"/>
          <w:bCs/>
          <w:color w:val="auto"/>
          <w:kern w:val="24"/>
          <w:sz w:val="32"/>
        </w:rPr>
        <w:t>H</w:t>
      </w:r>
      <w:r>
        <w:rPr>
          <w:rFonts w:ascii="Times New Roman" w:hAnsi="Times New Roman" w:eastAsia="仿宋" w:cs="Arial"/>
          <w:bCs/>
          <w:color w:val="auto"/>
          <w:kern w:val="24"/>
          <w:sz w:val="32"/>
          <w:vertAlign w:val="subscript"/>
        </w:rPr>
        <w:t>2</w:t>
      </w:r>
      <w:r>
        <w:rPr>
          <w:rFonts w:ascii="Times New Roman" w:hAnsi="Times New Roman" w:eastAsia="仿宋" w:cs="Arial"/>
          <w:bCs/>
          <w:color w:val="auto"/>
          <w:kern w:val="24"/>
          <w:sz w:val="32"/>
        </w:rPr>
        <w:t>RA</w:t>
      </w:r>
      <w:r>
        <w:rPr>
          <w:rFonts w:hint="eastAsia" w:ascii="Times New Roman" w:hAnsi="Times New Roman" w:eastAsia="仿宋" w:cs="Arial"/>
          <w:bCs/>
          <w:color w:val="auto"/>
          <w:kern w:val="24"/>
          <w:sz w:val="32"/>
        </w:rPr>
        <w:t>）。</w:t>
      </w:r>
    </w:p>
    <w:p>
      <w:pPr>
        <w:pStyle w:val="4"/>
        <w:spacing w:before="240" w:line="600" w:lineRule="exact"/>
        <w:ind w:left="0" w:firstLine="643"/>
        <w:rPr>
          <w:b w:val="0"/>
          <w:bCs w:val="0"/>
          <w:color w:val="auto"/>
        </w:rPr>
      </w:pPr>
      <w:bookmarkStart w:id="9" w:name="_Toc535269723"/>
      <w:r>
        <w:rPr>
          <w:rFonts w:hint="eastAsia"/>
          <w:b w:val="0"/>
          <w:bCs w:val="0"/>
          <w:color w:val="auto"/>
        </w:rPr>
        <w:t>特殊情况下的药物合理使用</w:t>
      </w:r>
      <w:bookmarkEnd w:id="9"/>
    </w:p>
    <w:p>
      <w:pPr>
        <w:spacing w:line="600" w:lineRule="exact"/>
        <w:ind w:firstLine="640"/>
        <w:rPr>
          <w:color w:val="auto"/>
        </w:rPr>
      </w:pPr>
      <w:r>
        <w:rPr>
          <w:rFonts w:hint="eastAsia"/>
          <w:color w:val="auto"/>
          <w:lang w:eastAsia="zh-CN"/>
        </w:rPr>
        <w:t>质子泵抑制剂</w:t>
      </w:r>
      <w:r>
        <w:rPr>
          <w:rFonts w:hint="eastAsia"/>
          <w:color w:val="auto"/>
        </w:rPr>
        <w:t>临床应用中存在着部分超出药品说明书适应</w:t>
      </w:r>
      <w:r>
        <w:rPr>
          <w:rFonts w:hint="default"/>
          <w:color w:val="auto"/>
        </w:rPr>
        <w:t>症</w:t>
      </w:r>
      <w:r>
        <w:rPr>
          <w:rFonts w:hint="eastAsia"/>
          <w:color w:val="auto"/>
        </w:rPr>
        <w:t>和用法用量的特殊情况。医疗机构药事管理与药物治疗学委员会应当制订本院“</w:t>
      </w:r>
      <w:r>
        <w:rPr>
          <w:rFonts w:hint="eastAsia"/>
          <w:color w:val="auto"/>
          <w:lang w:eastAsia="zh-CN"/>
        </w:rPr>
        <w:t>质子泵抑制剂</w:t>
      </w:r>
      <w:r>
        <w:rPr>
          <w:rFonts w:hint="eastAsia"/>
          <w:color w:val="auto"/>
        </w:rPr>
        <w:t>合理使用管理规定”，对特殊情况下药物合理使用进行严格管理。在尚无更好治疗手段且无合理可替代药品的特殊情况下，向医疗机构药事管理与药物治疗学委员会申请，备案批准后方可实施。应当严格遵循患者知情同意的原则，做好用药监测和评价。</w:t>
      </w:r>
    </w:p>
    <w:p>
      <w:pPr>
        <w:pStyle w:val="4"/>
        <w:spacing w:before="240" w:line="600" w:lineRule="exact"/>
        <w:ind w:left="0" w:firstLine="643"/>
        <w:rPr>
          <w:b w:val="0"/>
          <w:bCs w:val="0"/>
          <w:color w:val="auto"/>
        </w:rPr>
      </w:pPr>
      <w:bookmarkStart w:id="10" w:name="_Toc535269724"/>
      <w:r>
        <w:rPr>
          <w:rFonts w:hint="eastAsia"/>
          <w:b w:val="0"/>
          <w:bCs w:val="0"/>
          <w:color w:val="auto"/>
        </w:rPr>
        <w:t>监测药物相关的不良反应</w:t>
      </w:r>
      <w:bookmarkEnd w:id="10"/>
    </w:p>
    <w:p>
      <w:pPr>
        <w:pStyle w:val="17"/>
        <w:numPr>
          <w:ilvl w:val="-1"/>
          <w:numId w:val="0"/>
        </w:numPr>
        <w:kinsoku w:val="0"/>
        <w:overflowPunct w:val="0"/>
        <w:spacing w:before="0" w:beforeAutospacing="0" w:after="0" w:afterAutospacing="0" w:line="600" w:lineRule="exact"/>
        <w:ind w:left="0" w:firstLine="0"/>
        <w:jc w:val="both"/>
        <w:rPr>
          <w:rFonts w:ascii="Times New Roman" w:hAnsi="Times New Roman" w:eastAsia="仿宋" w:cstheme="minorBidi"/>
          <w:color w:val="auto"/>
          <w:kern w:val="2"/>
          <w:sz w:val="32"/>
          <w:szCs w:val="22"/>
        </w:rPr>
      </w:pPr>
      <w:r>
        <w:rPr>
          <w:rFonts w:hint="default" w:ascii="Times New Roman" w:hAnsi="Times New Roman" w:eastAsia="仿宋" w:cstheme="minorBidi"/>
          <w:color w:val="auto"/>
          <w:kern w:val="2"/>
          <w:sz w:val="32"/>
          <w:szCs w:val="22"/>
        </w:rPr>
        <w:t xml:space="preserve">    </w:t>
      </w:r>
      <w:r>
        <w:rPr>
          <w:rFonts w:hint="eastAsia" w:ascii="Times New Roman" w:hAnsi="Times New Roman" w:eastAsia="仿宋" w:cstheme="minorBidi"/>
          <w:color w:val="auto"/>
          <w:kern w:val="2"/>
          <w:sz w:val="32"/>
          <w:szCs w:val="22"/>
        </w:rPr>
        <w:t>警惕</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长期或高剂量用药可能产生的不良反应，包括高胃泌素血症、骨质疏松、低镁血症、难辨梭状芽孢杆菌感染、维生素</w:t>
      </w:r>
      <w:r>
        <w:rPr>
          <w:rFonts w:ascii="Times New Roman" w:hAnsi="Times New Roman" w:eastAsia="仿宋" w:cstheme="minorBidi"/>
          <w:color w:val="auto"/>
          <w:kern w:val="2"/>
          <w:sz w:val="32"/>
          <w:szCs w:val="22"/>
        </w:rPr>
        <w:t>B</w:t>
      </w:r>
      <w:r>
        <w:rPr>
          <w:rFonts w:ascii="Times New Roman" w:hAnsi="Times New Roman" w:eastAsia="仿宋" w:cstheme="minorBidi"/>
          <w:color w:val="auto"/>
          <w:kern w:val="2"/>
          <w:sz w:val="32"/>
          <w:szCs w:val="22"/>
          <w:vertAlign w:val="subscript"/>
        </w:rPr>
        <w:t>12</w:t>
      </w:r>
      <w:r>
        <w:rPr>
          <w:rFonts w:hint="eastAsia" w:ascii="Times New Roman" w:hAnsi="Times New Roman" w:eastAsia="仿宋" w:cstheme="minorBidi"/>
          <w:color w:val="auto"/>
          <w:kern w:val="2"/>
          <w:sz w:val="32"/>
          <w:szCs w:val="22"/>
        </w:rPr>
        <w:t>和铁吸收不良、肺炎、肿瘤等。</w:t>
      </w:r>
    </w:p>
    <w:p>
      <w:pPr>
        <w:pStyle w:val="17"/>
        <w:numPr>
          <w:ilvl w:val="-1"/>
          <w:numId w:val="0"/>
        </w:numPr>
        <w:kinsoku w:val="0"/>
        <w:overflowPunct w:val="0"/>
        <w:spacing w:before="0" w:beforeAutospacing="0" w:after="0" w:afterAutospacing="0" w:line="600" w:lineRule="exact"/>
        <w:ind w:left="0" w:firstLine="0"/>
        <w:jc w:val="both"/>
        <w:rPr>
          <w:rFonts w:ascii="Times New Roman" w:hAnsi="Times New Roman" w:eastAsia="仿宋" w:cstheme="minorBidi"/>
          <w:color w:val="auto"/>
          <w:kern w:val="2"/>
          <w:sz w:val="32"/>
          <w:szCs w:val="22"/>
        </w:rPr>
      </w:pPr>
      <w:r>
        <w:rPr>
          <w:rFonts w:hint="default" w:ascii="Times New Roman" w:hAnsi="Times New Roman" w:eastAsia="仿宋" w:cstheme="minorBidi"/>
          <w:color w:val="auto"/>
          <w:kern w:val="2"/>
          <w:sz w:val="32"/>
          <w:szCs w:val="22"/>
        </w:rPr>
        <w:t xml:space="preserve">    </w:t>
      </w:r>
      <w:r>
        <w:rPr>
          <w:rFonts w:hint="eastAsia" w:ascii="Times New Roman" w:hAnsi="Times New Roman" w:eastAsia="仿宋" w:cstheme="minorBidi"/>
          <w:color w:val="auto"/>
          <w:kern w:val="2"/>
          <w:sz w:val="32"/>
          <w:szCs w:val="22"/>
        </w:rPr>
        <w:t>警惕</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与其他药物合并使用引起的不良反应。</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主要经过</w:t>
      </w:r>
      <w:r>
        <w:rPr>
          <w:rFonts w:ascii="Times New Roman" w:hAnsi="Times New Roman" w:eastAsia="仿宋" w:cstheme="minorBidi"/>
          <w:color w:val="auto"/>
          <w:kern w:val="2"/>
          <w:sz w:val="32"/>
          <w:szCs w:val="22"/>
        </w:rPr>
        <w:t>CYP2C19</w:t>
      </w:r>
      <w:r>
        <w:rPr>
          <w:rFonts w:hint="eastAsia" w:ascii="Times New Roman" w:hAnsi="Times New Roman" w:eastAsia="仿宋" w:cstheme="minorBidi"/>
          <w:color w:val="auto"/>
          <w:kern w:val="2"/>
          <w:sz w:val="32"/>
          <w:szCs w:val="22"/>
        </w:rPr>
        <w:t>和</w:t>
      </w:r>
      <w:r>
        <w:rPr>
          <w:rFonts w:ascii="Times New Roman" w:hAnsi="Times New Roman" w:eastAsia="仿宋" w:cstheme="minorBidi"/>
          <w:color w:val="auto"/>
          <w:kern w:val="2"/>
          <w:sz w:val="32"/>
          <w:szCs w:val="22"/>
        </w:rPr>
        <w:t>CYP3A4</w:t>
      </w:r>
      <w:r>
        <w:rPr>
          <w:rFonts w:hint="eastAsia" w:ascii="Times New Roman" w:hAnsi="Times New Roman" w:eastAsia="仿宋" w:cstheme="minorBidi"/>
          <w:color w:val="auto"/>
          <w:kern w:val="2"/>
          <w:sz w:val="32"/>
          <w:szCs w:val="22"/>
        </w:rPr>
        <w:t>代谢（见</w:t>
      </w:r>
      <w:r>
        <w:rPr>
          <w:color w:val="auto"/>
        </w:rPr>
        <w:fldChar w:fldCharType="begin"/>
      </w:r>
      <w:r>
        <w:rPr>
          <w:color w:val="auto"/>
        </w:rPr>
        <w:instrText xml:space="preserve"> REF _Ref527917081 \h  \* MERGEFORMAT </w:instrText>
      </w:r>
      <w:r>
        <w:rPr>
          <w:color w:val="auto"/>
        </w:rPr>
        <w:fldChar w:fldCharType="separate"/>
      </w:r>
      <w:r>
        <w:rPr>
          <w:rFonts w:hint="eastAsia" w:ascii="Times New Roman" w:hAnsi="Times New Roman" w:eastAsia="仿宋" w:cstheme="minorBidi"/>
          <w:color w:val="auto"/>
          <w:kern w:val="2"/>
          <w:sz w:val="32"/>
          <w:szCs w:val="22"/>
        </w:rPr>
        <w:t>表1-</w:t>
      </w:r>
      <w:r>
        <w:rPr>
          <w:rFonts w:ascii="Times New Roman" w:hAnsi="Times New Roman" w:eastAsia="仿宋" w:cstheme="minorBidi"/>
          <w:color w:val="auto"/>
          <w:kern w:val="2"/>
          <w:sz w:val="32"/>
          <w:szCs w:val="22"/>
        </w:rPr>
        <w:t xml:space="preserve"> 3</w:t>
      </w:r>
      <w:r>
        <w:rPr>
          <w:color w:val="auto"/>
        </w:rPr>
        <w:fldChar w:fldCharType="end"/>
      </w:r>
      <w:r>
        <w:rPr>
          <w:rFonts w:hint="eastAsia" w:ascii="Times New Roman" w:hAnsi="Times New Roman" w:eastAsia="仿宋" w:cstheme="minorBidi"/>
          <w:color w:val="auto"/>
          <w:kern w:val="2"/>
          <w:sz w:val="32"/>
          <w:szCs w:val="22"/>
        </w:rPr>
        <w:t>），与其他经</w:t>
      </w:r>
      <w:r>
        <w:rPr>
          <w:rFonts w:ascii="Times New Roman" w:hAnsi="Times New Roman" w:eastAsia="仿宋" w:cstheme="minorBidi"/>
          <w:color w:val="auto"/>
          <w:kern w:val="2"/>
          <w:sz w:val="32"/>
          <w:szCs w:val="22"/>
        </w:rPr>
        <w:t>CYP2C19</w:t>
      </w:r>
      <w:r>
        <w:rPr>
          <w:rFonts w:hint="eastAsia" w:ascii="Times New Roman" w:hAnsi="Times New Roman" w:eastAsia="仿宋" w:cstheme="minorBidi"/>
          <w:color w:val="auto"/>
          <w:kern w:val="2"/>
          <w:sz w:val="32"/>
          <w:szCs w:val="22"/>
        </w:rPr>
        <w:t>和</w:t>
      </w:r>
      <w:r>
        <w:rPr>
          <w:rFonts w:ascii="Times New Roman" w:hAnsi="Times New Roman" w:eastAsia="仿宋" w:cstheme="minorBidi"/>
          <w:color w:val="auto"/>
          <w:kern w:val="2"/>
          <w:sz w:val="32"/>
          <w:szCs w:val="22"/>
        </w:rPr>
        <w:t>CYP3A4</w:t>
      </w:r>
      <w:r>
        <w:rPr>
          <w:rFonts w:hint="eastAsia" w:ascii="Times New Roman" w:hAnsi="Times New Roman" w:eastAsia="仿宋" w:cstheme="minorBidi"/>
          <w:color w:val="auto"/>
          <w:kern w:val="2"/>
          <w:sz w:val="32"/>
          <w:szCs w:val="22"/>
        </w:rPr>
        <w:t>代谢的药物或者酶诱导剂、酶抑制剂或底物合用可能会产生相互作用，如华法林、地西泮、苯妥英、茶碱、地高辛、卡马西平、氯吡格雷、硝苯地平、利巴韦林、甲氨蝶呤、</w:t>
      </w:r>
      <w:r>
        <w:rPr>
          <w:rFonts w:ascii="Times New Roman" w:hAnsi="Times New Roman" w:eastAsia="仿宋" w:cstheme="minorBidi"/>
          <w:color w:val="auto"/>
          <w:kern w:val="2"/>
          <w:sz w:val="32"/>
          <w:szCs w:val="22"/>
        </w:rPr>
        <w:t>HIV</w:t>
      </w:r>
      <w:r>
        <w:rPr>
          <w:rFonts w:hint="eastAsia" w:ascii="Times New Roman" w:hAnsi="Times New Roman" w:eastAsia="仿宋" w:cstheme="minorBidi"/>
          <w:color w:val="auto"/>
          <w:kern w:val="2"/>
          <w:sz w:val="32"/>
          <w:szCs w:val="22"/>
        </w:rPr>
        <w:t>蛋白酶抑制剂、伏立康唑和他克莫司等。</w:t>
      </w:r>
    </w:p>
    <w:p>
      <w:pPr>
        <w:pStyle w:val="8"/>
        <w:jc w:val="center"/>
        <w:rPr>
          <w:rFonts w:ascii="Times New Roman" w:hAnsi="Times New Roman" w:eastAsia="宋体" w:cs="Arial"/>
          <w:b w:val="0"/>
          <w:bCs/>
          <w:color w:val="auto"/>
          <w:kern w:val="24"/>
          <w:szCs w:val="24"/>
        </w:rPr>
      </w:pPr>
      <w:bookmarkStart w:id="11" w:name="_Ref527917081"/>
      <w:r>
        <w:rPr>
          <w:rFonts w:hint="eastAsia" w:ascii="Times New Roman" w:hAnsi="Times New Roman" w:eastAsia="宋体" w:cs="Arial"/>
          <w:b w:val="0"/>
          <w:bCs/>
          <w:color w:val="auto"/>
          <w:kern w:val="24"/>
          <w:szCs w:val="24"/>
        </w:rPr>
        <w:t>表1-</w:t>
      </w:r>
      <w:r>
        <w:rPr>
          <w:rFonts w:ascii="Times New Roman" w:hAnsi="Times New Roman" w:eastAsia="宋体" w:cs="Arial"/>
          <w:b w:val="0"/>
          <w:bCs/>
          <w:color w:val="auto"/>
          <w:kern w:val="24"/>
          <w:szCs w:val="24"/>
        </w:rPr>
        <w:t xml:space="preserve"> </w:t>
      </w:r>
      <w:bookmarkEnd w:id="11"/>
      <w:r>
        <w:rPr>
          <w:rFonts w:ascii="Times New Roman" w:hAnsi="Times New Roman" w:eastAsia="宋体" w:cs="Arial"/>
          <w:b w:val="0"/>
          <w:bCs/>
          <w:color w:val="auto"/>
          <w:kern w:val="24"/>
          <w:szCs w:val="24"/>
        </w:rPr>
        <w:t xml:space="preserve">3 </w:t>
      </w:r>
      <w:r>
        <w:rPr>
          <w:rFonts w:hint="eastAsia" w:ascii="Times New Roman" w:hAnsi="Times New Roman" w:eastAsia="宋体" w:cs="Arial"/>
          <w:b w:val="0"/>
          <w:bCs/>
          <w:color w:val="auto"/>
          <w:kern w:val="24"/>
          <w:szCs w:val="24"/>
          <w:lang w:eastAsia="zh-CN"/>
        </w:rPr>
        <w:t>质子泵抑制剂</w:t>
      </w:r>
      <w:r>
        <w:rPr>
          <w:rFonts w:hint="eastAsia" w:ascii="Times New Roman" w:hAnsi="Times New Roman" w:eastAsia="宋体" w:cs="Arial"/>
          <w:b w:val="0"/>
          <w:bCs/>
          <w:color w:val="auto"/>
          <w:kern w:val="24"/>
          <w:szCs w:val="24"/>
        </w:rPr>
        <w:t>的代谢途径</w:t>
      </w:r>
    </w:p>
    <w:tbl>
      <w:tblPr>
        <w:tblStyle w:val="52"/>
        <w:tblpPr w:leftFromText="180" w:rightFromText="180" w:vertAnchor="text" w:horzAnchor="margin" w:tblpXSpec="center" w:tblpY="88"/>
        <w:tblW w:w="946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402"/>
        <w:gridCol w:w="1402"/>
        <w:gridCol w:w="1402"/>
        <w:gridCol w:w="1194"/>
        <w:gridCol w:w="1559"/>
        <w:gridCol w:w="113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 w:hRule="atLeast"/>
        </w:trPr>
        <w:tc>
          <w:tcPr>
            <w:tcW w:w="1371"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代谢途径</w:t>
            </w:r>
          </w:p>
        </w:tc>
        <w:tc>
          <w:tcPr>
            <w:tcW w:w="1402"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奥美拉唑</w:t>
            </w:r>
          </w:p>
        </w:tc>
        <w:tc>
          <w:tcPr>
            <w:tcW w:w="1402"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兰索拉唑</w:t>
            </w:r>
          </w:p>
        </w:tc>
        <w:tc>
          <w:tcPr>
            <w:tcW w:w="1402"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泮托拉唑</w:t>
            </w:r>
          </w:p>
        </w:tc>
        <w:tc>
          <w:tcPr>
            <w:tcW w:w="1194"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雷贝拉唑</w:t>
            </w:r>
            <w:r>
              <w:rPr>
                <w:rFonts w:ascii="Times New Roman" w:hAnsi="Times New Roman" w:cs="Arial"/>
                <w:bCs/>
                <w:color w:val="auto"/>
                <w:kern w:val="24"/>
                <w:sz w:val="21"/>
                <w:vertAlign w:val="superscript"/>
              </w:rPr>
              <w:t>*</w:t>
            </w:r>
          </w:p>
        </w:tc>
        <w:tc>
          <w:tcPr>
            <w:tcW w:w="1559"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艾司奥美拉唑</w:t>
            </w:r>
          </w:p>
        </w:tc>
        <w:tc>
          <w:tcPr>
            <w:tcW w:w="1134" w:type="dxa"/>
            <w:tcBorders>
              <w:top w:val="single" w:color="auto" w:sz="12" w:space="0"/>
              <w:bottom w:val="single" w:color="auto" w:sz="8"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艾普拉唑</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 w:hRule="atLeast"/>
        </w:trPr>
        <w:tc>
          <w:tcPr>
            <w:tcW w:w="1371"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主要</w:t>
            </w:r>
          </w:p>
        </w:tc>
        <w:tc>
          <w:tcPr>
            <w:tcW w:w="1402"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CYP2C19</w:t>
            </w:r>
          </w:p>
        </w:tc>
        <w:tc>
          <w:tcPr>
            <w:tcW w:w="1402"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c>
          <w:tcPr>
            <w:tcW w:w="1402"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CYP2C19</w:t>
            </w:r>
          </w:p>
        </w:tc>
        <w:tc>
          <w:tcPr>
            <w:tcW w:w="1194"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CYP2C19</w:t>
            </w:r>
          </w:p>
        </w:tc>
        <w:tc>
          <w:tcPr>
            <w:tcW w:w="1559"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CYP2C19</w:t>
            </w:r>
          </w:p>
        </w:tc>
        <w:tc>
          <w:tcPr>
            <w:tcW w:w="1134" w:type="dxa"/>
            <w:tcBorders>
              <w:top w:val="single" w:color="auto" w:sz="8" w:space="0"/>
              <w:bottom w:val="nil"/>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 w:hRule="atLeast"/>
        </w:trPr>
        <w:tc>
          <w:tcPr>
            <w:tcW w:w="1371"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hint="eastAsia" w:ascii="Times New Roman" w:hAnsi="Times New Roman" w:cs="Arial"/>
                <w:bCs/>
                <w:color w:val="auto"/>
                <w:kern w:val="24"/>
                <w:sz w:val="21"/>
              </w:rPr>
              <w:t>次要</w:t>
            </w:r>
          </w:p>
        </w:tc>
        <w:tc>
          <w:tcPr>
            <w:tcW w:w="1402"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c>
          <w:tcPr>
            <w:tcW w:w="1402"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CYP2C19</w:t>
            </w:r>
          </w:p>
        </w:tc>
        <w:tc>
          <w:tcPr>
            <w:tcW w:w="1402"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c>
          <w:tcPr>
            <w:tcW w:w="1194"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c>
          <w:tcPr>
            <w:tcW w:w="1559"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r>
              <w:rPr>
                <w:rFonts w:ascii="Times New Roman" w:hAnsi="Times New Roman" w:cs="Arial"/>
                <w:bCs/>
                <w:color w:val="auto"/>
                <w:kern w:val="24"/>
                <w:sz w:val="21"/>
              </w:rPr>
              <w:t>CYP3A4</w:t>
            </w:r>
          </w:p>
        </w:tc>
        <w:tc>
          <w:tcPr>
            <w:tcW w:w="1134" w:type="dxa"/>
            <w:tcBorders>
              <w:top w:val="nil"/>
              <w:bottom w:val="single" w:color="auto" w:sz="12" w:space="0"/>
            </w:tcBorders>
          </w:tcPr>
          <w:p>
            <w:pPr>
              <w:pStyle w:val="17"/>
              <w:kinsoku w:val="0"/>
              <w:overflowPunct w:val="0"/>
              <w:spacing w:before="0" w:beforeAutospacing="0" w:after="0" w:afterAutospacing="0"/>
              <w:rPr>
                <w:rFonts w:ascii="Times New Roman" w:hAnsi="Times New Roman" w:cs="Arial"/>
                <w:bCs/>
                <w:color w:val="auto"/>
                <w:kern w:val="24"/>
                <w:sz w:val="21"/>
              </w:rPr>
            </w:pPr>
          </w:p>
        </w:tc>
      </w:tr>
    </w:tbl>
    <w:p>
      <w:pPr>
        <w:rPr>
          <w:rFonts w:eastAsia="宋体" w:cs="Arial"/>
          <w:bCs/>
          <w:color w:val="auto"/>
          <w:kern w:val="24"/>
          <w:sz w:val="21"/>
          <w:szCs w:val="24"/>
        </w:rPr>
      </w:pPr>
      <w:r>
        <w:rPr>
          <w:rFonts w:eastAsia="宋体" w:cs="Arial"/>
          <w:bCs/>
          <w:color w:val="auto"/>
          <w:kern w:val="24"/>
          <w:sz w:val="21"/>
          <w:szCs w:val="24"/>
        </w:rPr>
        <w:t>备注</w:t>
      </w:r>
      <w:r>
        <w:rPr>
          <w:rFonts w:hint="eastAsia" w:eastAsia="宋体" w:cs="Arial"/>
          <w:bCs/>
          <w:color w:val="auto"/>
          <w:kern w:val="24"/>
          <w:sz w:val="21"/>
          <w:szCs w:val="24"/>
        </w:rPr>
        <w:t>：*部分经磺基转移酶代谢</w:t>
      </w:r>
    </w:p>
    <w:p>
      <w:pPr>
        <w:pStyle w:val="4"/>
        <w:spacing w:before="240" w:line="600" w:lineRule="exact"/>
        <w:ind w:left="0" w:firstLine="643"/>
        <w:rPr>
          <w:b w:val="0"/>
          <w:bCs w:val="0"/>
          <w:color w:val="auto"/>
        </w:rPr>
      </w:pPr>
      <w:bookmarkStart w:id="12" w:name="_Toc535269725"/>
      <w:r>
        <w:rPr>
          <w:rFonts w:hint="eastAsia"/>
          <w:b w:val="0"/>
          <w:bCs w:val="0"/>
          <w:color w:val="auto"/>
        </w:rPr>
        <w:t>关注药物相互作用</w:t>
      </w:r>
      <w:bookmarkEnd w:id="12"/>
    </w:p>
    <w:p>
      <w:pPr>
        <w:spacing w:line="600" w:lineRule="exact"/>
        <w:ind w:firstLine="640"/>
        <w:rPr>
          <w:color w:val="auto"/>
        </w:rPr>
      </w:pPr>
      <w:r>
        <w:rPr>
          <w:rFonts w:hint="eastAsia"/>
          <w:color w:val="auto"/>
          <w:lang w:eastAsia="zh-CN"/>
        </w:rPr>
        <w:t>质子泵抑制剂</w:t>
      </w:r>
      <w:r>
        <w:rPr>
          <w:rFonts w:hint="eastAsia"/>
          <w:color w:val="auto"/>
        </w:rPr>
        <w:t>可改变胃内</w:t>
      </w:r>
      <w:r>
        <w:rPr>
          <w:color w:val="auto"/>
        </w:rPr>
        <w:t>pH</w:t>
      </w:r>
      <w:r>
        <w:rPr>
          <w:rFonts w:hint="eastAsia"/>
          <w:color w:val="auto"/>
        </w:rPr>
        <w:t>而影响其他药物的吸收和</w:t>
      </w:r>
      <w:r>
        <w:rPr>
          <w:color w:val="auto"/>
        </w:rPr>
        <w:t>/</w:t>
      </w:r>
      <w:r>
        <w:rPr>
          <w:rFonts w:hint="eastAsia"/>
          <w:color w:val="auto"/>
        </w:rPr>
        <w:t>或溶解，如酮康唑、伊曲康唑、卡培他滨等。如必须联合使用，宜选择相互作用最小的品种，密切监测临床疗效和不良反应，及时调整用药剂量和疗程。</w:t>
      </w:r>
    </w:p>
    <w:p>
      <w:pPr>
        <w:spacing w:line="600" w:lineRule="exact"/>
        <w:ind w:firstLine="640"/>
        <w:rPr>
          <w:color w:val="auto"/>
        </w:rPr>
      </w:pPr>
      <w:r>
        <w:rPr>
          <w:rFonts w:hint="eastAsia"/>
          <w:color w:val="auto"/>
        </w:rPr>
        <w:t>大多数</w:t>
      </w:r>
      <w:r>
        <w:rPr>
          <w:rFonts w:hint="eastAsia"/>
          <w:color w:val="auto"/>
          <w:lang w:eastAsia="zh-CN"/>
        </w:rPr>
        <w:t>质子泵抑制剂</w:t>
      </w:r>
      <w:r>
        <w:rPr>
          <w:rFonts w:hint="eastAsia"/>
          <w:color w:val="auto"/>
        </w:rPr>
        <w:t>为弱碱性药物，易与酸性药物发生中和反应，建议单独输注，并选择适宜溶媒。</w:t>
      </w:r>
      <w:r>
        <w:rPr>
          <w:rFonts w:hint="eastAsia"/>
          <w:color w:val="auto"/>
          <w:lang w:eastAsia="zh-CN"/>
        </w:rPr>
        <w:t>质子泵抑制剂</w:t>
      </w:r>
      <w:r>
        <w:rPr>
          <w:rFonts w:hint="eastAsia"/>
          <w:color w:val="auto"/>
        </w:rPr>
        <w:t>输注前后也应冲管，避免配伍禁忌导致药液的浑浊和沉淀。</w:t>
      </w:r>
    </w:p>
    <w:p>
      <w:pPr>
        <w:rPr>
          <w:color w:val="auto"/>
        </w:rPr>
      </w:pPr>
    </w:p>
    <w:p>
      <w:pPr>
        <w:pStyle w:val="3"/>
        <w:spacing w:line="600" w:lineRule="exact"/>
        <w:rPr>
          <w:color w:val="auto"/>
        </w:rPr>
      </w:pPr>
      <w:bookmarkStart w:id="13" w:name="_Toc535269726"/>
      <w:r>
        <w:rPr>
          <w:rFonts w:hint="eastAsia"/>
          <w:color w:val="auto"/>
        </w:rPr>
        <w:t>质子泵抑制剂在特殊病理、生理状况患者中应用的基本原则</w:t>
      </w:r>
      <w:bookmarkEnd w:id="13"/>
    </w:p>
    <w:p>
      <w:pPr>
        <w:pStyle w:val="4"/>
        <w:numPr>
          <w:ilvl w:val="0"/>
          <w:numId w:val="3"/>
        </w:numPr>
        <w:spacing w:before="240" w:line="600" w:lineRule="exact"/>
        <w:ind w:left="0" w:firstLine="643"/>
        <w:rPr>
          <w:b w:val="0"/>
          <w:bCs w:val="0"/>
          <w:color w:val="auto"/>
        </w:rPr>
      </w:pPr>
      <w:bookmarkStart w:id="14" w:name="_Toc535269727"/>
      <w:r>
        <w:rPr>
          <w:rFonts w:hint="eastAsia"/>
          <w:b w:val="0"/>
          <w:bCs w:val="0"/>
          <w:color w:val="auto"/>
        </w:rPr>
        <w:t>肝、肾功能减退患者</w:t>
      </w:r>
      <w:r>
        <w:rPr>
          <w:rFonts w:hint="eastAsia"/>
          <w:b w:val="0"/>
          <w:bCs w:val="0"/>
          <w:color w:val="auto"/>
          <w:lang w:eastAsia="zh-CN"/>
        </w:rPr>
        <w:t>质子泵抑制剂</w:t>
      </w:r>
      <w:r>
        <w:rPr>
          <w:rFonts w:hint="eastAsia"/>
          <w:b w:val="0"/>
          <w:bCs w:val="0"/>
          <w:color w:val="auto"/>
        </w:rPr>
        <w:t>的应用</w:t>
      </w:r>
      <w:bookmarkEnd w:id="14"/>
    </w:p>
    <w:p>
      <w:pPr>
        <w:spacing w:line="600" w:lineRule="exact"/>
        <w:ind w:firstLine="640"/>
        <w:jc w:val="both"/>
        <w:rPr>
          <w:color w:val="auto"/>
          <w:highlight w:val="none"/>
        </w:rPr>
      </w:pPr>
      <w:r>
        <w:rPr>
          <w:rFonts w:hint="eastAsia"/>
          <w:color w:val="auto"/>
          <w:lang w:eastAsia="zh-CN"/>
        </w:rPr>
        <w:t>质子泵抑制剂</w:t>
      </w:r>
      <w:r>
        <w:rPr>
          <w:rFonts w:hint="eastAsia"/>
          <w:color w:val="auto"/>
        </w:rPr>
        <w:t>在人体内经肝脏代谢。肝功能减退时，</w:t>
      </w:r>
      <w:r>
        <w:rPr>
          <w:rFonts w:hint="eastAsia"/>
          <w:color w:val="auto"/>
          <w:lang w:eastAsia="zh-CN"/>
        </w:rPr>
        <w:t>质子泵抑制剂</w:t>
      </w:r>
      <w:r>
        <w:rPr>
          <w:rFonts w:hint="eastAsia"/>
          <w:color w:val="auto"/>
        </w:rPr>
        <w:t>的选用及剂量调整须要考虑肝功能减退对药物在体内代谢过程的影响，以及</w:t>
      </w:r>
      <w:r>
        <w:rPr>
          <w:rFonts w:hint="eastAsia"/>
          <w:color w:val="auto"/>
          <w:lang w:eastAsia="zh-CN"/>
        </w:rPr>
        <w:t>质子泵抑制剂</w:t>
      </w:r>
      <w:r>
        <w:rPr>
          <w:rFonts w:hint="eastAsia"/>
          <w:color w:val="auto"/>
        </w:rPr>
        <w:t>及其代谢物发生毒性反应的可能</w:t>
      </w:r>
      <w:r>
        <w:rPr>
          <w:rFonts w:hint="eastAsia"/>
          <w:color w:val="auto"/>
          <w:highlight w:val="none"/>
        </w:rPr>
        <w:t>性（见</w:t>
      </w:r>
      <w:r>
        <w:rPr>
          <w:color w:val="auto"/>
          <w:highlight w:val="none"/>
        </w:rPr>
        <w:fldChar w:fldCharType="begin"/>
      </w:r>
      <w:r>
        <w:rPr>
          <w:color w:val="auto"/>
          <w:highlight w:val="none"/>
        </w:rPr>
        <w:instrText xml:space="preserve"> REF _Ref522091696 \h  \* MERGEFORMAT </w:instrText>
      </w:r>
      <w:r>
        <w:rPr>
          <w:color w:val="auto"/>
          <w:highlight w:val="none"/>
        </w:rPr>
        <w:fldChar w:fldCharType="separate"/>
      </w:r>
      <w:r>
        <w:rPr>
          <w:rFonts w:hint="eastAsia"/>
          <w:color w:val="auto"/>
          <w:highlight w:val="none"/>
        </w:rPr>
        <w:t xml:space="preserve">表1- </w:t>
      </w:r>
      <w:r>
        <w:rPr>
          <w:rFonts w:hint="eastAsia"/>
          <w:color w:val="auto"/>
          <w:highlight w:val="none"/>
          <w:lang w:val="en-US" w:eastAsia="zh-CN"/>
        </w:rPr>
        <w:t>4</w:t>
      </w:r>
      <w:r>
        <w:rPr>
          <w:color w:val="auto"/>
          <w:highlight w:val="none"/>
        </w:rPr>
        <w:t xml:space="preserve"> </w:t>
      </w:r>
      <w:r>
        <w:rPr>
          <w:color w:val="auto"/>
          <w:highlight w:val="none"/>
        </w:rPr>
        <w:fldChar w:fldCharType="end"/>
      </w:r>
      <w:r>
        <w:rPr>
          <w:rFonts w:hint="eastAsia"/>
          <w:color w:val="auto"/>
          <w:highlight w:val="none"/>
        </w:rPr>
        <w:t>）。</w:t>
      </w:r>
    </w:p>
    <w:p>
      <w:pPr>
        <w:spacing w:line="600" w:lineRule="exact"/>
        <w:ind w:firstLine="640"/>
        <w:jc w:val="both"/>
        <w:rPr>
          <w:color w:val="auto"/>
          <w:highlight w:val="none"/>
        </w:rPr>
      </w:pPr>
      <w:r>
        <w:rPr>
          <w:rFonts w:hint="eastAsia"/>
          <w:color w:val="auto"/>
          <w:lang w:eastAsia="zh-CN"/>
        </w:rPr>
        <w:t>质子泵抑制剂</w:t>
      </w:r>
      <w:r>
        <w:rPr>
          <w:rFonts w:hint="eastAsia"/>
          <w:color w:val="auto"/>
        </w:rPr>
        <w:t>本身无肾毒性，在人体内主要经肾脏排出。</w:t>
      </w:r>
      <w:r>
        <w:rPr>
          <w:rFonts w:hint="eastAsia"/>
          <w:color w:val="auto"/>
          <w:lang w:eastAsia="zh-CN"/>
        </w:rPr>
        <w:t>质子泵抑制剂</w:t>
      </w:r>
      <w:r>
        <w:rPr>
          <w:rFonts w:hint="eastAsia"/>
          <w:color w:val="auto"/>
        </w:rPr>
        <w:t>的选用及剂量调整须根据患者肾功能减退程度及</w:t>
      </w:r>
      <w:r>
        <w:rPr>
          <w:rFonts w:hint="eastAsia"/>
          <w:color w:val="auto"/>
          <w:lang w:eastAsia="zh-CN"/>
        </w:rPr>
        <w:t>质子泵抑制剂</w:t>
      </w:r>
      <w:r>
        <w:rPr>
          <w:rFonts w:hint="eastAsia"/>
          <w:color w:val="auto"/>
        </w:rPr>
        <w:t>在人体内清除途径和比例</w:t>
      </w:r>
      <w:r>
        <w:rPr>
          <w:rFonts w:hint="eastAsia"/>
          <w:color w:val="auto"/>
          <w:highlight w:val="none"/>
        </w:rPr>
        <w:t>（见</w:t>
      </w:r>
      <w:r>
        <w:rPr>
          <w:color w:val="auto"/>
          <w:highlight w:val="none"/>
        </w:rPr>
        <w:fldChar w:fldCharType="begin"/>
      </w:r>
      <w:r>
        <w:rPr>
          <w:color w:val="auto"/>
          <w:highlight w:val="none"/>
        </w:rPr>
        <w:instrText xml:space="preserve"> REF _Ref522091696 \h  \* MERGEFORMAT </w:instrText>
      </w:r>
      <w:r>
        <w:rPr>
          <w:color w:val="auto"/>
          <w:highlight w:val="none"/>
        </w:rPr>
        <w:fldChar w:fldCharType="separate"/>
      </w:r>
      <w:r>
        <w:rPr>
          <w:rFonts w:hint="eastAsia"/>
          <w:color w:val="auto"/>
          <w:highlight w:val="none"/>
        </w:rPr>
        <w:t xml:space="preserve">表1- </w:t>
      </w:r>
      <w:r>
        <w:rPr>
          <w:color w:val="auto"/>
          <w:highlight w:val="none"/>
        </w:rPr>
        <w:t>4</w:t>
      </w:r>
      <w:r>
        <w:rPr>
          <w:rFonts w:eastAsia="宋体"/>
          <w:color w:val="auto"/>
          <w:sz w:val="24"/>
          <w:szCs w:val="21"/>
          <w:highlight w:val="none"/>
        </w:rPr>
        <w:t xml:space="preserve"> </w:t>
      </w:r>
      <w:r>
        <w:rPr>
          <w:color w:val="auto"/>
          <w:highlight w:val="none"/>
        </w:rPr>
        <w:fldChar w:fldCharType="end"/>
      </w:r>
      <w:r>
        <w:rPr>
          <w:rFonts w:hint="eastAsia"/>
          <w:color w:val="auto"/>
          <w:highlight w:val="none"/>
        </w:rPr>
        <w:t>）。</w:t>
      </w:r>
    </w:p>
    <w:p>
      <w:pPr>
        <w:pStyle w:val="4"/>
        <w:numPr>
          <w:ilvl w:val="0"/>
          <w:numId w:val="3"/>
        </w:numPr>
        <w:spacing w:before="240" w:line="600" w:lineRule="exact"/>
        <w:ind w:left="0" w:firstLine="643"/>
        <w:rPr>
          <w:b w:val="0"/>
          <w:bCs w:val="0"/>
          <w:color w:val="auto"/>
        </w:rPr>
      </w:pPr>
      <w:bookmarkStart w:id="15" w:name="_Toc535269728"/>
      <w:r>
        <w:rPr>
          <w:rFonts w:hint="eastAsia"/>
          <w:b w:val="0"/>
          <w:bCs w:val="0"/>
          <w:color w:val="auto"/>
        </w:rPr>
        <w:t>老年患者</w:t>
      </w:r>
      <w:r>
        <w:rPr>
          <w:rFonts w:hint="eastAsia"/>
          <w:b w:val="0"/>
          <w:bCs w:val="0"/>
          <w:color w:val="auto"/>
          <w:lang w:eastAsia="zh-CN"/>
        </w:rPr>
        <w:t>质子泵抑制剂</w:t>
      </w:r>
      <w:r>
        <w:rPr>
          <w:rFonts w:hint="eastAsia"/>
          <w:b w:val="0"/>
          <w:bCs w:val="0"/>
          <w:color w:val="auto"/>
        </w:rPr>
        <w:t>的应用</w:t>
      </w:r>
      <w:bookmarkEnd w:id="15"/>
    </w:p>
    <w:p>
      <w:pPr>
        <w:spacing w:line="600" w:lineRule="exact"/>
        <w:ind w:firstLine="640"/>
        <w:rPr>
          <w:color w:val="auto"/>
        </w:rPr>
      </w:pPr>
      <w:r>
        <w:rPr>
          <w:rFonts w:hint="eastAsia"/>
          <w:color w:val="auto"/>
        </w:rPr>
        <w:t>各年龄段的老年人胃内酸度与青年人相似，老年人酸相关性疾病可以用</w:t>
      </w:r>
      <w:r>
        <w:rPr>
          <w:rFonts w:hint="eastAsia"/>
          <w:color w:val="auto"/>
          <w:lang w:eastAsia="zh-CN"/>
        </w:rPr>
        <w:t>质子泵抑制剂</w:t>
      </w:r>
      <w:r>
        <w:rPr>
          <w:rFonts w:hint="eastAsia"/>
          <w:color w:val="auto"/>
        </w:rPr>
        <w:t>治疗。老年人肾功能不全和轻中度肝功能不全者的</w:t>
      </w:r>
      <w:r>
        <w:rPr>
          <w:rFonts w:hint="eastAsia"/>
          <w:color w:val="auto"/>
          <w:lang w:eastAsia="zh-CN"/>
        </w:rPr>
        <w:t>质子泵抑制剂</w:t>
      </w:r>
      <w:r>
        <w:rPr>
          <w:rFonts w:hint="eastAsia"/>
          <w:color w:val="auto"/>
        </w:rPr>
        <w:t>药代动力学与青年人相似，无需调整剂量；但严重肝功能不全者，最大曲线下面积（</w:t>
      </w:r>
      <w:r>
        <w:rPr>
          <w:color w:val="auto"/>
        </w:rPr>
        <w:t>AUC</w:t>
      </w:r>
      <w:r>
        <w:rPr>
          <w:color w:val="auto"/>
          <w:vertAlign w:val="subscript"/>
        </w:rPr>
        <w:t>max</w:t>
      </w:r>
      <w:r>
        <w:rPr>
          <w:rFonts w:hint="eastAsia"/>
          <w:color w:val="auto"/>
        </w:rPr>
        <w:t>）值为肝功能正常者的</w:t>
      </w:r>
      <w:r>
        <w:rPr>
          <w:color w:val="auto"/>
        </w:rPr>
        <w:t>2~3</w:t>
      </w:r>
      <w:r>
        <w:rPr>
          <w:rFonts w:hint="eastAsia"/>
          <w:color w:val="auto"/>
        </w:rPr>
        <w:t>倍，血浆半衰期明显延长，应用</w:t>
      </w:r>
      <w:r>
        <w:rPr>
          <w:rFonts w:hint="eastAsia"/>
          <w:color w:val="auto"/>
          <w:lang w:eastAsia="zh-CN"/>
        </w:rPr>
        <w:t>质子泵抑制剂</w:t>
      </w:r>
      <w:r>
        <w:rPr>
          <w:rFonts w:hint="eastAsia"/>
          <w:color w:val="auto"/>
        </w:rPr>
        <w:t>应相应减量（见</w:t>
      </w:r>
      <w:r>
        <w:rPr>
          <w:color w:val="auto"/>
        </w:rPr>
        <w:fldChar w:fldCharType="begin"/>
      </w:r>
      <w:r>
        <w:rPr>
          <w:color w:val="auto"/>
        </w:rPr>
        <w:instrText xml:space="preserve"> REF _Ref522091696 \h  \* MERGEFORMAT </w:instrText>
      </w:r>
      <w:r>
        <w:rPr>
          <w:color w:val="auto"/>
        </w:rPr>
        <w:fldChar w:fldCharType="separate"/>
      </w:r>
      <w:r>
        <w:rPr>
          <w:rFonts w:hint="eastAsia"/>
          <w:color w:val="auto"/>
        </w:rPr>
        <w:t xml:space="preserve">表1- </w:t>
      </w:r>
      <w:r>
        <w:rPr>
          <w:color w:val="auto"/>
        </w:rPr>
        <w:t xml:space="preserve">4 </w:t>
      </w:r>
      <w:r>
        <w:rPr>
          <w:color w:val="auto"/>
        </w:rPr>
        <w:fldChar w:fldCharType="end"/>
      </w:r>
      <w:r>
        <w:rPr>
          <w:rFonts w:hint="eastAsia"/>
          <w:color w:val="auto"/>
        </w:rPr>
        <w:t>）。</w:t>
      </w:r>
    </w:p>
    <w:p>
      <w:pPr>
        <w:pStyle w:val="4"/>
        <w:numPr>
          <w:ilvl w:val="0"/>
          <w:numId w:val="3"/>
        </w:numPr>
        <w:spacing w:before="240" w:line="600" w:lineRule="exact"/>
        <w:ind w:left="0" w:firstLine="643"/>
        <w:rPr>
          <w:b w:val="0"/>
          <w:bCs w:val="0"/>
          <w:color w:val="auto"/>
        </w:rPr>
      </w:pPr>
      <w:bookmarkStart w:id="16" w:name="_Toc535269729"/>
      <w:r>
        <w:rPr>
          <w:rFonts w:hint="eastAsia"/>
          <w:b w:val="0"/>
          <w:bCs w:val="0"/>
          <w:color w:val="auto"/>
        </w:rPr>
        <w:t>儿童患者</w:t>
      </w:r>
      <w:r>
        <w:rPr>
          <w:rFonts w:hint="eastAsia"/>
          <w:b w:val="0"/>
          <w:bCs w:val="0"/>
          <w:color w:val="auto"/>
          <w:lang w:eastAsia="zh-CN"/>
        </w:rPr>
        <w:t>质子泵抑制剂</w:t>
      </w:r>
      <w:r>
        <w:rPr>
          <w:rFonts w:hint="eastAsia"/>
          <w:b w:val="0"/>
          <w:bCs w:val="0"/>
          <w:color w:val="auto"/>
        </w:rPr>
        <w:t>的应用</w:t>
      </w:r>
      <w:bookmarkEnd w:id="16"/>
    </w:p>
    <w:p>
      <w:pPr>
        <w:spacing w:line="600" w:lineRule="exact"/>
        <w:ind w:firstLine="640"/>
        <w:rPr>
          <w:color w:val="auto"/>
        </w:rPr>
      </w:pPr>
      <w:r>
        <w:rPr>
          <w:rFonts w:hint="eastAsia"/>
          <w:color w:val="auto"/>
        </w:rPr>
        <w:t>儿童处于生长发育阶段，肝脏、肾脏的发育尚不完全，大多数药物在儿童体内的药动学特点与成人相比有明显差异。目前儿童使用</w:t>
      </w:r>
      <w:r>
        <w:rPr>
          <w:rFonts w:hint="eastAsia"/>
          <w:color w:val="auto"/>
          <w:lang w:eastAsia="zh-CN"/>
        </w:rPr>
        <w:t>质子泵抑制剂</w:t>
      </w:r>
      <w:r>
        <w:rPr>
          <w:rFonts w:hint="eastAsia"/>
          <w:color w:val="auto"/>
        </w:rPr>
        <w:t>的临床应用经验有限（见</w:t>
      </w:r>
      <w:r>
        <w:rPr>
          <w:color w:val="auto"/>
        </w:rPr>
        <w:fldChar w:fldCharType="begin"/>
      </w:r>
      <w:r>
        <w:rPr>
          <w:color w:val="auto"/>
        </w:rPr>
        <w:instrText xml:space="preserve"> REF _Ref522091696 \h  \* MERGEFORMAT </w:instrText>
      </w:r>
      <w:r>
        <w:rPr>
          <w:color w:val="auto"/>
        </w:rPr>
        <w:fldChar w:fldCharType="separate"/>
      </w:r>
      <w:r>
        <w:rPr>
          <w:rFonts w:hint="eastAsia"/>
          <w:color w:val="auto"/>
        </w:rPr>
        <w:t xml:space="preserve">表1- </w:t>
      </w:r>
      <w:r>
        <w:rPr>
          <w:color w:val="auto"/>
        </w:rPr>
        <w:t>4</w:t>
      </w:r>
      <w:r>
        <w:rPr>
          <w:rFonts w:eastAsia="宋体"/>
          <w:color w:val="auto"/>
          <w:sz w:val="24"/>
          <w:szCs w:val="21"/>
        </w:rPr>
        <w:t xml:space="preserve"> </w:t>
      </w:r>
      <w:r>
        <w:rPr>
          <w:color w:val="auto"/>
        </w:rPr>
        <w:fldChar w:fldCharType="end"/>
      </w:r>
      <w:r>
        <w:rPr>
          <w:rFonts w:hint="eastAsia"/>
          <w:color w:val="auto"/>
        </w:rPr>
        <w:t>）且儿童剂型较少，主要用于小儿</w:t>
      </w:r>
      <w:r>
        <w:rPr>
          <w:color w:val="auto"/>
        </w:rPr>
        <w:t>GERD</w:t>
      </w:r>
      <w:r>
        <w:rPr>
          <w:rFonts w:hint="eastAsia"/>
          <w:color w:val="auto"/>
        </w:rPr>
        <w:t>、消化性溃疡和</w:t>
      </w:r>
      <w:r>
        <w:rPr>
          <w:i/>
          <w:color w:val="auto"/>
        </w:rPr>
        <w:t>H.pylori</w:t>
      </w:r>
      <w:r>
        <w:rPr>
          <w:rFonts w:hint="eastAsia"/>
          <w:color w:val="auto"/>
        </w:rPr>
        <w:t>感染的治疗，具体可应用的适应证可参考临床应用指南，根据体重和年龄计算儿童用药的剂量。</w:t>
      </w:r>
    </w:p>
    <w:p>
      <w:pPr>
        <w:pStyle w:val="4"/>
        <w:numPr>
          <w:ilvl w:val="0"/>
          <w:numId w:val="3"/>
        </w:numPr>
        <w:spacing w:before="240" w:line="600" w:lineRule="exact"/>
        <w:ind w:left="0" w:firstLine="643"/>
        <w:rPr>
          <w:b w:val="0"/>
          <w:bCs w:val="0"/>
          <w:color w:val="auto"/>
        </w:rPr>
      </w:pPr>
      <w:bookmarkStart w:id="17" w:name="_Toc535269730"/>
      <w:r>
        <w:rPr>
          <w:rFonts w:hint="eastAsia"/>
          <w:b w:val="0"/>
          <w:bCs w:val="0"/>
          <w:color w:val="auto"/>
        </w:rPr>
        <w:t>妊娠期和哺乳期患者</w:t>
      </w:r>
      <w:r>
        <w:rPr>
          <w:rFonts w:hint="eastAsia"/>
          <w:b w:val="0"/>
          <w:bCs w:val="0"/>
          <w:color w:val="auto"/>
          <w:lang w:eastAsia="zh-CN"/>
        </w:rPr>
        <w:t>质子泵抑制剂</w:t>
      </w:r>
      <w:r>
        <w:rPr>
          <w:rFonts w:hint="eastAsia"/>
          <w:b w:val="0"/>
          <w:bCs w:val="0"/>
          <w:color w:val="auto"/>
        </w:rPr>
        <w:t>的应用</w:t>
      </w:r>
      <w:bookmarkEnd w:id="17"/>
      <w:r>
        <w:rPr>
          <w:b w:val="0"/>
          <w:bCs w:val="0"/>
          <w:color w:val="auto"/>
        </w:rPr>
        <w:tab/>
      </w:r>
    </w:p>
    <w:p>
      <w:pPr>
        <w:spacing w:line="600" w:lineRule="exact"/>
        <w:ind w:firstLine="640"/>
        <w:rPr>
          <w:color w:val="auto"/>
        </w:rPr>
      </w:pPr>
      <w:r>
        <w:rPr>
          <w:rFonts w:hint="eastAsia"/>
          <w:color w:val="auto"/>
          <w:lang w:eastAsia="zh-CN"/>
        </w:rPr>
        <w:t>质子泵抑制剂</w:t>
      </w:r>
      <w:r>
        <w:rPr>
          <w:rFonts w:hint="eastAsia"/>
          <w:color w:val="auto"/>
        </w:rPr>
        <w:t>用于妊娠妇女的临床资料有限。除难治性、严重的</w:t>
      </w:r>
      <w:r>
        <w:rPr>
          <w:color w:val="auto"/>
        </w:rPr>
        <w:t>GERD</w:t>
      </w:r>
      <w:r>
        <w:rPr>
          <w:rFonts w:hint="eastAsia"/>
          <w:color w:val="auto"/>
        </w:rPr>
        <w:t>外，不推荐妊娠妇女使用</w:t>
      </w:r>
      <w:r>
        <w:rPr>
          <w:rFonts w:hint="eastAsia"/>
          <w:color w:val="auto"/>
          <w:lang w:eastAsia="zh-CN"/>
        </w:rPr>
        <w:t>质子泵抑制剂</w:t>
      </w:r>
      <w:r>
        <w:rPr>
          <w:rFonts w:hint="eastAsia"/>
          <w:color w:val="auto"/>
        </w:rPr>
        <w:t>。对于治疗酸相关疾病，仅对于在调整生活方式的基础治疗及抗酸剂、</w:t>
      </w:r>
      <w:r>
        <w:rPr>
          <w:color w:val="auto"/>
        </w:rPr>
        <w:t>H</w:t>
      </w:r>
      <w:r>
        <w:rPr>
          <w:color w:val="auto"/>
          <w:vertAlign w:val="subscript"/>
        </w:rPr>
        <w:t>2</w:t>
      </w:r>
      <w:r>
        <w:rPr>
          <w:color w:val="auto"/>
        </w:rPr>
        <w:t>RA</w:t>
      </w:r>
      <w:r>
        <w:rPr>
          <w:rFonts w:hint="eastAsia"/>
          <w:color w:val="auto"/>
        </w:rPr>
        <w:t>、胃黏膜保护剂治疗效果不佳时，充分评估患者的获益和风险后，方予以考虑使用</w:t>
      </w:r>
      <w:r>
        <w:rPr>
          <w:rFonts w:hint="eastAsia"/>
          <w:color w:val="auto"/>
          <w:lang w:eastAsia="zh-CN"/>
        </w:rPr>
        <w:t>质子泵抑制剂</w:t>
      </w:r>
      <w:r>
        <w:rPr>
          <w:rFonts w:hint="eastAsia"/>
          <w:color w:val="auto"/>
        </w:rPr>
        <w:t>。在妊娠前</w:t>
      </w:r>
      <w:r>
        <w:rPr>
          <w:color w:val="auto"/>
        </w:rPr>
        <w:t>1</w:t>
      </w:r>
      <w:r>
        <w:rPr>
          <w:rFonts w:hint="eastAsia"/>
          <w:color w:val="auto"/>
        </w:rPr>
        <w:t>个月以及妊娠的第</w:t>
      </w:r>
      <w:r>
        <w:rPr>
          <w:color w:val="auto"/>
        </w:rPr>
        <w:t>1~3</w:t>
      </w:r>
      <w:r>
        <w:rPr>
          <w:rFonts w:hint="eastAsia"/>
          <w:color w:val="auto"/>
        </w:rPr>
        <w:t>个月避免使用任何</w:t>
      </w:r>
      <w:r>
        <w:rPr>
          <w:rFonts w:hint="eastAsia"/>
          <w:color w:val="auto"/>
          <w:lang w:eastAsia="zh-CN"/>
        </w:rPr>
        <w:t>质子泵抑制剂</w:t>
      </w:r>
      <w:r>
        <w:rPr>
          <w:rFonts w:hint="eastAsia"/>
          <w:color w:val="auto"/>
        </w:rPr>
        <w:t>。</w:t>
      </w:r>
      <w:r>
        <w:rPr>
          <w:rFonts w:hint="eastAsia"/>
          <w:color w:val="auto"/>
          <w:lang w:eastAsia="zh-CN"/>
        </w:rPr>
        <w:t>质子泵抑制剂</w:t>
      </w:r>
      <w:r>
        <w:rPr>
          <w:rFonts w:hint="eastAsia"/>
          <w:color w:val="auto"/>
        </w:rPr>
        <w:t>的妊娠期用药推荐</w:t>
      </w:r>
      <w:r>
        <w:rPr>
          <w:rFonts w:hint="eastAsia"/>
          <w:color w:val="auto"/>
          <w:lang w:eastAsia="zh-CN"/>
        </w:rPr>
        <w:t>（</w:t>
      </w:r>
      <w:r>
        <w:rPr>
          <w:rFonts w:hint="eastAsia"/>
          <w:color w:val="auto"/>
        </w:rPr>
        <w:t>见</w:t>
      </w:r>
      <w:r>
        <w:rPr>
          <w:color w:val="auto"/>
        </w:rPr>
        <w:fldChar w:fldCharType="begin"/>
      </w:r>
      <w:r>
        <w:rPr>
          <w:color w:val="auto"/>
        </w:rPr>
        <w:instrText xml:space="preserve"> REF _Ref522091696 \h  \* MERGEFORMAT </w:instrText>
      </w:r>
      <w:r>
        <w:rPr>
          <w:color w:val="auto"/>
        </w:rPr>
        <w:fldChar w:fldCharType="separate"/>
      </w:r>
      <w:r>
        <w:rPr>
          <w:rFonts w:hint="eastAsia"/>
          <w:color w:val="auto"/>
        </w:rPr>
        <w:t>表1-</w:t>
      </w:r>
      <w:r>
        <w:rPr>
          <w:rFonts w:hint="eastAsia" w:eastAsia="宋体"/>
          <w:color w:val="auto"/>
          <w:sz w:val="24"/>
          <w:szCs w:val="21"/>
        </w:rPr>
        <w:t xml:space="preserve"> </w:t>
      </w:r>
      <w:r>
        <w:rPr>
          <w:rFonts w:eastAsia="宋体"/>
          <w:color w:val="auto"/>
          <w:szCs w:val="21"/>
        </w:rPr>
        <w:t>4</w:t>
      </w:r>
      <w:r>
        <w:rPr>
          <w:color w:val="auto"/>
        </w:rPr>
        <w:fldChar w:fldCharType="end"/>
      </w:r>
      <w:r>
        <w:rPr>
          <w:rFonts w:hint="eastAsia" w:ascii="仿宋" w:hAnsi="仿宋" w:eastAsia="仿宋" w:cs="仿宋"/>
          <w:color w:val="auto"/>
        </w:rPr>
        <w:t>）</w:t>
      </w:r>
      <w:r>
        <w:rPr>
          <w:rFonts w:hint="eastAsia"/>
          <w:color w:val="auto"/>
        </w:rPr>
        <w:t>。</w:t>
      </w:r>
    </w:p>
    <w:p>
      <w:pPr>
        <w:spacing w:line="600" w:lineRule="exact"/>
        <w:ind w:firstLine="640"/>
        <w:rPr>
          <w:rFonts w:hint="eastAsia"/>
          <w:color w:val="auto"/>
        </w:rPr>
      </w:pPr>
      <w:r>
        <w:rPr>
          <w:rFonts w:hint="eastAsia"/>
          <w:color w:val="auto"/>
        </w:rPr>
        <w:t>关于</w:t>
      </w:r>
      <w:r>
        <w:rPr>
          <w:rFonts w:hint="eastAsia"/>
          <w:color w:val="auto"/>
          <w:lang w:eastAsia="zh-CN"/>
        </w:rPr>
        <w:t>质子泵抑制剂</w:t>
      </w:r>
      <w:r>
        <w:rPr>
          <w:rFonts w:hint="eastAsia"/>
          <w:color w:val="auto"/>
        </w:rPr>
        <w:t>用于哺乳期女性的临床研究较少，胎儿的风险不能被除外，不推荐哺乳期妇女使用。如必须使用，大部分</w:t>
      </w:r>
      <w:r>
        <w:rPr>
          <w:rFonts w:hint="eastAsia"/>
          <w:color w:val="auto"/>
          <w:lang w:eastAsia="zh-CN"/>
        </w:rPr>
        <w:t>质子泵抑制剂</w:t>
      </w:r>
      <w:r>
        <w:rPr>
          <w:rFonts w:hint="eastAsia"/>
          <w:color w:val="auto"/>
        </w:rPr>
        <w:t>服药期间应暂停哺乳。</w:t>
      </w:r>
    </w:p>
    <w:p>
      <w:pPr>
        <w:spacing w:line="600" w:lineRule="exact"/>
        <w:ind w:firstLine="640"/>
        <w:rPr>
          <w:rFonts w:hint="eastAsia"/>
          <w:color w:val="auto"/>
        </w:rPr>
      </w:pPr>
    </w:p>
    <w:p>
      <w:pPr>
        <w:spacing w:line="600" w:lineRule="exact"/>
        <w:ind w:firstLine="640"/>
        <w:rPr>
          <w:rFonts w:hint="eastAsia"/>
          <w:color w:val="auto"/>
        </w:rPr>
      </w:pPr>
    </w:p>
    <w:p>
      <w:pPr>
        <w:pStyle w:val="8"/>
        <w:jc w:val="center"/>
        <w:rPr>
          <w:rFonts w:ascii="Times New Roman" w:hAnsi="Times New Roman" w:eastAsia="宋体"/>
          <w:b w:val="0"/>
          <w:color w:val="auto"/>
          <w:szCs w:val="21"/>
        </w:rPr>
      </w:pPr>
      <w:bookmarkStart w:id="18" w:name="_Ref522091696"/>
      <w:r>
        <w:rPr>
          <w:rFonts w:hint="eastAsia" w:ascii="Times New Roman" w:hAnsi="Times New Roman" w:eastAsia="宋体"/>
          <w:b w:val="0"/>
          <w:color w:val="auto"/>
          <w:szCs w:val="21"/>
        </w:rPr>
        <w:t xml:space="preserve">表1- </w:t>
      </w:r>
      <w:bookmarkEnd w:id="18"/>
      <w:r>
        <w:rPr>
          <w:rFonts w:ascii="Times New Roman" w:hAnsi="Times New Roman" w:eastAsia="宋体"/>
          <w:b w:val="0"/>
          <w:color w:val="auto"/>
          <w:szCs w:val="21"/>
        </w:rPr>
        <w:t xml:space="preserve">4 </w:t>
      </w:r>
      <w:r>
        <w:rPr>
          <w:rFonts w:hint="eastAsia" w:ascii="Times New Roman" w:hAnsi="Times New Roman" w:eastAsia="宋体"/>
          <w:b w:val="0"/>
          <w:color w:val="auto"/>
          <w:szCs w:val="21"/>
          <w:lang w:eastAsia="zh-CN"/>
        </w:rPr>
        <w:t>质子泵抑制剂</w:t>
      </w:r>
      <w:r>
        <w:rPr>
          <w:rFonts w:hint="eastAsia" w:ascii="Times New Roman" w:hAnsi="Times New Roman" w:eastAsia="宋体"/>
          <w:b w:val="0"/>
          <w:color w:val="auto"/>
          <w:szCs w:val="21"/>
        </w:rPr>
        <w:t>在特殊病理、生理状况患者中的应用*</w:t>
      </w:r>
    </w:p>
    <w:tbl>
      <w:tblPr>
        <w:tblStyle w:val="24"/>
        <w:tblW w:w="10773" w:type="dxa"/>
        <w:jc w:val="center"/>
        <w:tblInd w:w="0" w:type="dxa"/>
        <w:tblLayout w:type="fixed"/>
        <w:tblCellMar>
          <w:top w:w="0" w:type="dxa"/>
          <w:left w:w="0" w:type="dxa"/>
          <w:bottom w:w="0" w:type="dxa"/>
          <w:right w:w="0" w:type="dxa"/>
        </w:tblCellMar>
      </w:tblPr>
      <w:tblGrid>
        <w:gridCol w:w="1582"/>
        <w:gridCol w:w="1582"/>
        <w:gridCol w:w="1582"/>
        <w:gridCol w:w="1582"/>
        <w:gridCol w:w="1582"/>
        <w:gridCol w:w="1582"/>
        <w:gridCol w:w="1281"/>
      </w:tblGrid>
      <w:tr>
        <w:tblPrEx>
          <w:tblLayout w:type="fixed"/>
          <w:tblCellMar>
            <w:top w:w="0" w:type="dxa"/>
            <w:left w:w="0" w:type="dxa"/>
            <w:bottom w:w="0" w:type="dxa"/>
            <w:right w:w="0" w:type="dxa"/>
          </w:tblCellMar>
        </w:tblPrEx>
        <w:trPr>
          <w:trHeight w:val="298" w:hRule="atLeast"/>
          <w:jc w:val="center"/>
        </w:trPr>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特殊人群</w:t>
            </w:r>
          </w:p>
        </w:tc>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奥美拉唑</w:t>
            </w:r>
          </w:p>
        </w:tc>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兰索拉唑</w:t>
            </w:r>
          </w:p>
        </w:tc>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泮托拉唑</w:t>
            </w:r>
          </w:p>
        </w:tc>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雷贝拉唑</w:t>
            </w:r>
          </w:p>
        </w:tc>
        <w:tc>
          <w:tcPr>
            <w:tcW w:w="1582" w:type="dxa"/>
            <w:tcBorders>
              <w:top w:val="single" w:color="auto" w:sz="12" w:space="0"/>
              <w:bottom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艾司奥美拉唑</w:t>
            </w:r>
          </w:p>
        </w:tc>
        <w:tc>
          <w:tcPr>
            <w:tcW w:w="1281" w:type="dxa"/>
            <w:tcBorders>
              <w:top w:val="single" w:color="auto" w:sz="12" w:space="0"/>
              <w:bottom w:val="single" w:color="auto" w:sz="4" w:space="0"/>
            </w:tcBorders>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艾普拉唑</w:t>
            </w:r>
          </w:p>
        </w:tc>
      </w:tr>
      <w:tr>
        <w:tblPrEx>
          <w:tblLayout w:type="fixed"/>
          <w:tblCellMar>
            <w:top w:w="0" w:type="dxa"/>
            <w:left w:w="0" w:type="dxa"/>
            <w:bottom w:w="0" w:type="dxa"/>
            <w:right w:w="0" w:type="dxa"/>
          </w:tblCellMar>
        </w:tblPrEx>
        <w:trPr>
          <w:trHeight w:val="232" w:hRule="atLeast"/>
          <w:jc w:val="center"/>
        </w:trPr>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肾功能异常</w:t>
            </w:r>
          </w:p>
        </w:tc>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无需调整剂量</w:t>
            </w:r>
          </w:p>
        </w:tc>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15mg/</w:t>
            </w:r>
            <w:r>
              <w:rPr>
                <w:rFonts w:hint="eastAsia" w:ascii="Times New Roman" w:hAnsi="Times New Roman" w:cs="Arial"/>
                <w:bCs/>
                <w:color w:val="auto"/>
                <w:kern w:val="24"/>
                <w:sz w:val="21"/>
                <w:szCs w:val="21"/>
              </w:rPr>
              <w:t>日</w:t>
            </w:r>
          </w:p>
        </w:tc>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582" w:type="dxa"/>
            <w:tcBorders>
              <w:top w:val="single" w:color="auto" w:sz="4"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281" w:type="dxa"/>
            <w:tcBorders>
              <w:top w:val="single" w:color="auto" w:sz="4" w:space="0"/>
            </w:tcBorders>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慎用</w:t>
            </w:r>
          </w:p>
        </w:tc>
      </w:tr>
      <w:tr>
        <w:tblPrEx>
          <w:tblLayout w:type="fixed"/>
          <w:tblCellMar>
            <w:top w:w="0" w:type="dxa"/>
            <w:left w:w="0" w:type="dxa"/>
            <w:bottom w:w="0" w:type="dxa"/>
            <w:right w:w="0" w:type="dxa"/>
          </w:tblCellMar>
        </w:tblPrEx>
        <w:trPr>
          <w:trHeight w:val="232" w:hRule="atLeast"/>
          <w:jc w:val="center"/>
        </w:trPr>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肝功能异常</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严重者</w:t>
            </w:r>
          </w:p>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w:t>
            </w:r>
            <w:r>
              <w:rPr>
                <w:rFonts w:ascii="Times New Roman" w:hAnsi="Times New Roman" w:cs="Arial"/>
                <w:bCs/>
                <w:color w:val="auto"/>
                <w:kern w:val="24"/>
                <w:sz w:val="21"/>
                <w:szCs w:val="21"/>
              </w:rPr>
              <w:t>20mg/</w:t>
            </w:r>
            <w:r>
              <w:rPr>
                <w:rFonts w:hint="eastAsia" w:ascii="Times New Roman" w:hAnsi="Times New Roman" w:cs="Arial"/>
                <w:bCs/>
                <w:color w:val="auto"/>
                <w:kern w:val="24"/>
                <w:sz w:val="21"/>
                <w:szCs w:val="21"/>
              </w:rPr>
              <w:t>日</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慎用</w:t>
            </w:r>
          </w:p>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15mg/</w:t>
            </w:r>
            <w:r>
              <w:rPr>
                <w:rFonts w:hint="eastAsia" w:ascii="Times New Roman" w:hAnsi="Times New Roman" w:cs="Arial"/>
                <w:bCs/>
                <w:color w:val="auto"/>
                <w:kern w:val="24"/>
                <w:sz w:val="21"/>
                <w:szCs w:val="21"/>
              </w:rPr>
              <w:t>日</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重度</w:t>
            </w:r>
          </w:p>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w:t>
            </w:r>
            <w:r>
              <w:rPr>
                <w:rFonts w:ascii="Times New Roman" w:hAnsi="Times New Roman" w:cs="Arial"/>
                <w:bCs/>
                <w:color w:val="auto"/>
                <w:kern w:val="24"/>
                <w:sz w:val="21"/>
                <w:szCs w:val="21"/>
              </w:rPr>
              <w:t>20mg/</w:t>
            </w:r>
            <w:r>
              <w:rPr>
                <w:rFonts w:hint="eastAsia" w:ascii="Times New Roman" w:hAnsi="Times New Roman" w:cs="Arial"/>
                <w:bCs/>
                <w:color w:val="auto"/>
                <w:kern w:val="24"/>
                <w:sz w:val="21"/>
                <w:szCs w:val="21"/>
              </w:rPr>
              <w:t>日</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严重者慎用</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严重者</w:t>
            </w:r>
          </w:p>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w:t>
            </w:r>
            <w:r>
              <w:rPr>
                <w:rFonts w:ascii="Times New Roman" w:hAnsi="Times New Roman" w:cs="Arial"/>
                <w:bCs/>
                <w:color w:val="auto"/>
                <w:kern w:val="24"/>
                <w:sz w:val="21"/>
                <w:szCs w:val="21"/>
              </w:rPr>
              <w:t>20mg/</w:t>
            </w:r>
            <w:r>
              <w:rPr>
                <w:rFonts w:hint="eastAsia" w:ascii="Times New Roman" w:hAnsi="Times New Roman" w:cs="Arial"/>
                <w:bCs/>
                <w:color w:val="auto"/>
                <w:kern w:val="24"/>
                <w:sz w:val="21"/>
                <w:szCs w:val="21"/>
              </w:rPr>
              <w:t>日</w:t>
            </w:r>
          </w:p>
        </w:tc>
        <w:tc>
          <w:tcPr>
            <w:tcW w:w="1281" w:type="dxa"/>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慎用</w:t>
            </w:r>
          </w:p>
        </w:tc>
      </w:tr>
      <w:tr>
        <w:tblPrEx>
          <w:tblLayout w:type="fixed"/>
          <w:tblCellMar>
            <w:top w:w="0" w:type="dxa"/>
            <w:left w:w="0" w:type="dxa"/>
            <w:bottom w:w="0" w:type="dxa"/>
            <w:right w:w="0" w:type="dxa"/>
          </w:tblCellMar>
        </w:tblPrEx>
        <w:trPr>
          <w:trHeight w:val="374" w:hRule="atLeast"/>
          <w:jc w:val="center"/>
        </w:trPr>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老年人</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慎用</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c>
          <w:tcPr>
            <w:tcW w:w="1281" w:type="dxa"/>
            <w:vAlign w:val="center"/>
          </w:tcPr>
          <w:p>
            <w:pPr>
              <w:pStyle w:val="17"/>
              <w:kinsoku w:val="0"/>
              <w:overflowPunct w:val="0"/>
              <w:spacing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无需调整</w:t>
            </w:r>
          </w:p>
        </w:tc>
      </w:tr>
      <w:tr>
        <w:tblPrEx>
          <w:tblLayout w:type="fixed"/>
          <w:tblCellMar>
            <w:top w:w="0" w:type="dxa"/>
            <w:left w:w="0" w:type="dxa"/>
            <w:bottom w:w="0" w:type="dxa"/>
            <w:right w:w="0" w:type="dxa"/>
          </w:tblCellMar>
        </w:tblPrEx>
        <w:trPr>
          <w:trHeight w:val="197" w:hRule="atLeast"/>
          <w:jc w:val="center"/>
        </w:trPr>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儿童</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可以使用</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经验</w:t>
            </w:r>
            <w:r>
              <w:rPr>
                <w:rFonts w:ascii="Times New Roman" w:hAnsi="Times New Roman" w:cs="Arial"/>
                <w:bCs/>
                <w:color w:val="auto"/>
                <w:kern w:val="24"/>
                <w:sz w:val="21"/>
                <w:szCs w:val="21"/>
              </w:rPr>
              <w:t>有限</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无临床资料</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无临床资料</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无临床资料</w:t>
            </w:r>
          </w:p>
        </w:tc>
        <w:tc>
          <w:tcPr>
            <w:tcW w:w="1281" w:type="dxa"/>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无临床资料</w:t>
            </w:r>
          </w:p>
        </w:tc>
      </w:tr>
      <w:tr>
        <w:tblPrEx>
          <w:tblLayout w:type="fixed"/>
          <w:tblCellMar>
            <w:top w:w="0" w:type="dxa"/>
            <w:left w:w="0" w:type="dxa"/>
            <w:bottom w:w="0" w:type="dxa"/>
            <w:right w:w="0" w:type="dxa"/>
          </w:tblCellMar>
        </w:tblPrEx>
        <w:trPr>
          <w:trHeight w:val="260" w:hRule="atLeast"/>
          <w:jc w:val="center"/>
        </w:trPr>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highlight w:val="none"/>
              </w:rPr>
            </w:pPr>
            <w:r>
              <w:rPr>
                <w:rFonts w:hint="eastAsia" w:ascii="Times New Roman" w:hAnsi="Times New Roman" w:cs="Arial"/>
                <w:bCs/>
                <w:color w:val="auto"/>
                <w:kern w:val="24"/>
                <w:sz w:val="21"/>
                <w:szCs w:val="21"/>
                <w:highlight w:val="none"/>
              </w:rPr>
              <w:t>妊娠期用药</w:t>
            </w:r>
          </w:p>
        </w:tc>
        <w:tc>
          <w:tcPr>
            <w:tcW w:w="1582" w:type="dxa"/>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highlight w:val="none"/>
              </w:rPr>
            </w:pPr>
            <w:r>
              <w:rPr>
                <w:rFonts w:hint="eastAsia" w:ascii="Times New Roman" w:hAnsi="Times New Roman" w:cs="Arial"/>
                <w:bCs/>
                <w:color w:val="auto"/>
                <w:kern w:val="24"/>
                <w:sz w:val="21"/>
                <w:szCs w:val="21"/>
                <w:highlight w:val="none"/>
              </w:rPr>
              <w:t>可以使用</w:t>
            </w:r>
          </w:p>
        </w:tc>
        <w:tc>
          <w:tcPr>
            <w:tcW w:w="1582" w:type="dxa"/>
            <w:shd w:val="clear" w:color="auto" w:fill="auto"/>
            <w:tcMar>
              <w:top w:w="72" w:type="dxa"/>
              <w:left w:w="144" w:type="dxa"/>
              <w:bottom w:w="72" w:type="dxa"/>
              <w:right w:w="144" w:type="dxa"/>
            </w:tcMar>
            <w:vAlign w:val="center"/>
          </w:tcPr>
          <w:p>
            <w:pPr>
              <w:rPr>
                <w:rFonts w:eastAsia="宋体"/>
                <w:color w:val="auto"/>
                <w:sz w:val="21"/>
                <w:highlight w:val="none"/>
              </w:rPr>
            </w:pPr>
            <w:r>
              <w:rPr>
                <w:rFonts w:hint="eastAsia" w:eastAsia="宋体"/>
                <w:color w:val="auto"/>
                <w:sz w:val="21"/>
                <w:highlight w:val="none"/>
              </w:rPr>
              <w:t>利</w:t>
            </w:r>
            <w:r>
              <w:rPr>
                <w:rFonts w:eastAsia="宋体"/>
                <w:color w:val="auto"/>
                <w:sz w:val="21"/>
                <w:highlight w:val="none"/>
              </w:rPr>
              <w:t>&gt;</w:t>
            </w:r>
            <w:r>
              <w:rPr>
                <w:rFonts w:hint="eastAsia" w:eastAsia="宋体"/>
                <w:color w:val="auto"/>
                <w:sz w:val="21"/>
                <w:highlight w:val="none"/>
              </w:rPr>
              <w:t>弊</w:t>
            </w:r>
            <w:r>
              <w:rPr>
                <w:rFonts w:hint="eastAsia" w:eastAsia="宋体" w:cs="Arial"/>
                <w:bCs/>
                <w:color w:val="auto"/>
                <w:kern w:val="24"/>
                <w:sz w:val="21"/>
                <w:szCs w:val="21"/>
                <w:highlight w:val="none"/>
              </w:rPr>
              <w:t>时使用</w:t>
            </w:r>
          </w:p>
        </w:tc>
        <w:tc>
          <w:tcPr>
            <w:tcW w:w="1582" w:type="dxa"/>
            <w:shd w:val="clear" w:color="auto" w:fill="auto"/>
            <w:tcMar>
              <w:top w:w="72" w:type="dxa"/>
              <w:left w:w="144" w:type="dxa"/>
              <w:bottom w:w="72" w:type="dxa"/>
              <w:right w:w="144" w:type="dxa"/>
            </w:tcMar>
            <w:vAlign w:val="center"/>
          </w:tcPr>
          <w:p>
            <w:pPr>
              <w:rPr>
                <w:rFonts w:eastAsia="宋体"/>
                <w:color w:val="auto"/>
                <w:sz w:val="21"/>
                <w:highlight w:val="none"/>
              </w:rPr>
            </w:pPr>
            <w:r>
              <w:rPr>
                <w:rFonts w:hint="eastAsia" w:eastAsia="宋体"/>
                <w:color w:val="auto"/>
                <w:sz w:val="21"/>
                <w:highlight w:val="none"/>
              </w:rPr>
              <w:t>利</w:t>
            </w:r>
            <w:r>
              <w:rPr>
                <w:rFonts w:eastAsia="宋体"/>
                <w:color w:val="auto"/>
                <w:sz w:val="21"/>
                <w:highlight w:val="none"/>
              </w:rPr>
              <w:t>&gt;</w:t>
            </w:r>
            <w:r>
              <w:rPr>
                <w:rFonts w:hint="eastAsia" w:eastAsia="宋体"/>
                <w:color w:val="auto"/>
                <w:sz w:val="21"/>
                <w:highlight w:val="none"/>
              </w:rPr>
              <w:t>弊时</w:t>
            </w:r>
            <w:r>
              <w:rPr>
                <w:rFonts w:hint="eastAsia" w:eastAsia="宋体" w:cs="Arial"/>
                <w:bCs/>
                <w:color w:val="auto"/>
                <w:kern w:val="24"/>
                <w:sz w:val="21"/>
                <w:szCs w:val="21"/>
                <w:highlight w:val="none"/>
              </w:rPr>
              <w:t>使用</w:t>
            </w:r>
          </w:p>
        </w:tc>
        <w:tc>
          <w:tcPr>
            <w:tcW w:w="1582" w:type="dxa"/>
            <w:shd w:val="clear" w:color="auto" w:fill="auto"/>
            <w:tcMar>
              <w:top w:w="72" w:type="dxa"/>
              <w:left w:w="144" w:type="dxa"/>
              <w:bottom w:w="72" w:type="dxa"/>
              <w:right w:w="144" w:type="dxa"/>
            </w:tcMar>
            <w:vAlign w:val="center"/>
          </w:tcPr>
          <w:p>
            <w:pPr>
              <w:rPr>
                <w:rFonts w:eastAsia="宋体"/>
                <w:color w:val="auto"/>
                <w:sz w:val="21"/>
                <w:highlight w:val="none"/>
              </w:rPr>
            </w:pPr>
            <w:r>
              <w:rPr>
                <w:rFonts w:hint="eastAsia" w:eastAsia="宋体"/>
                <w:color w:val="auto"/>
                <w:sz w:val="21"/>
                <w:highlight w:val="none"/>
              </w:rPr>
              <w:t>利</w:t>
            </w:r>
            <w:r>
              <w:rPr>
                <w:rFonts w:eastAsia="宋体"/>
                <w:color w:val="auto"/>
                <w:sz w:val="21"/>
                <w:highlight w:val="none"/>
              </w:rPr>
              <w:t>&gt;</w:t>
            </w:r>
            <w:r>
              <w:rPr>
                <w:rFonts w:hint="eastAsia" w:eastAsia="宋体"/>
                <w:color w:val="auto"/>
                <w:sz w:val="21"/>
                <w:highlight w:val="none"/>
              </w:rPr>
              <w:t>弊时</w:t>
            </w:r>
            <w:r>
              <w:rPr>
                <w:rFonts w:hint="eastAsia" w:eastAsia="宋体" w:cs="Arial"/>
                <w:bCs/>
                <w:color w:val="auto"/>
                <w:kern w:val="24"/>
                <w:sz w:val="21"/>
                <w:szCs w:val="21"/>
                <w:highlight w:val="none"/>
              </w:rPr>
              <w:t>使用</w:t>
            </w:r>
          </w:p>
        </w:tc>
        <w:tc>
          <w:tcPr>
            <w:tcW w:w="1582" w:type="dxa"/>
            <w:shd w:val="clear" w:color="auto" w:fill="auto"/>
            <w:tcMar>
              <w:top w:w="72" w:type="dxa"/>
              <w:left w:w="144" w:type="dxa"/>
              <w:bottom w:w="72" w:type="dxa"/>
              <w:right w:w="144" w:type="dxa"/>
            </w:tcMar>
            <w:vAlign w:val="center"/>
          </w:tcPr>
          <w:p>
            <w:pPr>
              <w:rPr>
                <w:rFonts w:eastAsia="宋体"/>
                <w:color w:val="auto"/>
                <w:sz w:val="21"/>
                <w:highlight w:val="none"/>
              </w:rPr>
            </w:pPr>
            <w:r>
              <w:rPr>
                <w:rFonts w:hint="eastAsia" w:eastAsia="宋体" w:cs="Arial"/>
                <w:bCs/>
                <w:color w:val="auto"/>
                <w:kern w:val="24"/>
                <w:sz w:val="21"/>
                <w:szCs w:val="21"/>
                <w:highlight w:val="none"/>
              </w:rPr>
              <w:t>慎用</w:t>
            </w:r>
          </w:p>
        </w:tc>
        <w:tc>
          <w:tcPr>
            <w:tcW w:w="1281" w:type="dxa"/>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不建议服用</w:t>
            </w:r>
          </w:p>
        </w:tc>
      </w:tr>
      <w:tr>
        <w:tblPrEx>
          <w:tblLayout w:type="fixed"/>
          <w:tblCellMar>
            <w:top w:w="0" w:type="dxa"/>
            <w:left w:w="0" w:type="dxa"/>
            <w:bottom w:w="0" w:type="dxa"/>
            <w:right w:w="0" w:type="dxa"/>
          </w:tblCellMar>
        </w:tblPrEx>
        <w:trPr>
          <w:trHeight w:val="260" w:hRule="atLeast"/>
          <w:jc w:val="center"/>
        </w:trPr>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哺乳期用药</w:t>
            </w:r>
          </w:p>
        </w:tc>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对婴儿</w:t>
            </w:r>
          </w:p>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影响较小</w:t>
            </w:r>
          </w:p>
        </w:tc>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暂停哺乳</w:t>
            </w:r>
          </w:p>
        </w:tc>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暂停哺乳</w:t>
            </w:r>
          </w:p>
        </w:tc>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暂停哺乳</w:t>
            </w:r>
          </w:p>
        </w:tc>
        <w:tc>
          <w:tcPr>
            <w:tcW w:w="1582" w:type="dxa"/>
            <w:tcBorders>
              <w:bottom w:val="single" w:color="auto" w:sz="12" w:space="0"/>
            </w:tcBorders>
            <w:shd w:val="clear" w:color="auto" w:fill="auto"/>
            <w:tcMar>
              <w:top w:w="72" w:type="dxa"/>
              <w:left w:w="144" w:type="dxa"/>
              <w:bottom w:w="72" w:type="dxa"/>
              <w:right w:w="144" w:type="dxa"/>
            </w:tcMar>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暂停哺乳</w:t>
            </w:r>
          </w:p>
        </w:tc>
        <w:tc>
          <w:tcPr>
            <w:tcW w:w="1281" w:type="dxa"/>
            <w:tcBorders>
              <w:bottom w:val="single" w:color="auto" w:sz="12" w:space="0"/>
            </w:tcBorders>
            <w:vAlign w:val="center"/>
          </w:tcPr>
          <w:p>
            <w:pPr>
              <w:pStyle w:val="17"/>
              <w:kinsoku w:val="0"/>
              <w:overflowPunct w:val="0"/>
              <w:spacing w:before="0" w:beforeAutospacing="0" w:after="0" w:afterAutospacing="0" w:line="276" w:lineRule="auto"/>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暂停哺乳</w:t>
            </w:r>
          </w:p>
        </w:tc>
      </w:tr>
    </w:tbl>
    <w:p>
      <w:pPr>
        <w:rPr>
          <w:rFonts w:eastAsia="宋体"/>
          <w:color w:val="auto"/>
          <w:sz w:val="24"/>
          <w:szCs w:val="24"/>
        </w:rPr>
      </w:pPr>
      <w:r>
        <w:rPr>
          <w:rFonts w:hint="eastAsia" w:eastAsia="宋体" w:cs="Arial"/>
          <w:bCs/>
          <w:color w:val="auto"/>
          <w:kern w:val="24"/>
          <w:sz w:val="21"/>
          <w:szCs w:val="21"/>
          <w:highlight w:val="none"/>
        </w:rPr>
        <w:t>备注</w:t>
      </w:r>
      <w:r>
        <w:rPr>
          <w:rFonts w:eastAsia="宋体" w:cs="Arial"/>
          <w:bCs/>
          <w:color w:val="auto"/>
          <w:kern w:val="24"/>
          <w:sz w:val="21"/>
          <w:szCs w:val="21"/>
          <w:highlight w:val="none"/>
        </w:rPr>
        <w:t>:*</w:t>
      </w:r>
      <w:r>
        <w:rPr>
          <w:rFonts w:hint="eastAsia" w:eastAsia="宋体" w:cs="Arial"/>
          <w:bCs/>
          <w:color w:val="auto"/>
          <w:kern w:val="24"/>
          <w:sz w:val="21"/>
          <w:szCs w:val="21"/>
          <w:highlight w:val="none"/>
        </w:rPr>
        <w:t>此部分参考国内原研药的药品说明书、</w:t>
      </w:r>
      <w:r>
        <w:rPr>
          <w:rFonts w:eastAsia="宋体" w:cs="Arial"/>
          <w:bCs/>
          <w:color w:val="auto"/>
          <w:kern w:val="24"/>
          <w:sz w:val="21"/>
          <w:szCs w:val="21"/>
          <w:highlight w:val="none"/>
        </w:rPr>
        <w:t>FDA</w:t>
      </w:r>
      <w:r>
        <w:rPr>
          <w:rFonts w:hint="eastAsia" w:eastAsia="宋体" w:cs="Arial"/>
          <w:bCs/>
          <w:color w:val="auto"/>
          <w:kern w:val="24"/>
          <w:sz w:val="21"/>
          <w:szCs w:val="21"/>
          <w:highlight w:val="none"/>
        </w:rPr>
        <w:t>妊娠分级及最新临床诊疗指南</w:t>
      </w:r>
      <w:r>
        <w:rPr>
          <w:rFonts w:eastAsia="宋体"/>
          <w:color w:val="auto"/>
        </w:rPr>
        <w:br w:type="page"/>
      </w:r>
    </w:p>
    <w:p>
      <w:pPr>
        <w:pStyle w:val="2"/>
        <w:spacing w:before="217" w:after="217" w:line="600" w:lineRule="exact"/>
        <w:rPr>
          <w:color w:val="auto"/>
        </w:rPr>
      </w:pPr>
      <w:bookmarkStart w:id="19" w:name="_Toc535269731"/>
      <w:r>
        <w:rPr>
          <w:rFonts w:hint="eastAsia"/>
          <w:color w:val="auto"/>
        </w:rPr>
        <w:t>第二部分 质子泵抑制剂临床应用管理制度</w:t>
      </w:r>
      <w:bookmarkEnd w:id="19"/>
    </w:p>
    <w:p>
      <w:pPr>
        <w:pStyle w:val="4"/>
        <w:numPr>
          <w:ilvl w:val="0"/>
          <w:numId w:val="4"/>
        </w:numPr>
        <w:spacing w:line="600" w:lineRule="exact"/>
        <w:ind w:left="0" w:leftChars="0" w:firstLine="640" w:firstLineChars="200"/>
        <w:rPr>
          <w:b w:val="0"/>
          <w:bCs w:val="0"/>
          <w:color w:val="auto"/>
        </w:rPr>
      </w:pPr>
      <w:bookmarkStart w:id="20" w:name="_Toc535269732"/>
      <w:r>
        <w:rPr>
          <w:rFonts w:hint="eastAsia"/>
          <w:b w:val="0"/>
          <w:bCs w:val="0"/>
          <w:color w:val="auto"/>
        </w:rPr>
        <w:t>医疗机构制订</w:t>
      </w:r>
      <w:r>
        <w:rPr>
          <w:rFonts w:hint="eastAsia"/>
          <w:b w:val="0"/>
          <w:bCs w:val="0"/>
          <w:color w:val="auto"/>
          <w:lang w:eastAsia="zh-CN"/>
        </w:rPr>
        <w:t>质子泵抑制剂</w:t>
      </w:r>
      <w:r>
        <w:rPr>
          <w:rFonts w:hint="eastAsia"/>
          <w:b w:val="0"/>
          <w:bCs w:val="0"/>
          <w:color w:val="auto"/>
        </w:rPr>
        <w:t>合理使用管理规定</w:t>
      </w:r>
      <w:bookmarkEnd w:id="20"/>
    </w:p>
    <w:p>
      <w:pPr>
        <w:spacing w:line="600" w:lineRule="exact"/>
        <w:ind w:firstLine="640" w:firstLineChars="200"/>
        <w:rPr>
          <w:color w:val="auto"/>
        </w:rPr>
      </w:pPr>
      <w:r>
        <w:rPr>
          <w:rFonts w:hint="eastAsia"/>
          <w:color w:val="auto"/>
        </w:rPr>
        <w:t>各医疗机构药事管理与药物治疗委员会负责院内“</w:t>
      </w:r>
      <w:r>
        <w:rPr>
          <w:rFonts w:hint="eastAsia"/>
          <w:color w:val="auto"/>
          <w:lang w:eastAsia="zh-CN"/>
        </w:rPr>
        <w:t>质子泵抑制剂</w:t>
      </w:r>
      <w:r>
        <w:rPr>
          <w:rFonts w:hint="eastAsia"/>
          <w:color w:val="auto"/>
        </w:rPr>
        <w:t>合理使用管理规定”的制订。该规定应遵循使用合理、管理规范、可操作性强的原则。</w:t>
      </w:r>
    </w:p>
    <w:p>
      <w:pPr>
        <w:pStyle w:val="4"/>
        <w:numPr>
          <w:ilvl w:val="-1"/>
          <w:numId w:val="0"/>
        </w:numPr>
        <w:spacing w:line="600" w:lineRule="exact"/>
        <w:ind w:left="0" w:leftChars="0" w:firstLine="0" w:firstLineChars="0"/>
        <w:jc w:val="left"/>
        <w:rPr>
          <w:b w:val="0"/>
          <w:bCs w:val="0"/>
          <w:color w:val="auto"/>
        </w:rPr>
      </w:pPr>
      <w:bookmarkStart w:id="21" w:name="_Toc535269733"/>
      <w:r>
        <w:rPr>
          <w:rFonts w:hint="default"/>
          <w:b w:val="0"/>
          <w:bCs w:val="0"/>
          <w:color w:val="auto"/>
          <w:lang w:eastAsia="zh-CN"/>
        </w:rPr>
        <w:t xml:space="preserve">    二、</w:t>
      </w:r>
      <w:r>
        <w:rPr>
          <w:rFonts w:hint="eastAsia"/>
          <w:b w:val="0"/>
          <w:bCs w:val="0"/>
          <w:color w:val="auto"/>
          <w:lang w:eastAsia="zh-CN"/>
        </w:rPr>
        <w:t>质子泵抑制剂</w:t>
      </w:r>
      <w:r>
        <w:rPr>
          <w:rFonts w:hint="eastAsia"/>
          <w:b w:val="0"/>
          <w:bCs w:val="0"/>
          <w:color w:val="auto"/>
        </w:rPr>
        <w:t>药品品种遴选</w:t>
      </w:r>
      <w:bookmarkEnd w:id="21"/>
    </w:p>
    <w:p>
      <w:pPr>
        <w:spacing w:line="600" w:lineRule="exact"/>
        <w:ind w:firstLine="640" w:firstLineChars="200"/>
        <w:rPr>
          <w:color w:val="auto"/>
        </w:rPr>
      </w:pPr>
      <w:r>
        <w:rPr>
          <w:rFonts w:hint="eastAsia"/>
          <w:color w:val="auto"/>
        </w:rPr>
        <w:t>结合临床的需求特点，并参照“国家基本药物目录”“国家医保目录”等，制订本医疗机构</w:t>
      </w:r>
      <w:r>
        <w:rPr>
          <w:rFonts w:hint="eastAsia"/>
          <w:color w:val="auto"/>
          <w:lang w:eastAsia="zh-CN"/>
        </w:rPr>
        <w:t>质子泵抑制剂</w:t>
      </w:r>
      <w:r>
        <w:rPr>
          <w:rFonts w:hint="eastAsia"/>
          <w:color w:val="auto"/>
        </w:rPr>
        <w:t>药物供应目录和处方集。充分考虑药品的有效性、安全性、经济性和使用方便，优先选择通过仿制药一致性评价的药品、国家基本药物、国家集中采购药品或者原研药品。</w:t>
      </w:r>
    </w:p>
    <w:p>
      <w:pPr>
        <w:pStyle w:val="4"/>
        <w:numPr>
          <w:ilvl w:val="-1"/>
          <w:numId w:val="0"/>
        </w:numPr>
        <w:spacing w:line="600" w:lineRule="exact"/>
        <w:ind w:left="640" w:leftChars="200" w:firstLine="0" w:firstLineChars="0"/>
        <w:jc w:val="left"/>
        <w:rPr>
          <w:b w:val="0"/>
          <w:bCs w:val="0"/>
          <w:color w:val="auto"/>
        </w:rPr>
      </w:pPr>
      <w:bookmarkStart w:id="22" w:name="_Toc535269734"/>
      <w:r>
        <w:rPr>
          <w:rFonts w:hint="default"/>
          <w:b w:val="0"/>
          <w:bCs w:val="0"/>
          <w:color w:val="auto"/>
          <w:lang w:eastAsia="zh-CN"/>
        </w:rPr>
        <w:t>三、</w:t>
      </w:r>
      <w:r>
        <w:rPr>
          <w:rFonts w:hint="eastAsia"/>
          <w:b w:val="0"/>
          <w:bCs w:val="0"/>
          <w:color w:val="auto"/>
          <w:lang w:eastAsia="zh-CN"/>
        </w:rPr>
        <w:t>质子泵抑制剂</w:t>
      </w:r>
      <w:r>
        <w:rPr>
          <w:rFonts w:hint="eastAsia"/>
          <w:b w:val="0"/>
          <w:bCs w:val="0"/>
          <w:color w:val="auto"/>
        </w:rPr>
        <w:t>临床管理措施</w:t>
      </w:r>
      <w:bookmarkEnd w:id="22"/>
    </w:p>
    <w:p>
      <w:pPr>
        <w:spacing w:line="600" w:lineRule="exact"/>
        <w:ind w:firstLine="640" w:firstLineChars="200"/>
        <w:rPr>
          <w:color w:val="auto"/>
        </w:rPr>
      </w:pPr>
      <w:r>
        <w:rPr>
          <w:rFonts w:hint="eastAsia"/>
          <w:color w:val="auto"/>
        </w:rPr>
        <w:t>（一）</w:t>
      </w:r>
      <w:r>
        <w:rPr>
          <w:rFonts w:hint="eastAsia"/>
          <w:color w:val="auto"/>
          <w:w w:val="98"/>
        </w:rPr>
        <w:t>临床科室是临床合理用药执行和实施的主要部门。</w:t>
      </w:r>
      <w:r>
        <w:rPr>
          <w:rFonts w:hint="eastAsia"/>
          <w:color w:val="auto"/>
        </w:rPr>
        <w:t xml:space="preserve">  </w:t>
      </w:r>
    </w:p>
    <w:p>
      <w:pPr>
        <w:spacing w:line="600" w:lineRule="exact"/>
        <w:ind w:firstLine="640" w:firstLineChars="200"/>
        <w:rPr>
          <w:color w:val="auto"/>
        </w:rPr>
      </w:pPr>
      <w:r>
        <w:rPr>
          <w:rFonts w:hint="eastAsia"/>
          <w:color w:val="auto"/>
        </w:rPr>
        <w:t>（二）宣传和教育临床医生在用药过程中严格掌握用药适应证，选择适宜的</w:t>
      </w:r>
      <w:r>
        <w:rPr>
          <w:rFonts w:hint="eastAsia"/>
          <w:color w:val="auto"/>
          <w:lang w:eastAsia="zh-CN"/>
        </w:rPr>
        <w:t>质子泵抑制剂</w:t>
      </w:r>
      <w:r>
        <w:rPr>
          <w:rFonts w:hint="eastAsia"/>
          <w:color w:val="auto"/>
        </w:rPr>
        <w:t xml:space="preserve">品种、给药途径、剂量和疗程。 </w:t>
      </w:r>
    </w:p>
    <w:p>
      <w:pPr>
        <w:spacing w:line="600" w:lineRule="exact"/>
        <w:ind w:firstLine="640" w:firstLineChars="200"/>
        <w:rPr>
          <w:color w:val="auto"/>
        </w:rPr>
      </w:pPr>
      <w:r>
        <w:rPr>
          <w:rFonts w:hint="eastAsia"/>
          <w:color w:val="auto"/>
        </w:rPr>
        <w:t>（三）以下情形应在病程记录中记载应用原因</w:t>
      </w:r>
      <w:r>
        <w:rPr>
          <w:color w:val="auto"/>
        </w:rPr>
        <w:t>:</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超说明书适应</w:t>
      </w:r>
      <w:r>
        <w:rPr>
          <w:rFonts w:hint="default" w:ascii="Times New Roman" w:hAnsi="Times New Roman" w:eastAsia="仿宋" w:cstheme="minorBidi"/>
          <w:color w:val="auto"/>
          <w:kern w:val="2"/>
          <w:sz w:val="32"/>
          <w:szCs w:val="22"/>
        </w:rPr>
        <w:t>症</w:t>
      </w:r>
      <w:r>
        <w:rPr>
          <w:rFonts w:hint="eastAsia" w:ascii="Times New Roman" w:hAnsi="Times New Roman" w:eastAsia="仿宋" w:cstheme="minorBidi"/>
          <w:color w:val="auto"/>
          <w:kern w:val="2"/>
          <w:sz w:val="32"/>
          <w:szCs w:val="22"/>
        </w:rPr>
        <w:t>；</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连续应用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超过说明书规定天数；</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应用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剂量超过说明书规定剂量；</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患者已经开始进食或可以耐受经口服肠内营养制剂，仍继续使用静脉用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联合或交替应用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和</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bscript"/>
        </w:rPr>
        <w:t>2</w:t>
      </w:r>
      <w:r>
        <w:rPr>
          <w:rFonts w:ascii="Times New Roman" w:hAnsi="Times New Roman" w:eastAsia="仿宋" w:cstheme="minorBidi"/>
          <w:color w:val="auto"/>
          <w:kern w:val="2"/>
          <w:sz w:val="32"/>
          <w:szCs w:val="22"/>
        </w:rPr>
        <w:t>RA</w:t>
      </w:r>
      <w:r>
        <w:rPr>
          <w:rFonts w:hint="eastAsia" w:ascii="Times New Roman" w:hAnsi="Times New Roman" w:eastAsia="仿宋" w:cstheme="minorBidi"/>
          <w:color w:val="auto"/>
          <w:kern w:val="2"/>
          <w:sz w:val="32"/>
          <w:szCs w:val="22"/>
        </w:rPr>
        <w:t>；</w:t>
      </w:r>
    </w:p>
    <w:p>
      <w:pPr>
        <w:pStyle w:val="17"/>
        <w:numPr>
          <w:ilvl w:val="0"/>
          <w:numId w:val="5"/>
        </w:numPr>
        <w:kinsoku w:val="0"/>
        <w:overflowPunct w:val="0"/>
        <w:spacing w:before="0" w:beforeAutospacing="0" w:after="0" w:afterAutospacing="0" w:line="600" w:lineRule="exact"/>
        <w:ind w:firstLine="640" w:firstLineChars="200"/>
        <w:textAlignment w:val="baseline"/>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手术前需要应用静脉用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预防应激性溃疡≥</w:t>
      </w:r>
      <w:r>
        <w:rPr>
          <w:rFonts w:ascii="Times New Roman" w:hAnsi="Times New Roman" w:eastAsia="仿宋" w:cstheme="minorBidi"/>
          <w:color w:val="auto"/>
          <w:kern w:val="2"/>
          <w:sz w:val="32"/>
          <w:szCs w:val="22"/>
        </w:rPr>
        <w:t>2</w:t>
      </w:r>
      <w:r>
        <w:rPr>
          <w:rFonts w:hint="eastAsia" w:ascii="Times New Roman" w:hAnsi="Times New Roman" w:eastAsia="仿宋" w:cstheme="minorBidi"/>
          <w:color w:val="auto"/>
          <w:kern w:val="2"/>
          <w:sz w:val="32"/>
          <w:szCs w:val="22"/>
        </w:rPr>
        <w:t>天。</w:t>
      </w:r>
    </w:p>
    <w:p>
      <w:pPr>
        <w:pStyle w:val="4"/>
        <w:numPr>
          <w:ilvl w:val="-1"/>
          <w:numId w:val="0"/>
        </w:numPr>
        <w:spacing w:line="600" w:lineRule="exact"/>
        <w:ind w:left="640" w:leftChars="200" w:firstLine="0" w:firstLineChars="0"/>
        <w:rPr>
          <w:b w:val="0"/>
          <w:bCs w:val="0"/>
          <w:color w:val="auto"/>
        </w:rPr>
      </w:pPr>
      <w:bookmarkStart w:id="23" w:name="_Toc535269735"/>
      <w:r>
        <w:rPr>
          <w:rFonts w:hint="default"/>
          <w:b w:val="0"/>
          <w:bCs w:val="0"/>
          <w:color w:val="auto"/>
          <w:lang w:eastAsia="zh-CN"/>
        </w:rPr>
        <w:t>四、</w:t>
      </w:r>
      <w:r>
        <w:rPr>
          <w:rFonts w:hint="eastAsia"/>
          <w:b w:val="0"/>
          <w:bCs w:val="0"/>
          <w:color w:val="auto"/>
          <w:lang w:eastAsia="zh-CN"/>
        </w:rPr>
        <w:t>质子泵抑制剂</w:t>
      </w:r>
      <w:r>
        <w:rPr>
          <w:rFonts w:hint="eastAsia"/>
          <w:b w:val="0"/>
          <w:bCs w:val="0"/>
          <w:color w:val="auto"/>
        </w:rPr>
        <w:t>药事监管</w:t>
      </w:r>
      <w:bookmarkEnd w:id="23"/>
    </w:p>
    <w:p>
      <w:pPr>
        <w:spacing w:line="600" w:lineRule="exact"/>
        <w:ind w:firstLine="640" w:firstLineChars="200"/>
        <w:rPr>
          <w:color w:val="auto"/>
        </w:rPr>
      </w:pPr>
      <w:r>
        <w:rPr>
          <w:rFonts w:hint="eastAsia"/>
          <w:color w:val="auto"/>
        </w:rPr>
        <w:t>医疗机构应当加强对</w:t>
      </w:r>
      <w:r>
        <w:rPr>
          <w:rFonts w:hint="eastAsia"/>
          <w:color w:val="auto"/>
          <w:lang w:eastAsia="zh-CN"/>
        </w:rPr>
        <w:t>质子泵抑制剂</w:t>
      </w:r>
      <w:r>
        <w:rPr>
          <w:rFonts w:hint="eastAsia"/>
          <w:color w:val="auto"/>
        </w:rPr>
        <w:t>临床应用科学化管理，具体体现在以下几个方面：</w:t>
      </w:r>
    </w:p>
    <w:p>
      <w:pPr>
        <w:numPr>
          <w:ilvl w:val="-1"/>
          <w:numId w:val="0"/>
        </w:numPr>
        <w:spacing w:line="600" w:lineRule="exact"/>
        <w:ind w:left="0" w:leftChars="0" w:firstLine="0" w:firstLineChars="0"/>
        <w:rPr>
          <w:color w:val="auto"/>
        </w:rPr>
      </w:pPr>
      <w:r>
        <w:rPr>
          <w:rFonts w:hint="default"/>
          <w:color w:val="auto"/>
        </w:rPr>
        <w:t xml:space="preserve">    （一）</w:t>
      </w:r>
      <w:r>
        <w:rPr>
          <w:rFonts w:hint="eastAsia"/>
          <w:color w:val="auto"/>
        </w:rPr>
        <w:t>有关</w:t>
      </w:r>
      <w:r>
        <w:rPr>
          <w:rFonts w:hint="eastAsia"/>
          <w:color w:val="auto"/>
          <w:lang w:eastAsia="zh-CN"/>
        </w:rPr>
        <w:t>质子泵抑制剂</w:t>
      </w:r>
      <w:r>
        <w:rPr>
          <w:rFonts w:hint="eastAsia"/>
          <w:color w:val="auto"/>
        </w:rPr>
        <w:t>临床应用指导原则、临床诊疗指南等相关信息的发布。对处方者提供实时更新的循证药品信息。</w:t>
      </w:r>
    </w:p>
    <w:p>
      <w:pPr>
        <w:numPr>
          <w:ilvl w:val="0"/>
          <w:numId w:val="0"/>
        </w:numPr>
        <w:spacing w:line="600" w:lineRule="exact"/>
        <w:rPr>
          <w:color w:val="auto"/>
        </w:rPr>
      </w:pPr>
      <w:r>
        <w:rPr>
          <w:rFonts w:hint="default"/>
          <w:color w:val="auto"/>
        </w:rPr>
        <w:t xml:space="preserve">    （二）</w:t>
      </w:r>
      <w:r>
        <w:rPr>
          <w:rFonts w:hint="eastAsia"/>
          <w:color w:val="auto"/>
        </w:rPr>
        <w:t>医疗机构应对临床医生和药师进行</w:t>
      </w:r>
      <w:r>
        <w:rPr>
          <w:rFonts w:hint="eastAsia"/>
          <w:color w:val="auto"/>
          <w:lang w:eastAsia="zh-CN"/>
        </w:rPr>
        <w:t>质子泵抑制剂</w:t>
      </w:r>
      <w:r>
        <w:rPr>
          <w:rFonts w:hint="eastAsia"/>
          <w:color w:val="auto"/>
        </w:rPr>
        <w:t>合理应用与管理的培训与考核。</w:t>
      </w:r>
    </w:p>
    <w:p>
      <w:pPr>
        <w:numPr>
          <w:ilvl w:val="0"/>
          <w:numId w:val="0"/>
        </w:numPr>
        <w:spacing w:line="600" w:lineRule="exact"/>
        <w:rPr>
          <w:color w:val="auto"/>
        </w:rPr>
      </w:pPr>
      <w:r>
        <w:rPr>
          <w:rFonts w:hint="default"/>
          <w:color w:val="auto"/>
        </w:rPr>
        <w:t xml:space="preserve">    （三）</w:t>
      </w:r>
      <w:r>
        <w:rPr>
          <w:rFonts w:hint="eastAsia"/>
          <w:color w:val="auto"/>
        </w:rPr>
        <w:t>药师应遵循《医疗机构处方审核规范》，严格参照本指导原则审核处方，对医师在诊疗活动中为患者开具的处方，进行合法性、规范性和适宜性审核，并作出是否同意调配发药决定。</w:t>
      </w:r>
    </w:p>
    <w:p>
      <w:pPr>
        <w:numPr>
          <w:ilvl w:val="0"/>
          <w:numId w:val="0"/>
        </w:numPr>
        <w:spacing w:line="600" w:lineRule="exact"/>
        <w:rPr>
          <w:color w:val="auto"/>
        </w:rPr>
      </w:pPr>
      <w:r>
        <w:rPr>
          <w:rFonts w:hint="default"/>
          <w:color w:val="auto"/>
        </w:rPr>
        <w:t xml:space="preserve">    （四）</w:t>
      </w:r>
      <w:r>
        <w:rPr>
          <w:rFonts w:hint="eastAsia"/>
          <w:color w:val="auto"/>
        </w:rPr>
        <w:t>开展</w:t>
      </w:r>
      <w:r>
        <w:rPr>
          <w:rFonts w:hint="eastAsia"/>
          <w:color w:val="auto"/>
          <w:lang w:eastAsia="zh-CN"/>
        </w:rPr>
        <w:t>质子泵抑制剂</w:t>
      </w:r>
      <w:r>
        <w:rPr>
          <w:rFonts w:hint="eastAsia"/>
          <w:color w:val="auto"/>
        </w:rPr>
        <w:t>药物处方点评工作，对处方审核的数量、质量、效率和效果进行点评，至少包括处方审核率、处方干预率、处方合理率。</w:t>
      </w:r>
    </w:p>
    <w:p>
      <w:pPr>
        <w:numPr>
          <w:ilvl w:val="0"/>
          <w:numId w:val="0"/>
        </w:numPr>
        <w:spacing w:line="600" w:lineRule="exact"/>
        <w:rPr>
          <w:color w:val="auto"/>
        </w:rPr>
      </w:pPr>
      <w:r>
        <w:rPr>
          <w:rFonts w:hint="default"/>
          <w:color w:val="auto"/>
        </w:rPr>
        <w:t xml:space="preserve">    （五）</w:t>
      </w:r>
      <w:r>
        <w:rPr>
          <w:rFonts w:hint="eastAsia"/>
          <w:color w:val="auto"/>
        </w:rPr>
        <w:t>对临床应用不合理、次均费用占比或药品使用数量异常增长的品种进行</w:t>
      </w:r>
      <w:bookmarkStart w:id="24" w:name="OLE_LINK9"/>
      <w:bookmarkStart w:id="25" w:name="OLE_LINK10"/>
      <w:r>
        <w:rPr>
          <w:rFonts w:hint="eastAsia"/>
          <w:color w:val="auto"/>
        </w:rPr>
        <w:t>重点监控</w:t>
      </w:r>
      <w:bookmarkEnd w:id="24"/>
      <w:bookmarkEnd w:id="25"/>
      <w:r>
        <w:rPr>
          <w:rFonts w:hint="eastAsia"/>
          <w:color w:val="auto"/>
        </w:rPr>
        <w:t>。</w:t>
      </w:r>
    </w:p>
    <w:p>
      <w:pPr>
        <w:widowControl/>
        <w:ind w:firstLine="640"/>
        <w:jc w:val="left"/>
        <w:rPr>
          <w:color w:val="auto"/>
        </w:rPr>
      </w:pPr>
      <w:r>
        <w:rPr>
          <w:color w:val="auto"/>
        </w:rPr>
        <w:br w:type="page"/>
      </w:r>
    </w:p>
    <w:p>
      <w:pPr>
        <w:pStyle w:val="2"/>
        <w:spacing w:before="217" w:after="217" w:line="600" w:lineRule="exact"/>
        <w:rPr>
          <w:color w:val="auto"/>
        </w:rPr>
      </w:pPr>
      <w:bookmarkStart w:id="26" w:name="_Toc535269736"/>
      <w:r>
        <w:rPr>
          <w:rFonts w:hint="eastAsia"/>
          <w:color w:val="auto"/>
        </w:rPr>
        <w:t>第三部分 常用质子泵抑制剂的适应证和</w:t>
      </w:r>
      <w:r>
        <w:rPr>
          <w:rFonts w:hint="default"/>
          <w:color w:val="auto"/>
        </w:rPr>
        <w:t xml:space="preserve">   </w:t>
      </w:r>
      <w:r>
        <w:rPr>
          <w:rFonts w:hint="eastAsia"/>
          <w:color w:val="auto"/>
        </w:rPr>
        <w:t>注意事项</w:t>
      </w:r>
      <w:bookmarkEnd w:id="26"/>
    </w:p>
    <w:p>
      <w:pPr>
        <w:pStyle w:val="17"/>
        <w:spacing w:after="0" w:afterAutospacing="0" w:line="600" w:lineRule="exact"/>
        <w:ind w:firstLine="480"/>
        <w:jc w:val="both"/>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通过特异性地作用于胃壁细胞内管泡膜上的</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perscript"/>
        </w:rPr>
        <w:t>+</w:t>
      </w:r>
      <w:r>
        <w:rPr>
          <w:rFonts w:ascii="Times New Roman" w:hAnsi="Times New Roman" w:eastAsia="仿宋" w:cstheme="minorBidi"/>
          <w:color w:val="auto"/>
          <w:kern w:val="2"/>
          <w:sz w:val="32"/>
          <w:szCs w:val="22"/>
        </w:rPr>
        <w:t>/K</w:t>
      </w:r>
      <w:r>
        <w:rPr>
          <w:rFonts w:ascii="Times New Roman" w:hAnsi="Times New Roman" w:eastAsia="仿宋" w:cstheme="minorBidi"/>
          <w:color w:val="auto"/>
          <w:kern w:val="2"/>
          <w:sz w:val="32"/>
          <w:szCs w:val="22"/>
          <w:vertAlign w:val="superscript"/>
        </w:rPr>
        <w:t>+</w:t>
      </w:r>
      <w:r>
        <w:rPr>
          <w:rFonts w:ascii="Times New Roman" w:hAnsi="Times New Roman" w:eastAsia="仿宋" w:cstheme="minorBidi"/>
          <w:color w:val="auto"/>
          <w:kern w:val="2"/>
          <w:sz w:val="32"/>
          <w:szCs w:val="22"/>
        </w:rPr>
        <w:t>-ATP</w:t>
      </w:r>
      <w:r>
        <w:rPr>
          <w:rFonts w:hint="eastAsia" w:ascii="Times New Roman" w:hAnsi="Times New Roman" w:eastAsia="仿宋" w:cstheme="minorBidi"/>
          <w:color w:val="auto"/>
          <w:kern w:val="2"/>
          <w:sz w:val="32"/>
          <w:szCs w:val="22"/>
        </w:rPr>
        <w:t>酶，与质子泵不可逆地结合使其失去活性，抑制基础胃酸的分泌及组胺、乙酰胆碱、胃泌素、进食等多种刺激引起的酸分泌。</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对食物刺激引起的壁细胞泌酸抑制作用最有效，长时间禁食后壁细胞中</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perscript"/>
        </w:rPr>
        <w:t>+</w:t>
      </w:r>
      <w:r>
        <w:rPr>
          <w:rFonts w:ascii="Times New Roman" w:hAnsi="Times New Roman" w:eastAsia="仿宋" w:cstheme="minorBidi"/>
          <w:color w:val="auto"/>
          <w:kern w:val="2"/>
          <w:sz w:val="32"/>
          <w:szCs w:val="22"/>
        </w:rPr>
        <w:t>/K</w:t>
      </w:r>
      <w:r>
        <w:rPr>
          <w:rFonts w:ascii="Times New Roman" w:hAnsi="Times New Roman" w:eastAsia="仿宋" w:cstheme="minorBidi"/>
          <w:color w:val="auto"/>
          <w:kern w:val="2"/>
          <w:sz w:val="32"/>
          <w:szCs w:val="22"/>
          <w:vertAlign w:val="superscript"/>
        </w:rPr>
        <w:t>+</w:t>
      </w:r>
      <w:r>
        <w:rPr>
          <w:rFonts w:ascii="Times New Roman" w:hAnsi="Times New Roman" w:eastAsia="仿宋" w:cstheme="minorBidi"/>
          <w:color w:val="auto"/>
          <w:kern w:val="2"/>
          <w:sz w:val="32"/>
          <w:szCs w:val="22"/>
        </w:rPr>
        <w:t>-ATP</w:t>
      </w:r>
      <w:r>
        <w:rPr>
          <w:rFonts w:hint="eastAsia" w:ascii="Times New Roman" w:hAnsi="Times New Roman" w:eastAsia="仿宋" w:cstheme="minorBidi"/>
          <w:color w:val="auto"/>
          <w:kern w:val="2"/>
          <w:sz w:val="32"/>
          <w:szCs w:val="22"/>
        </w:rPr>
        <w:t>酶最多，故</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应在早餐前</w:t>
      </w:r>
      <w:r>
        <w:rPr>
          <w:rFonts w:ascii="Times New Roman" w:hAnsi="Times New Roman" w:eastAsia="仿宋" w:cstheme="minorBidi"/>
          <w:color w:val="auto"/>
          <w:kern w:val="2"/>
          <w:sz w:val="32"/>
          <w:szCs w:val="22"/>
        </w:rPr>
        <w:t>30~60</w:t>
      </w:r>
      <w:r>
        <w:rPr>
          <w:rFonts w:hint="eastAsia" w:ascii="Times New Roman" w:hAnsi="Times New Roman" w:eastAsia="仿宋" w:cstheme="minorBidi"/>
          <w:color w:val="auto"/>
          <w:kern w:val="2"/>
          <w:sz w:val="32"/>
          <w:szCs w:val="22"/>
        </w:rPr>
        <w:t>分钟服用，推荐起始使用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的标准剂量（见</w:t>
      </w:r>
      <w:r>
        <w:rPr>
          <w:color w:val="auto"/>
        </w:rPr>
        <w:fldChar w:fldCharType="begin"/>
      </w:r>
      <w:r>
        <w:rPr>
          <w:color w:val="auto"/>
        </w:rPr>
        <w:instrText xml:space="preserve"> REF _Ref522745871 \h  \* MERGEFORMAT </w:instrText>
      </w:r>
      <w:r>
        <w:rPr>
          <w:color w:val="auto"/>
        </w:rPr>
        <w:fldChar w:fldCharType="separate"/>
      </w:r>
      <w:r>
        <w:rPr>
          <w:rFonts w:hint="eastAsia" w:ascii="Times New Roman" w:hAnsi="Times New Roman" w:eastAsia="仿宋" w:cstheme="minorBidi"/>
          <w:color w:val="auto"/>
          <w:kern w:val="2"/>
          <w:sz w:val="32"/>
          <w:szCs w:val="22"/>
        </w:rPr>
        <w:t>表</w:t>
      </w:r>
      <w:r>
        <w:rPr>
          <w:rFonts w:ascii="Times New Roman" w:hAnsi="Times New Roman" w:eastAsia="仿宋" w:cstheme="minorBidi"/>
          <w:color w:val="auto"/>
          <w:kern w:val="2"/>
          <w:sz w:val="32"/>
          <w:szCs w:val="22"/>
        </w:rPr>
        <w:t>3- 1</w:t>
      </w:r>
      <w:r>
        <w:rPr>
          <w:color w:val="auto"/>
        </w:rPr>
        <w:fldChar w:fldCharType="end"/>
      </w:r>
      <w:r>
        <w:rPr>
          <w:rFonts w:hint="eastAsia" w:ascii="Times New Roman" w:hAnsi="Times New Roman" w:eastAsia="仿宋" w:cstheme="minorBidi"/>
          <w:color w:val="auto"/>
          <w:kern w:val="2"/>
          <w:sz w:val="32"/>
          <w:szCs w:val="22"/>
        </w:rPr>
        <w:t>）。</w:t>
      </w:r>
    </w:p>
    <w:p>
      <w:pPr>
        <w:pStyle w:val="8"/>
        <w:spacing w:after="240"/>
        <w:jc w:val="center"/>
        <w:rPr>
          <w:rFonts w:ascii="Times New Roman" w:hAnsi="Times New Roman" w:eastAsia="宋体" w:cs="Arial"/>
          <w:b w:val="0"/>
          <w:bCs/>
          <w:color w:val="auto"/>
          <w:kern w:val="24"/>
          <w:szCs w:val="21"/>
        </w:rPr>
      </w:pPr>
      <w:bookmarkStart w:id="27" w:name="_Ref522745871"/>
      <w:r>
        <w:rPr>
          <w:rFonts w:hint="eastAsia" w:ascii="Times New Roman" w:hAnsi="Times New Roman" w:eastAsia="宋体"/>
          <w:b w:val="0"/>
          <w:color w:val="auto"/>
          <w:szCs w:val="21"/>
        </w:rPr>
        <w:t>表</w:t>
      </w:r>
      <w:r>
        <w:rPr>
          <w:rFonts w:ascii="Times New Roman" w:hAnsi="Times New Roman" w:eastAsia="宋体"/>
          <w:b w:val="0"/>
          <w:color w:val="auto"/>
          <w:szCs w:val="21"/>
        </w:rPr>
        <w:t xml:space="preserve">3- </w:t>
      </w:r>
      <w:r>
        <w:rPr>
          <w:rFonts w:ascii="Times New Roman" w:hAnsi="Times New Roman" w:eastAsia="宋体"/>
          <w:b w:val="0"/>
          <w:color w:val="auto"/>
          <w:szCs w:val="21"/>
        </w:rPr>
        <w:fldChar w:fldCharType="begin"/>
      </w:r>
      <w:r>
        <w:rPr>
          <w:rFonts w:ascii="Times New Roman" w:hAnsi="Times New Roman" w:eastAsia="宋体"/>
          <w:b w:val="0"/>
          <w:color w:val="auto"/>
          <w:szCs w:val="21"/>
        </w:rPr>
        <w:instrText xml:space="preserve"> SEQ </w:instrText>
      </w:r>
      <w:r>
        <w:rPr>
          <w:rFonts w:hint="eastAsia" w:ascii="Times New Roman" w:hAnsi="Times New Roman" w:eastAsia="宋体"/>
          <w:b w:val="0"/>
          <w:color w:val="auto"/>
          <w:szCs w:val="21"/>
        </w:rPr>
        <w:instrText xml:space="preserve">表</w:instrText>
      </w:r>
      <w:r>
        <w:rPr>
          <w:rFonts w:ascii="Times New Roman" w:hAnsi="Times New Roman" w:eastAsia="宋体"/>
          <w:b w:val="0"/>
          <w:color w:val="auto"/>
          <w:szCs w:val="21"/>
        </w:rPr>
        <w:instrText xml:space="preserve">3- \* ARABIC </w:instrText>
      </w:r>
      <w:r>
        <w:rPr>
          <w:rFonts w:ascii="Times New Roman" w:hAnsi="Times New Roman" w:eastAsia="宋体"/>
          <w:b w:val="0"/>
          <w:color w:val="auto"/>
          <w:szCs w:val="21"/>
        </w:rPr>
        <w:fldChar w:fldCharType="separate"/>
      </w:r>
      <w:r>
        <w:rPr>
          <w:rFonts w:ascii="Times New Roman" w:hAnsi="Times New Roman" w:eastAsia="宋体"/>
          <w:b w:val="0"/>
          <w:color w:val="auto"/>
          <w:szCs w:val="21"/>
        </w:rPr>
        <w:t>1</w:t>
      </w:r>
      <w:r>
        <w:rPr>
          <w:rFonts w:ascii="Times New Roman" w:hAnsi="Times New Roman" w:eastAsia="宋体"/>
          <w:b w:val="0"/>
          <w:color w:val="auto"/>
          <w:szCs w:val="21"/>
        </w:rPr>
        <w:fldChar w:fldCharType="end"/>
      </w:r>
      <w:bookmarkEnd w:id="27"/>
      <w:r>
        <w:rPr>
          <w:rFonts w:ascii="Times New Roman" w:hAnsi="Times New Roman" w:eastAsia="宋体"/>
          <w:b w:val="0"/>
          <w:color w:val="auto"/>
          <w:szCs w:val="21"/>
        </w:rPr>
        <w:t xml:space="preserve"> </w:t>
      </w:r>
      <w:r>
        <w:rPr>
          <w:rFonts w:hint="eastAsia" w:ascii="Times New Roman" w:hAnsi="Times New Roman" w:eastAsia="宋体"/>
          <w:b w:val="0"/>
          <w:color w:val="auto"/>
          <w:szCs w:val="21"/>
          <w:lang w:eastAsia="zh-CN"/>
        </w:rPr>
        <w:t>质子泵抑制剂</w:t>
      </w:r>
      <w:r>
        <w:rPr>
          <w:rFonts w:hint="eastAsia" w:ascii="Times New Roman" w:hAnsi="Times New Roman" w:eastAsia="宋体"/>
          <w:b w:val="0"/>
          <w:color w:val="auto"/>
          <w:szCs w:val="21"/>
        </w:rPr>
        <w:t>口服剂的标准剂量</w:t>
      </w:r>
    </w:p>
    <w:tbl>
      <w:tblPr>
        <w:tblStyle w:val="25"/>
        <w:tblW w:w="81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2"/>
        <w:gridCol w:w="2730"/>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Borders>
              <w:top w:val="single" w:color="auto" w:sz="12" w:space="0"/>
              <w:bottom w:val="single" w:color="auto" w:sz="4" w:space="0"/>
            </w:tcBorders>
          </w:tcPr>
          <w:p>
            <w:pPr>
              <w:pStyle w:val="17"/>
              <w:kinsoku w:val="0"/>
              <w:overflowPunct w:val="0"/>
              <w:spacing w:before="0" w:beforeAutospacing="0" w:after="0" w:afterAutospacing="0" w:line="276" w:lineRule="auto"/>
              <w:ind w:firstLine="422"/>
              <w:jc w:val="both"/>
              <w:rPr>
                <w:rFonts w:hint="eastAsia" w:ascii="Times New Roman" w:hAnsi="Times New Roman" w:eastAsia="宋体" w:cs="Arial"/>
                <w:bCs/>
                <w:color w:val="auto"/>
                <w:kern w:val="24"/>
                <w:sz w:val="21"/>
                <w:szCs w:val="21"/>
                <w:lang w:eastAsia="zh-CN"/>
              </w:rPr>
            </w:pPr>
            <w:r>
              <w:rPr>
                <w:rFonts w:hint="eastAsia" w:ascii="Times New Roman" w:hAnsi="Times New Roman" w:cs="Arial"/>
                <w:bCs/>
                <w:color w:val="auto"/>
                <w:kern w:val="24"/>
                <w:sz w:val="21"/>
                <w:szCs w:val="21"/>
                <w:lang w:eastAsia="zh-CN"/>
              </w:rPr>
              <w:t>质子泵抑制剂</w:t>
            </w:r>
          </w:p>
        </w:tc>
        <w:tc>
          <w:tcPr>
            <w:tcW w:w="2730" w:type="dxa"/>
            <w:tcBorders>
              <w:top w:val="single" w:color="auto" w:sz="12" w:space="0"/>
              <w:bottom w:val="single" w:color="auto" w:sz="4" w:space="0"/>
            </w:tcBorders>
          </w:tcPr>
          <w:p>
            <w:pPr>
              <w:pStyle w:val="17"/>
              <w:kinsoku w:val="0"/>
              <w:overflowPunct w:val="0"/>
              <w:spacing w:before="0" w:beforeAutospacing="0" w:after="0" w:afterAutospacing="0" w:line="276" w:lineRule="auto"/>
              <w:ind w:firstLine="422"/>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标准治疗剂量</w:t>
            </w:r>
            <w:r>
              <w:rPr>
                <w:rFonts w:ascii="Times New Roman" w:hAnsi="Times New Roman" w:cs="Arial"/>
                <w:bCs/>
                <w:color w:val="auto"/>
                <w:kern w:val="24"/>
                <w:sz w:val="21"/>
                <w:szCs w:val="21"/>
              </w:rPr>
              <w:t>/</w:t>
            </w:r>
            <w:r>
              <w:rPr>
                <w:rFonts w:hint="eastAsia" w:ascii="Times New Roman" w:hAnsi="Times New Roman" w:cs="Arial"/>
                <w:bCs/>
                <w:color w:val="auto"/>
                <w:kern w:val="24"/>
                <w:sz w:val="21"/>
                <w:szCs w:val="21"/>
              </w:rPr>
              <w:t>日</w:t>
            </w:r>
          </w:p>
        </w:tc>
        <w:tc>
          <w:tcPr>
            <w:tcW w:w="2720" w:type="dxa"/>
            <w:tcBorders>
              <w:top w:val="single" w:color="auto" w:sz="12" w:space="0"/>
              <w:bottom w:val="single" w:color="auto" w:sz="4" w:space="0"/>
            </w:tcBorders>
          </w:tcPr>
          <w:p>
            <w:pPr>
              <w:pStyle w:val="17"/>
              <w:kinsoku w:val="0"/>
              <w:overflowPunct w:val="0"/>
              <w:spacing w:before="0" w:beforeAutospacing="0" w:after="0" w:afterAutospacing="0" w:line="276" w:lineRule="auto"/>
              <w:ind w:firstLine="422"/>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低维持剂量</w:t>
            </w:r>
            <w:r>
              <w:rPr>
                <w:rFonts w:ascii="Times New Roman" w:hAnsi="Times New Roman" w:cs="Arial"/>
                <w:bCs/>
                <w:color w:val="auto"/>
                <w:kern w:val="24"/>
                <w:sz w:val="21"/>
                <w:szCs w:val="21"/>
              </w:rPr>
              <w:t>/</w:t>
            </w:r>
            <w:r>
              <w:rPr>
                <w:rFonts w:hint="eastAsia" w:ascii="Times New Roman" w:hAnsi="Times New Roman" w:cs="Arial"/>
                <w:bCs/>
                <w:color w:val="auto"/>
                <w:kern w:val="24"/>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Borders>
              <w:top w:val="single" w:color="auto" w:sz="4"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奥美拉唑</w:t>
            </w:r>
          </w:p>
        </w:tc>
        <w:tc>
          <w:tcPr>
            <w:tcW w:w="2730" w:type="dxa"/>
            <w:tcBorders>
              <w:top w:val="single" w:color="auto" w:sz="4"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20mg</w:t>
            </w:r>
          </w:p>
        </w:tc>
        <w:tc>
          <w:tcPr>
            <w:tcW w:w="2720" w:type="dxa"/>
            <w:tcBorders>
              <w:top w:val="single" w:color="auto" w:sz="4"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10mg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兰索拉唑</w:t>
            </w:r>
          </w:p>
        </w:tc>
        <w:tc>
          <w:tcPr>
            <w:tcW w:w="273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30mg</w:t>
            </w:r>
          </w:p>
        </w:tc>
        <w:tc>
          <w:tcPr>
            <w:tcW w:w="272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15mg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712"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泮托拉唑</w:t>
            </w:r>
          </w:p>
        </w:tc>
        <w:tc>
          <w:tcPr>
            <w:tcW w:w="273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40mg</w:t>
            </w:r>
          </w:p>
        </w:tc>
        <w:tc>
          <w:tcPr>
            <w:tcW w:w="272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20mg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雷贝拉唑</w:t>
            </w:r>
          </w:p>
        </w:tc>
        <w:tc>
          <w:tcPr>
            <w:tcW w:w="273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20mg</w:t>
            </w:r>
          </w:p>
        </w:tc>
        <w:tc>
          <w:tcPr>
            <w:tcW w:w="272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10mg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艾司奥美拉唑</w:t>
            </w:r>
          </w:p>
        </w:tc>
        <w:tc>
          <w:tcPr>
            <w:tcW w:w="273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ascii="Times New Roman" w:hAnsi="Times New Roman" w:cs="Arial"/>
                <w:bCs/>
                <w:color w:val="auto"/>
                <w:kern w:val="24"/>
                <w:sz w:val="21"/>
                <w:szCs w:val="21"/>
              </w:rPr>
              <w:t>20mg</w:t>
            </w:r>
            <w:r>
              <w:rPr>
                <w:rFonts w:ascii="Times New Roman" w:hAnsi="Times New Roman" w:cs="Arial"/>
                <w:bCs/>
                <w:color w:val="auto"/>
                <w:kern w:val="24"/>
                <w:sz w:val="21"/>
                <w:szCs w:val="21"/>
                <w:vertAlign w:val="superscript"/>
              </w:rPr>
              <w:t>a</w:t>
            </w:r>
            <w:r>
              <w:rPr>
                <w:rFonts w:hint="eastAsia" w:ascii="Times New Roman" w:hAnsi="Times New Roman" w:cs="Arial"/>
                <w:bCs/>
                <w:color w:val="auto"/>
                <w:kern w:val="24"/>
                <w:sz w:val="21"/>
                <w:szCs w:val="21"/>
              </w:rPr>
              <w:t>或</w:t>
            </w:r>
            <w:r>
              <w:rPr>
                <w:rFonts w:ascii="Times New Roman" w:hAnsi="Times New Roman" w:cs="Arial"/>
                <w:bCs/>
                <w:color w:val="auto"/>
                <w:kern w:val="24"/>
                <w:sz w:val="21"/>
                <w:szCs w:val="21"/>
              </w:rPr>
              <w:t>40mg</w:t>
            </w:r>
            <w:r>
              <w:rPr>
                <w:rFonts w:ascii="Times New Roman" w:hAnsi="Times New Roman" w:cs="Arial"/>
                <w:bCs/>
                <w:color w:val="auto"/>
                <w:kern w:val="24"/>
                <w:sz w:val="21"/>
                <w:szCs w:val="21"/>
                <w:vertAlign w:val="superscript"/>
              </w:rPr>
              <w:t>b</w:t>
            </w:r>
          </w:p>
        </w:tc>
        <w:tc>
          <w:tcPr>
            <w:tcW w:w="2720" w:type="dxa"/>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highlight w:val="yellow"/>
              </w:rPr>
            </w:pPr>
            <w:r>
              <w:rPr>
                <w:rFonts w:ascii="Times New Roman" w:hAnsi="Times New Roman" w:cs="Arial"/>
                <w:bCs/>
                <w:color w:val="auto"/>
                <w:kern w:val="24"/>
                <w:sz w:val="21"/>
                <w:szCs w:val="21"/>
              </w:rPr>
              <w:t>20mg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12" w:type="dxa"/>
            <w:tcBorders>
              <w:bottom w:val="single" w:color="auto" w:sz="12"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艾普拉唑</w:t>
            </w:r>
          </w:p>
        </w:tc>
        <w:tc>
          <w:tcPr>
            <w:tcW w:w="2730" w:type="dxa"/>
            <w:tcBorders>
              <w:bottom w:val="single" w:color="auto" w:sz="12"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5</w:t>
            </w:r>
            <w:r>
              <w:rPr>
                <w:rFonts w:ascii="Times New Roman" w:hAnsi="Times New Roman" w:cs="Arial"/>
                <w:bCs/>
                <w:color w:val="auto"/>
                <w:kern w:val="24"/>
                <w:sz w:val="21"/>
                <w:szCs w:val="21"/>
              </w:rPr>
              <w:t>mg</w:t>
            </w:r>
            <w:r>
              <w:rPr>
                <w:rFonts w:ascii="Times New Roman" w:hAnsi="Times New Roman" w:cs="Arial"/>
                <w:bCs/>
                <w:color w:val="auto"/>
                <w:kern w:val="24"/>
                <w:sz w:val="21"/>
                <w:szCs w:val="21"/>
                <w:vertAlign w:val="superscript"/>
              </w:rPr>
              <w:t>a</w:t>
            </w:r>
            <w:r>
              <w:rPr>
                <w:rFonts w:ascii="Times New Roman" w:hAnsi="Times New Roman" w:cs="Arial"/>
                <w:bCs/>
                <w:color w:val="auto"/>
                <w:kern w:val="24"/>
                <w:sz w:val="21"/>
                <w:szCs w:val="21"/>
              </w:rPr>
              <w:t>或</w:t>
            </w:r>
            <w:r>
              <w:rPr>
                <w:rFonts w:hint="eastAsia" w:ascii="Times New Roman" w:hAnsi="Times New Roman" w:cs="Arial"/>
                <w:bCs/>
                <w:color w:val="auto"/>
                <w:kern w:val="24"/>
                <w:sz w:val="21"/>
                <w:szCs w:val="21"/>
              </w:rPr>
              <w:t>10</w:t>
            </w:r>
            <w:r>
              <w:rPr>
                <w:rFonts w:ascii="Times New Roman" w:hAnsi="Times New Roman" w:cs="Arial"/>
                <w:bCs/>
                <w:color w:val="auto"/>
                <w:kern w:val="24"/>
                <w:sz w:val="21"/>
                <w:szCs w:val="21"/>
              </w:rPr>
              <w:t>mg</w:t>
            </w:r>
            <w:r>
              <w:rPr>
                <w:rFonts w:ascii="Times New Roman" w:hAnsi="Times New Roman" w:cs="Arial"/>
                <w:bCs/>
                <w:color w:val="auto"/>
                <w:kern w:val="24"/>
                <w:sz w:val="21"/>
                <w:szCs w:val="21"/>
                <w:vertAlign w:val="superscript"/>
              </w:rPr>
              <w:t>b</w:t>
            </w:r>
          </w:p>
        </w:tc>
        <w:tc>
          <w:tcPr>
            <w:tcW w:w="2720" w:type="dxa"/>
            <w:tcBorders>
              <w:bottom w:val="single" w:color="auto" w:sz="12" w:space="0"/>
            </w:tcBorders>
          </w:tcPr>
          <w:p>
            <w:pPr>
              <w:pStyle w:val="17"/>
              <w:kinsoku w:val="0"/>
              <w:overflowPunct w:val="0"/>
              <w:spacing w:before="0" w:beforeAutospacing="0" w:after="0" w:afterAutospacing="0" w:line="276" w:lineRule="auto"/>
              <w:ind w:firstLine="420"/>
              <w:jc w:val="both"/>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5</w:t>
            </w:r>
            <w:r>
              <w:rPr>
                <w:rFonts w:ascii="Times New Roman" w:hAnsi="Times New Roman" w:cs="Arial"/>
                <w:bCs/>
                <w:color w:val="auto"/>
                <w:kern w:val="24"/>
                <w:sz w:val="21"/>
                <w:szCs w:val="21"/>
              </w:rPr>
              <w:t>mg</w:t>
            </w:r>
          </w:p>
        </w:tc>
      </w:tr>
    </w:tbl>
    <w:p>
      <w:pPr>
        <w:pStyle w:val="17"/>
        <w:kinsoku w:val="0"/>
        <w:overflowPunct w:val="0"/>
        <w:spacing w:before="0" w:beforeAutospacing="0" w:after="0" w:afterAutospacing="0" w:line="276" w:lineRule="auto"/>
        <w:ind w:firstLine="420"/>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备注：</w:t>
      </w:r>
      <w:r>
        <w:rPr>
          <w:rFonts w:ascii="Times New Roman" w:hAnsi="Times New Roman" w:cs="Arial"/>
          <w:bCs/>
          <w:color w:val="auto"/>
          <w:kern w:val="24"/>
          <w:sz w:val="21"/>
          <w:szCs w:val="21"/>
        </w:rPr>
        <w:t xml:space="preserve">a </w:t>
      </w:r>
      <w:r>
        <w:rPr>
          <w:rFonts w:hint="eastAsia" w:ascii="Times New Roman" w:hAnsi="Times New Roman" w:cs="Arial"/>
          <w:bCs/>
          <w:color w:val="auto"/>
          <w:kern w:val="24"/>
          <w:sz w:val="21"/>
          <w:szCs w:val="21"/>
        </w:rPr>
        <w:t>非胃食管反流</w:t>
      </w:r>
      <w:r>
        <w:rPr>
          <w:rFonts w:hint="default" w:ascii="Times New Roman" w:hAnsi="Times New Roman" w:cs="Arial"/>
          <w:bCs/>
          <w:color w:val="auto"/>
          <w:kern w:val="24"/>
          <w:sz w:val="21"/>
          <w:szCs w:val="21"/>
        </w:rPr>
        <w:t>；</w:t>
      </w:r>
      <w:r>
        <w:rPr>
          <w:rFonts w:ascii="Times New Roman" w:hAnsi="Times New Roman" w:cs="Arial"/>
          <w:bCs/>
          <w:color w:val="auto"/>
          <w:kern w:val="24"/>
          <w:sz w:val="21"/>
          <w:szCs w:val="21"/>
        </w:rPr>
        <w:t xml:space="preserve">b </w:t>
      </w:r>
      <w:r>
        <w:rPr>
          <w:rFonts w:hint="eastAsia" w:ascii="Times New Roman" w:hAnsi="Times New Roman" w:cs="Arial"/>
          <w:bCs/>
          <w:color w:val="auto"/>
          <w:kern w:val="24"/>
          <w:sz w:val="21"/>
          <w:szCs w:val="21"/>
        </w:rPr>
        <w:t>反流性食管炎</w:t>
      </w:r>
      <w:r>
        <w:rPr>
          <w:rFonts w:ascii="Times New Roman" w:hAnsi="Times New Roman" w:cs="Arial"/>
          <w:bCs/>
          <w:color w:val="auto"/>
          <w:kern w:val="24"/>
          <w:sz w:val="21"/>
          <w:szCs w:val="21"/>
        </w:rPr>
        <w:t xml:space="preserve"> </w:t>
      </w:r>
    </w:p>
    <w:p>
      <w:pPr>
        <w:pStyle w:val="17"/>
        <w:spacing w:after="0" w:afterAutospacing="0" w:line="600" w:lineRule="exact"/>
        <w:jc w:val="both"/>
        <w:rPr>
          <w:rFonts w:hint="eastAsia" w:ascii="Times New Roman" w:hAnsi="Times New Roman" w:eastAsia="仿宋" w:cstheme="minorBidi"/>
          <w:color w:val="auto"/>
          <w:kern w:val="2"/>
          <w:sz w:val="32"/>
          <w:szCs w:val="22"/>
          <w:lang w:eastAsia="zh-CN"/>
        </w:rPr>
      </w:pPr>
      <w:r>
        <w:rPr>
          <w:rFonts w:hint="default" w:ascii="Times New Roman" w:hAnsi="Times New Roman" w:eastAsia="仿宋" w:cstheme="minorBidi"/>
          <w:color w:val="auto"/>
          <w:kern w:val="2"/>
          <w:sz w:val="32"/>
          <w:szCs w:val="22"/>
          <w:lang w:eastAsia="zh-CN"/>
        </w:rPr>
        <w:t xml:space="preserve">    </w:t>
      </w:r>
      <w:r>
        <w:rPr>
          <w:rFonts w:hint="eastAsia" w:ascii="Times New Roman" w:hAnsi="Times New Roman" w:eastAsia="仿宋" w:cstheme="minorBidi"/>
          <w:color w:val="auto"/>
          <w:kern w:val="2"/>
          <w:sz w:val="32"/>
          <w:szCs w:val="22"/>
          <w:lang w:eastAsia="zh-CN"/>
        </w:rPr>
        <w:t>使用质子泵抑制剂超过6个月的患者，应逐渐减量至停药。对于接受标准剂量或较大剂量质子泵抑制剂的患者，每周减少50%的剂量；对于接受一日2次方案的患者，初次减量时可改为早餐前给药1次直到减至该药的最低剂量；使用最低剂量治疗1周后，即可停药。</w:t>
      </w:r>
    </w:p>
    <w:p>
      <w:pPr>
        <w:jc w:val="both"/>
        <w:rPr>
          <w:rFonts w:cs="Arial"/>
          <w:color w:val="auto"/>
        </w:rPr>
      </w:pPr>
      <w:r>
        <w:rPr>
          <w:rFonts w:hint="default"/>
          <w:color w:val="auto"/>
          <w:highlight w:val="none"/>
        </w:rPr>
        <w:t xml:space="preserve">    </w:t>
      </w:r>
      <w:r>
        <w:rPr>
          <w:rFonts w:hint="eastAsia"/>
          <w:color w:val="auto"/>
          <w:highlight w:val="none"/>
        </w:rPr>
        <w:t>以下为临床常用</w:t>
      </w:r>
      <w:r>
        <w:rPr>
          <w:rFonts w:hint="eastAsia"/>
          <w:color w:val="auto"/>
          <w:highlight w:val="none"/>
          <w:lang w:eastAsia="zh-CN"/>
        </w:rPr>
        <w:t>质子泵抑制剂</w:t>
      </w:r>
      <w:r>
        <w:rPr>
          <w:rFonts w:hint="eastAsia"/>
          <w:color w:val="auto"/>
          <w:highlight w:val="none"/>
        </w:rPr>
        <w:t>的适应证及合理用药要点，信息参考原研药的药品说明书及临床诊疗指南。国内其他同类药品的信息以说明书为准。</w:t>
      </w:r>
    </w:p>
    <w:p>
      <w:pPr>
        <w:pStyle w:val="4"/>
        <w:numPr>
          <w:ilvl w:val="0"/>
          <w:numId w:val="6"/>
        </w:numPr>
        <w:spacing w:line="600" w:lineRule="exact"/>
        <w:ind w:firstLine="643"/>
        <w:rPr>
          <w:b w:val="0"/>
          <w:bCs w:val="0"/>
          <w:color w:val="auto"/>
        </w:rPr>
      </w:pPr>
      <w:bookmarkStart w:id="28" w:name="_Toc535269737"/>
      <w:r>
        <w:rPr>
          <w:rFonts w:hint="eastAsia"/>
          <w:b w:val="0"/>
          <w:bCs w:val="0"/>
          <w:color w:val="auto"/>
        </w:rPr>
        <w:t>奥美拉唑</w:t>
      </w:r>
      <w:bookmarkEnd w:id="28"/>
    </w:p>
    <w:p>
      <w:pPr>
        <w:spacing w:line="600" w:lineRule="exact"/>
        <w:ind w:firstLine="480"/>
        <w:rPr>
          <w:color w:val="auto"/>
        </w:rPr>
      </w:pPr>
      <w:r>
        <w:rPr>
          <w:rFonts w:hint="eastAsia"/>
          <w:b/>
          <w:color w:val="auto"/>
        </w:rPr>
        <w:t>通用名：</w:t>
      </w:r>
      <w:r>
        <w:rPr>
          <w:rFonts w:hint="eastAsia"/>
          <w:color w:val="auto"/>
        </w:rPr>
        <w:t>奥美拉唑</w:t>
      </w:r>
    </w:p>
    <w:p>
      <w:pPr>
        <w:spacing w:line="600" w:lineRule="exact"/>
        <w:ind w:firstLine="480"/>
        <w:rPr>
          <w:color w:val="auto"/>
        </w:rPr>
      </w:pPr>
      <w:r>
        <w:rPr>
          <w:rFonts w:hint="eastAsia"/>
          <w:b/>
          <w:color w:val="auto"/>
        </w:rPr>
        <w:t>制剂与规格：</w:t>
      </w:r>
      <w:r>
        <w:rPr>
          <w:rFonts w:hint="eastAsia"/>
          <w:color w:val="auto"/>
        </w:rPr>
        <w:t>片剂：</w:t>
      </w:r>
      <w:r>
        <w:rPr>
          <w:color w:val="auto"/>
        </w:rPr>
        <w:t>10 mg</w:t>
      </w:r>
      <w:r>
        <w:rPr>
          <w:rFonts w:hint="eastAsia"/>
          <w:color w:val="auto"/>
        </w:rPr>
        <w:t>，</w:t>
      </w:r>
      <w:r>
        <w:rPr>
          <w:color w:val="auto"/>
        </w:rPr>
        <w:t>20 mg</w:t>
      </w:r>
      <w:r>
        <w:rPr>
          <w:rFonts w:hint="eastAsia"/>
          <w:color w:val="auto"/>
        </w:rPr>
        <w:t>；胶囊：</w:t>
      </w:r>
      <w:r>
        <w:rPr>
          <w:color w:val="auto"/>
        </w:rPr>
        <w:t>10 mg</w:t>
      </w:r>
      <w:r>
        <w:rPr>
          <w:rFonts w:hint="eastAsia"/>
          <w:color w:val="auto"/>
        </w:rPr>
        <w:t>，</w:t>
      </w:r>
      <w:r>
        <w:rPr>
          <w:color w:val="auto"/>
        </w:rPr>
        <w:t>20 mg</w:t>
      </w:r>
      <w:r>
        <w:rPr>
          <w:rFonts w:hint="eastAsia"/>
          <w:color w:val="auto"/>
        </w:rPr>
        <w:t>，</w:t>
      </w:r>
      <w:r>
        <w:rPr>
          <w:color w:val="auto"/>
        </w:rPr>
        <w:t>40 mg</w:t>
      </w:r>
      <w:r>
        <w:rPr>
          <w:rFonts w:hint="eastAsia"/>
          <w:color w:val="auto"/>
        </w:rPr>
        <w:t>；注射剂：</w:t>
      </w:r>
      <w:r>
        <w:rPr>
          <w:color w:val="auto"/>
        </w:rPr>
        <w:t>20 mg</w:t>
      </w:r>
      <w:r>
        <w:rPr>
          <w:rFonts w:hint="eastAsia"/>
          <w:color w:val="auto"/>
        </w:rPr>
        <w:t>，</w:t>
      </w:r>
      <w:r>
        <w:rPr>
          <w:color w:val="auto"/>
        </w:rPr>
        <w:t>40 mg</w:t>
      </w:r>
      <w:r>
        <w:rPr>
          <w:rFonts w:hint="eastAsia"/>
          <w:color w:val="auto"/>
        </w:rPr>
        <w:t>，</w:t>
      </w:r>
      <w:r>
        <w:rPr>
          <w:color w:val="auto"/>
        </w:rPr>
        <w:t>60 mg</w:t>
      </w:r>
    </w:p>
    <w:p>
      <w:pPr>
        <w:spacing w:line="600" w:lineRule="exact"/>
        <w:ind w:firstLine="480"/>
        <w:rPr>
          <w:color w:val="auto"/>
        </w:rPr>
      </w:pPr>
      <w:r>
        <w:rPr>
          <w:rFonts w:hint="eastAsia"/>
          <w:b/>
          <w:color w:val="auto"/>
        </w:rPr>
        <w:t>适应证</w:t>
      </w:r>
      <w:r>
        <w:rPr>
          <w:rFonts w:hint="eastAsia"/>
          <w:color w:val="auto"/>
        </w:rPr>
        <w:t>：</w:t>
      </w:r>
    </w:p>
    <w:p>
      <w:pPr>
        <w:pStyle w:val="26"/>
        <w:numPr>
          <w:ilvl w:val="0"/>
          <w:numId w:val="7"/>
        </w:numPr>
        <w:spacing w:line="600" w:lineRule="exact"/>
        <w:ind w:firstLineChars="0"/>
        <w:rPr>
          <w:rFonts w:ascii="楷体" w:hAnsi="楷体" w:eastAsia="楷体"/>
          <w:color w:val="auto"/>
          <w:sz w:val="32"/>
        </w:rPr>
      </w:pPr>
      <w:r>
        <w:rPr>
          <w:rFonts w:hint="eastAsia" w:ascii="楷体" w:hAnsi="楷体" w:eastAsia="楷体"/>
          <w:color w:val="auto"/>
          <w:sz w:val="32"/>
        </w:rPr>
        <w:t>口服：</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十二指肠溃疡、胃溃疡和反流性食管炎</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与抗生素联合用药，治疗</w:t>
      </w:r>
      <w:r>
        <w:rPr>
          <w:rFonts w:ascii="Times New Roman" w:hAnsi="Times New Roman" w:eastAsia="仿宋" w:cs="Arial"/>
          <w:bCs/>
          <w:i/>
          <w:color w:val="auto"/>
          <w:kern w:val="24"/>
          <w:sz w:val="32"/>
          <w:szCs w:val="21"/>
        </w:rPr>
        <w:t>H.pylori</w:t>
      </w:r>
      <w:r>
        <w:rPr>
          <w:rFonts w:hint="eastAsia" w:ascii="Times New Roman" w:hAnsi="Times New Roman" w:eastAsia="仿宋"/>
          <w:color w:val="auto"/>
          <w:sz w:val="32"/>
        </w:rPr>
        <w:t>引起的十二指肠溃疡</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ascii="Times New Roman" w:hAnsi="Times New Roman" w:eastAsia="仿宋"/>
          <w:color w:val="auto"/>
          <w:sz w:val="32"/>
        </w:rPr>
        <w:t>NSAIDs</w:t>
      </w:r>
      <w:r>
        <w:rPr>
          <w:rFonts w:hint="eastAsia" w:ascii="Times New Roman" w:hAnsi="Times New Roman" w:eastAsia="仿宋"/>
          <w:color w:val="auto"/>
          <w:sz w:val="32"/>
        </w:rPr>
        <w:t>相关的消化性溃疡或十二指肠糜烂</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预防</w:t>
      </w:r>
      <w:r>
        <w:rPr>
          <w:rFonts w:ascii="Times New Roman" w:hAnsi="Times New Roman" w:eastAsia="仿宋"/>
          <w:color w:val="auto"/>
          <w:sz w:val="32"/>
        </w:rPr>
        <w:t>NSAIDs</w:t>
      </w:r>
      <w:r>
        <w:rPr>
          <w:rFonts w:hint="eastAsia" w:ascii="Times New Roman" w:hAnsi="Times New Roman" w:eastAsia="仿宋"/>
          <w:color w:val="auto"/>
          <w:sz w:val="32"/>
        </w:rPr>
        <w:t>引起的消化性溃疡、胃十二指肠糜烂或消化不良症状</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慢性复发性消化溃疡和反流性食管炎的长期治疗</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ascii="Times New Roman" w:hAnsi="Times New Roman" w:eastAsia="仿宋"/>
          <w:color w:val="auto"/>
          <w:sz w:val="32"/>
        </w:rPr>
        <w:t>GERD</w:t>
      </w:r>
      <w:r>
        <w:rPr>
          <w:rFonts w:hint="eastAsia" w:ascii="Times New Roman" w:hAnsi="Times New Roman" w:eastAsia="仿宋"/>
          <w:color w:val="auto"/>
          <w:sz w:val="32"/>
        </w:rPr>
        <w:t>的烧心感和反流的对症治疗</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溃疡样症状的对症治疗及酸相关性消化不良</w:t>
      </w:r>
      <w:r>
        <w:rPr>
          <w:rFonts w:hint="default" w:ascii="Times New Roman" w:hAnsi="Times New Roman" w:eastAsia="仿宋"/>
          <w:color w:val="auto"/>
          <w:sz w:val="32"/>
        </w:rPr>
        <w:t>；</w:t>
      </w:r>
    </w:p>
    <w:p>
      <w:pPr>
        <w:pStyle w:val="26"/>
        <w:numPr>
          <w:ilvl w:val="0"/>
          <w:numId w:val="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卓</w:t>
      </w:r>
      <w:r>
        <w:rPr>
          <w:rFonts w:ascii="Times New Roman" w:hAnsi="Times New Roman" w:eastAsia="仿宋"/>
          <w:color w:val="auto"/>
          <w:sz w:val="32"/>
        </w:rPr>
        <w:t>-</w:t>
      </w:r>
      <w:r>
        <w:rPr>
          <w:rFonts w:hint="eastAsia" w:ascii="Times New Roman" w:hAnsi="Times New Roman" w:eastAsia="仿宋"/>
          <w:color w:val="auto"/>
          <w:sz w:val="32"/>
        </w:rPr>
        <w:t>艾综合征。</w:t>
      </w:r>
    </w:p>
    <w:p>
      <w:pPr>
        <w:pStyle w:val="26"/>
        <w:numPr>
          <w:ilvl w:val="0"/>
          <w:numId w:val="7"/>
        </w:numPr>
        <w:spacing w:line="600" w:lineRule="exact"/>
        <w:ind w:firstLineChars="0"/>
        <w:rPr>
          <w:rFonts w:ascii="楷体" w:hAnsi="楷体" w:eastAsia="楷体"/>
          <w:color w:val="auto"/>
          <w:sz w:val="32"/>
        </w:rPr>
      </w:pPr>
      <w:r>
        <w:rPr>
          <w:rFonts w:hint="eastAsia" w:ascii="楷体" w:hAnsi="楷体" w:eastAsia="楷体"/>
          <w:color w:val="auto"/>
          <w:sz w:val="32"/>
        </w:rPr>
        <w:t>注射剂：</w:t>
      </w:r>
    </w:p>
    <w:p>
      <w:pPr>
        <w:pStyle w:val="26"/>
        <w:numPr>
          <w:ilvl w:val="0"/>
          <w:numId w:val="9"/>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消化性溃疡出血、吻合口溃疡出血</w:t>
      </w:r>
      <w:r>
        <w:rPr>
          <w:rFonts w:hint="default" w:ascii="Times New Roman" w:hAnsi="Times New Roman" w:eastAsia="仿宋"/>
          <w:color w:val="auto"/>
          <w:sz w:val="32"/>
        </w:rPr>
        <w:t>；</w:t>
      </w:r>
    </w:p>
    <w:p>
      <w:pPr>
        <w:pStyle w:val="26"/>
        <w:numPr>
          <w:ilvl w:val="0"/>
          <w:numId w:val="9"/>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应激状态时并发的急性胃黏膜损害、非甾体类抗炎药引起的急性胃黏膜损伤</w:t>
      </w:r>
      <w:r>
        <w:rPr>
          <w:rFonts w:hint="default" w:ascii="Times New Roman" w:hAnsi="Times New Roman" w:eastAsia="仿宋"/>
          <w:color w:val="auto"/>
          <w:sz w:val="32"/>
        </w:rPr>
        <w:t>；</w:t>
      </w:r>
    </w:p>
    <w:p>
      <w:pPr>
        <w:pStyle w:val="26"/>
        <w:numPr>
          <w:ilvl w:val="0"/>
          <w:numId w:val="9"/>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预防重症疾病（如脑出血、严重创伤等）应激状态及胃手术后引起的上消化道出血等</w:t>
      </w:r>
      <w:r>
        <w:rPr>
          <w:rFonts w:hint="default" w:ascii="Times New Roman" w:hAnsi="Times New Roman" w:eastAsia="仿宋"/>
          <w:color w:val="auto"/>
          <w:sz w:val="32"/>
        </w:rPr>
        <w:t>；</w:t>
      </w:r>
    </w:p>
    <w:p>
      <w:pPr>
        <w:pStyle w:val="26"/>
        <w:numPr>
          <w:ilvl w:val="0"/>
          <w:numId w:val="9"/>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作为当口服疗法不适用时下列病症的替代疗法：十二指肠溃疡、胃溃疡、反流性食管炎及卓</w:t>
      </w:r>
      <w:r>
        <w:rPr>
          <w:rFonts w:ascii="Times New Roman" w:hAnsi="Times New Roman" w:eastAsia="仿宋"/>
          <w:color w:val="auto"/>
          <w:sz w:val="32"/>
        </w:rPr>
        <w:t>-</w:t>
      </w:r>
      <w:r>
        <w:rPr>
          <w:rFonts w:hint="eastAsia" w:ascii="Times New Roman" w:hAnsi="Times New Roman" w:eastAsia="仿宋"/>
          <w:color w:val="auto"/>
          <w:sz w:val="32"/>
        </w:rPr>
        <w:t>艾综合征。</w:t>
      </w:r>
    </w:p>
    <w:p>
      <w:pPr>
        <w:spacing w:line="600" w:lineRule="exact"/>
        <w:ind w:firstLine="480"/>
        <w:rPr>
          <w:b/>
          <w:bCs w:val="0"/>
          <w:color w:val="auto"/>
        </w:rPr>
      </w:pPr>
      <w:r>
        <w:rPr>
          <w:rFonts w:hint="eastAsia"/>
          <w:b/>
          <w:bCs w:val="0"/>
          <w:color w:val="auto"/>
        </w:rPr>
        <w:t>合理用药要点：</w:t>
      </w:r>
    </w:p>
    <w:p>
      <w:pPr>
        <w:pStyle w:val="26"/>
        <w:numPr>
          <w:ilvl w:val="0"/>
          <w:numId w:val="10"/>
        </w:numPr>
        <w:spacing w:line="600" w:lineRule="exact"/>
        <w:ind w:firstLineChars="0"/>
        <w:rPr>
          <w:rFonts w:ascii="楷体" w:hAnsi="楷体" w:eastAsia="楷体"/>
          <w:color w:val="auto"/>
          <w:sz w:val="32"/>
        </w:rPr>
      </w:pPr>
      <w:r>
        <w:rPr>
          <w:rFonts w:hint="eastAsia" w:ascii="楷体" w:hAnsi="楷体" w:eastAsia="楷体"/>
          <w:color w:val="auto"/>
          <w:sz w:val="32"/>
        </w:rPr>
        <w:t>口服：</w:t>
      </w:r>
    </w:p>
    <w:p>
      <w:pPr>
        <w:pStyle w:val="26"/>
        <w:spacing w:line="600" w:lineRule="exact"/>
        <w:ind w:left="420" w:firstLineChars="0"/>
        <w:rPr>
          <w:rFonts w:ascii="Times New Roman" w:hAnsi="Times New Roman" w:eastAsia="仿宋"/>
          <w:color w:val="auto"/>
          <w:sz w:val="32"/>
        </w:rPr>
      </w:pPr>
      <w:r>
        <w:rPr>
          <w:rFonts w:hint="eastAsia" w:ascii="Times New Roman" w:hAnsi="Times New Roman" w:eastAsia="仿宋"/>
          <w:color w:val="auto"/>
          <w:sz w:val="32"/>
        </w:rPr>
        <w:t>肠溶片必须整片吞服，至少用半杯液体（≥</w:t>
      </w:r>
      <w:r>
        <w:rPr>
          <w:rFonts w:ascii="Times New Roman" w:hAnsi="Times New Roman" w:eastAsia="仿宋"/>
          <w:color w:val="auto"/>
          <w:sz w:val="32"/>
        </w:rPr>
        <w:t>50 mL</w:t>
      </w:r>
      <w:r>
        <w:rPr>
          <w:rFonts w:hint="eastAsia" w:ascii="Times New Roman" w:hAnsi="Times New Roman" w:eastAsia="仿宋"/>
          <w:color w:val="auto"/>
          <w:sz w:val="32"/>
        </w:rPr>
        <w:t>）送服。药片不可咀嚼或压碎，可将其分散于水或微酸液体中（如果汁），分散液必须在</w:t>
      </w:r>
      <w:r>
        <w:rPr>
          <w:rFonts w:ascii="Times New Roman" w:hAnsi="Times New Roman" w:eastAsia="仿宋"/>
          <w:color w:val="auto"/>
          <w:sz w:val="32"/>
        </w:rPr>
        <w:t>30</w:t>
      </w:r>
      <w:r>
        <w:rPr>
          <w:rFonts w:hint="eastAsia" w:ascii="Times New Roman" w:hAnsi="Times New Roman" w:eastAsia="仿宋"/>
          <w:color w:val="auto"/>
          <w:sz w:val="32"/>
        </w:rPr>
        <w:t>分钟内服用。</w:t>
      </w:r>
    </w:p>
    <w:p>
      <w:pPr>
        <w:pStyle w:val="26"/>
        <w:numPr>
          <w:ilvl w:val="0"/>
          <w:numId w:val="10"/>
        </w:numPr>
        <w:spacing w:line="600" w:lineRule="exact"/>
        <w:ind w:firstLineChars="0"/>
        <w:rPr>
          <w:rFonts w:ascii="楷体" w:hAnsi="楷体" w:eastAsia="楷体"/>
          <w:color w:val="auto"/>
          <w:sz w:val="32"/>
        </w:rPr>
      </w:pPr>
      <w:r>
        <w:rPr>
          <w:rFonts w:hint="eastAsia" w:ascii="楷体" w:hAnsi="楷体" w:eastAsia="楷体"/>
          <w:color w:val="auto"/>
          <w:sz w:val="32"/>
        </w:rPr>
        <w:t>注射剂：</w:t>
      </w:r>
    </w:p>
    <w:p>
      <w:pPr>
        <w:pStyle w:val="26"/>
        <w:numPr>
          <w:ilvl w:val="0"/>
          <w:numId w:val="11"/>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卓</w:t>
      </w:r>
      <w:r>
        <w:rPr>
          <w:rFonts w:ascii="Times New Roman" w:hAnsi="Times New Roman" w:eastAsia="仿宋"/>
          <w:color w:val="auto"/>
          <w:sz w:val="32"/>
        </w:rPr>
        <w:t>-</w:t>
      </w:r>
      <w:r>
        <w:rPr>
          <w:rFonts w:hint="eastAsia" w:ascii="Times New Roman" w:hAnsi="Times New Roman" w:eastAsia="仿宋"/>
          <w:color w:val="auto"/>
          <w:sz w:val="32"/>
        </w:rPr>
        <w:t>艾综合征患者推荐静脉注射</w:t>
      </w:r>
      <w:r>
        <w:rPr>
          <w:rFonts w:ascii="Times New Roman" w:hAnsi="Times New Roman" w:eastAsia="仿宋"/>
          <w:color w:val="auto"/>
          <w:sz w:val="32"/>
        </w:rPr>
        <w:t>60 mg</w:t>
      </w:r>
      <w:r>
        <w:rPr>
          <w:rFonts w:hint="eastAsia" w:ascii="Times New Roman" w:hAnsi="Times New Roman" w:eastAsia="仿宋"/>
          <w:color w:val="auto"/>
          <w:sz w:val="32"/>
        </w:rPr>
        <w:t>作为起始剂量，每日</w:t>
      </w:r>
      <w:r>
        <w:rPr>
          <w:rFonts w:ascii="Times New Roman" w:hAnsi="Times New Roman" w:eastAsia="仿宋"/>
          <w:color w:val="auto"/>
          <w:sz w:val="32"/>
        </w:rPr>
        <w:t>1</w:t>
      </w:r>
      <w:r>
        <w:rPr>
          <w:rFonts w:hint="eastAsia" w:ascii="Times New Roman" w:hAnsi="Times New Roman" w:eastAsia="仿宋"/>
          <w:color w:val="auto"/>
          <w:sz w:val="32"/>
        </w:rPr>
        <w:t>次。当每日剂量超过</w:t>
      </w:r>
      <w:r>
        <w:rPr>
          <w:rFonts w:ascii="Times New Roman" w:hAnsi="Times New Roman" w:eastAsia="仿宋"/>
          <w:color w:val="auto"/>
          <w:sz w:val="32"/>
        </w:rPr>
        <w:t>60 mg</w:t>
      </w:r>
      <w:r>
        <w:rPr>
          <w:rFonts w:hint="eastAsia" w:ascii="Times New Roman" w:hAnsi="Times New Roman" w:eastAsia="仿宋"/>
          <w:color w:val="auto"/>
          <w:sz w:val="32"/>
        </w:rPr>
        <w:t>时分两次给予</w:t>
      </w:r>
      <w:r>
        <w:rPr>
          <w:rFonts w:hint="default" w:ascii="Times New Roman" w:hAnsi="Times New Roman" w:eastAsia="仿宋"/>
          <w:color w:val="auto"/>
          <w:sz w:val="32"/>
        </w:rPr>
        <w:t>；</w:t>
      </w:r>
    </w:p>
    <w:p>
      <w:pPr>
        <w:pStyle w:val="26"/>
        <w:numPr>
          <w:ilvl w:val="0"/>
          <w:numId w:val="11"/>
        </w:numPr>
        <w:spacing w:line="600" w:lineRule="exact"/>
        <w:ind w:firstLineChars="0"/>
        <w:rPr>
          <w:rFonts w:ascii="Times New Roman" w:hAnsi="Times New Roman" w:eastAsia="仿宋"/>
          <w:color w:val="auto"/>
          <w:sz w:val="32"/>
          <w:highlight w:val="none"/>
        </w:rPr>
      </w:pPr>
      <w:r>
        <w:rPr>
          <w:rFonts w:hint="eastAsia" w:ascii="Times New Roman" w:hAnsi="Times New Roman" w:eastAsia="仿宋"/>
          <w:color w:val="auto"/>
          <w:sz w:val="32"/>
          <w:highlight w:val="none"/>
        </w:rPr>
        <w:t>注射用奥美拉唑钠（仅供静脉注射）临用前将</w:t>
      </w:r>
      <w:r>
        <w:rPr>
          <w:rFonts w:ascii="Times New Roman" w:hAnsi="Times New Roman" w:eastAsia="仿宋"/>
          <w:color w:val="auto"/>
          <w:sz w:val="32"/>
          <w:highlight w:val="none"/>
        </w:rPr>
        <w:t>10 mL</w:t>
      </w:r>
      <w:r>
        <w:rPr>
          <w:rFonts w:hint="eastAsia" w:ascii="Times New Roman" w:hAnsi="Times New Roman" w:eastAsia="仿宋"/>
          <w:color w:val="auto"/>
          <w:sz w:val="32"/>
          <w:highlight w:val="none"/>
        </w:rPr>
        <w:t>专用溶媒注入冻干粉小瓶内，禁止用其它溶媒溶解配制后应缓慢注射至少</w:t>
      </w:r>
      <w:r>
        <w:rPr>
          <w:rFonts w:ascii="Times New Roman" w:hAnsi="Times New Roman" w:eastAsia="仿宋"/>
          <w:color w:val="auto"/>
          <w:sz w:val="32"/>
          <w:highlight w:val="none"/>
        </w:rPr>
        <w:t>2.5</w:t>
      </w:r>
      <w:r>
        <w:rPr>
          <w:rFonts w:hint="eastAsia" w:ascii="Times New Roman" w:hAnsi="Times New Roman" w:eastAsia="仿宋"/>
          <w:color w:val="auto"/>
          <w:sz w:val="32"/>
          <w:highlight w:val="none"/>
        </w:rPr>
        <w:t>分钟，最大速率每分钟</w:t>
      </w:r>
      <w:r>
        <w:rPr>
          <w:rFonts w:ascii="Times New Roman" w:hAnsi="Times New Roman" w:eastAsia="仿宋"/>
          <w:color w:val="auto"/>
          <w:sz w:val="32"/>
          <w:highlight w:val="none"/>
        </w:rPr>
        <w:t>4 mL；</w:t>
      </w:r>
    </w:p>
    <w:p>
      <w:pPr>
        <w:pStyle w:val="26"/>
        <w:numPr>
          <w:ilvl w:val="0"/>
          <w:numId w:val="11"/>
        </w:numPr>
        <w:spacing w:line="600" w:lineRule="exact"/>
        <w:ind w:firstLineChars="0"/>
        <w:rPr>
          <w:rFonts w:ascii="Times New Roman" w:hAnsi="Times New Roman" w:eastAsia="仿宋"/>
          <w:color w:val="auto"/>
          <w:sz w:val="32"/>
          <w:highlight w:val="none"/>
        </w:rPr>
      </w:pPr>
      <w:r>
        <w:rPr>
          <w:rFonts w:hint="eastAsia" w:ascii="Times New Roman" w:hAnsi="Times New Roman" w:eastAsia="仿宋"/>
          <w:color w:val="auto"/>
          <w:sz w:val="32"/>
          <w:highlight w:val="none"/>
        </w:rPr>
        <w:t>注射用奥美拉唑钠（仅供静脉滴注）粉针剂应溶于</w:t>
      </w:r>
      <w:r>
        <w:rPr>
          <w:rFonts w:ascii="Times New Roman" w:hAnsi="Times New Roman" w:eastAsia="仿宋"/>
          <w:color w:val="auto"/>
          <w:sz w:val="32"/>
          <w:highlight w:val="none"/>
        </w:rPr>
        <w:t>100 mL 0.9%</w:t>
      </w:r>
      <w:r>
        <w:rPr>
          <w:rFonts w:hint="eastAsia" w:ascii="Times New Roman" w:hAnsi="Times New Roman" w:eastAsia="仿宋"/>
          <w:color w:val="auto"/>
          <w:sz w:val="32"/>
          <w:highlight w:val="none"/>
        </w:rPr>
        <w:t>氯化钠注射液或</w:t>
      </w:r>
      <w:r>
        <w:rPr>
          <w:rFonts w:ascii="Times New Roman" w:hAnsi="Times New Roman" w:eastAsia="仿宋"/>
          <w:color w:val="auto"/>
          <w:sz w:val="32"/>
          <w:highlight w:val="none"/>
        </w:rPr>
        <w:t>100 mL 5%</w:t>
      </w:r>
      <w:r>
        <w:rPr>
          <w:rFonts w:hint="eastAsia" w:ascii="Times New Roman" w:hAnsi="Times New Roman" w:eastAsia="仿宋"/>
          <w:color w:val="auto"/>
          <w:sz w:val="32"/>
          <w:highlight w:val="none"/>
        </w:rPr>
        <w:t>葡萄糖注射液中，应至少在</w:t>
      </w:r>
      <w:r>
        <w:rPr>
          <w:rFonts w:ascii="Times New Roman" w:hAnsi="Times New Roman" w:eastAsia="仿宋"/>
          <w:color w:val="auto"/>
          <w:sz w:val="32"/>
          <w:highlight w:val="none"/>
        </w:rPr>
        <w:t>20</w:t>
      </w:r>
      <w:r>
        <w:rPr>
          <w:rFonts w:hint="eastAsia" w:ascii="Times New Roman" w:hAnsi="Times New Roman" w:eastAsia="仿宋"/>
          <w:color w:val="auto"/>
          <w:sz w:val="32"/>
          <w:highlight w:val="none"/>
        </w:rPr>
        <w:t>～</w:t>
      </w:r>
      <w:r>
        <w:rPr>
          <w:rFonts w:ascii="Times New Roman" w:hAnsi="Times New Roman" w:eastAsia="仿宋"/>
          <w:color w:val="auto"/>
          <w:sz w:val="32"/>
          <w:highlight w:val="none"/>
        </w:rPr>
        <w:t>30</w:t>
      </w:r>
      <w:r>
        <w:rPr>
          <w:rFonts w:hint="eastAsia" w:ascii="Times New Roman" w:hAnsi="Times New Roman" w:eastAsia="仿宋"/>
          <w:color w:val="auto"/>
          <w:sz w:val="32"/>
          <w:highlight w:val="none"/>
        </w:rPr>
        <w:t>分钟或更长时间内静脉滴注。禁止用其他溶剂或药物溶解和稀释</w:t>
      </w:r>
      <w:r>
        <w:rPr>
          <w:rFonts w:hint="default" w:ascii="Times New Roman" w:hAnsi="Times New Roman" w:eastAsia="仿宋"/>
          <w:color w:val="auto"/>
          <w:sz w:val="32"/>
          <w:highlight w:val="none"/>
        </w:rPr>
        <w:t>；</w:t>
      </w:r>
    </w:p>
    <w:p>
      <w:pPr>
        <w:pStyle w:val="26"/>
        <w:numPr>
          <w:ilvl w:val="0"/>
          <w:numId w:val="11"/>
        </w:numPr>
        <w:spacing w:line="600" w:lineRule="exact"/>
        <w:ind w:firstLineChars="0"/>
        <w:rPr>
          <w:rFonts w:ascii="Times New Roman" w:hAnsi="Times New Roman" w:eastAsia="仿宋"/>
          <w:color w:val="auto"/>
          <w:sz w:val="32"/>
          <w:highlight w:val="none"/>
        </w:rPr>
      </w:pPr>
      <w:r>
        <w:rPr>
          <w:rFonts w:hint="eastAsia" w:ascii="Times New Roman" w:hAnsi="Times New Roman" w:eastAsia="仿宋"/>
          <w:color w:val="auto"/>
          <w:sz w:val="32"/>
          <w:highlight w:val="none"/>
        </w:rPr>
        <w:t>注射用奥美拉唑钠（仅供静脉注射）溶解后必须在</w:t>
      </w:r>
      <w:r>
        <w:rPr>
          <w:rFonts w:ascii="Times New Roman" w:hAnsi="Times New Roman" w:eastAsia="仿宋"/>
          <w:color w:val="auto"/>
          <w:sz w:val="32"/>
          <w:highlight w:val="none"/>
        </w:rPr>
        <w:t>4h</w:t>
      </w:r>
      <w:r>
        <w:rPr>
          <w:rFonts w:hint="eastAsia" w:ascii="Times New Roman" w:hAnsi="Times New Roman" w:eastAsia="仿宋"/>
          <w:color w:val="auto"/>
          <w:sz w:val="32"/>
          <w:highlight w:val="none"/>
        </w:rPr>
        <w:t>内使用。注射用奥美拉唑钠（仅供静脉滴注）溶于</w:t>
      </w:r>
      <w:r>
        <w:rPr>
          <w:rFonts w:ascii="Times New Roman" w:hAnsi="Times New Roman" w:eastAsia="仿宋"/>
          <w:color w:val="auto"/>
          <w:sz w:val="32"/>
          <w:highlight w:val="none"/>
        </w:rPr>
        <w:t>5%</w:t>
      </w:r>
      <w:r>
        <w:rPr>
          <w:rFonts w:hint="eastAsia" w:ascii="Times New Roman" w:hAnsi="Times New Roman" w:eastAsia="仿宋"/>
          <w:color w:val="auto"/>
          <w:sz w:val="32"/>
          <w:highlight w:val="none"/>
        </w:rPr>
        <w:t>葡萄糖注射液后应在</w:t>
      </w:r>
      <w:r>
        <w:rPr>
          <w:rFonts w:ascii="Times New Roman" w:hAnsi="Times New Roman" w:eastAsia="仿宋"/>
          <w:color w:val="auto"/>
          <w:sz w:val="32"/>
          <w:highlight w:val="none"/>
        </w:rPr>
        <w:t>6</w:t>
      </w:r>
      <w:r>
        <w:rPr>
          <w:rFonts w:hint="eastAsia" w:ascii="Times New Roman" w:hAnsi="Times New Roman" w:eastAsia="仿宋"/>
          <w:color w:val="auto"/>
          <w:sz w:val="32"/>
          <w:highlight w:val="none"/>
        </w:rPr>
        <w:t>小时内使用；溶于</w:t>
      </w:r>
      <w:r>
        <w:rPr>
          <w:rFonts w:ascii="Times New Roman" w:hAnsi="Times New Roman" w:eastAsia="仿宋"/>
          <w:color w:val="auto"/>
          <w:sz w:val="32"/>
          <w:highlight w:val="none"/>
        </w:rPr>
        <w:t>0.9%</w:t>
      </w:r>
      <w:r>
        <w:rPr>
          <w:rFonts w:hint="eastAsia" w:ascii="Times New Roman" w:hAnsi="Times New Roman" w:eastAsia="仿宋"/>
          <w:color w:val="auto"/>
          <w:sz w:val="32"/>
          <w:highlight w:val="none"/>
        </w:rPr>
        <w:t>氯化钠注射液后可在</w:t>
      </w:r>
      <w:r>
        <w:rPr>
          <w:rFonts w:ascii="Times New Roman" w:hAnsi="Times New Roman" w:eastAsia="仿宋"/>
          <w:color w:val="auto"/>
          <w:sz w:val="32"/>
          <w:highlight w:val="none"/>
        </w:rPr>
        <w:t>12</w:t>
      </w:r>
      <w:r>
        <w:rPr>
          <w:rFonts w:hint="eastAsia" w:ascii="Times New Roman" w:hAnsi="Times New Roman" w:eastAsia="仿宋"/>
          <w:color w:val="auto"/>
          <w:sz w:val="32"/>
          <w:highlight w:val="none"/>
        </w:rPr>
        <w:t>小时内使用。</w:t>
      </w:r>
    </w:p>
    <w:p>
      <w:pPr>
        <w:pStyle w:val="4"/>
        <w:numPr>
          <w:ilvl w:val="0"/>
          <w:numId w:val="6"/>
        </w:numPr>
        <w:spacing w:line="600" w:lineRule="exact"/>
        <w:ind w:firstLine="643"/>
        <w:rPr>
          <w:b w:val="0"/>
          <w:bCs w:val="0"/>
          <w:color w:val="auto"/>
        </w:rPr>
      </w:pPr>
      <w:bookmarkStart w:id="29" w:name="_Toc535269738"/>
      <w:r>
        <w:rPr>
          <w:rFonts w:hint="eastAsia"/>
          <w:b w:val="0"/>
          <w:bCs w:val="0"/>
          <w:color w:val="auto"/>
        </w:rPr>
        <w:t>兰索拉唑</w:t>
      </w:r>
      <w:bookmarkEnd w:id="29"/>
    </w:p>
    <w:p>
      <w:pPr>
        <w:spacing w:line="600" w:lineRule="exact"/>
        <w:ind w:firstLine="480"/>
        <w:rPr>
          <w:rFonts w:cs="宋体"/>
          <w:color w:val="auto"/>
          <w:kern w:val="0"/>
          <w:szCs w:val="24"/>
        </w:rPr>
      </w:pPr>
      <w:r>
        <w:rPr>
          <w:rFonts w:hint="eastAsia" w:cs="宋体"/>
          <w:b/>
          <w:color w:val="auto"/>
          <w:kern w:val="0"/>
          <w:szCs w:val="24"/>
        </w:rPr>
        <w:t>通用名：</w:t>
      </w:r>
      <w:r>
        <w:rPr>
          <w:rFonts w:hint="eastAsia" w:cs="宋体"/>
          <w:color w:val="auto"/>
          <w:kern w:val="0"/>
          <w:szCs w:val="24"/>
        </w:rPr>
        <w:t>兰索拉唑</w:t>
      </w:r>
    </w:p>
    <w:p>
      <w:pPr>
        <w:spacing w:line="600" w:lineRule="exact"/>
        <w:ind w:firstLine="480"/>
        <w:rPr>
          <w:rFonts w:cs="宋体"/>
          <w:color w:val="auto"/>
          <w:kern w:val="0"/>
          <w:szCs w:val="24"/>
        </w:rPr>
      </w:pPr>
      <w:r>
        <w:rPr>
          <w:rFonts w:hint="eastAsia" w:cs="宋体"/>
          <w:b/>
          <w:color w:val="auto"/>
          <w:kern w:val="0"/>
          <w:szCs w:val="24"/>
        </w:rPr>
        <w:t>制剂与规格：</w:t>
      </w:r>
      <w:r>
        <w:rPr>
          <w:rFonts w:hint="eastAsia" w:cs="宋体"/>
          <w:color w:val="auto"/>
          <w:kern w:val="0"/>
          <w:szCs w:val="24"/>
        </w:rPr>
        <w:t>片剂</w:t>
      </w:r>
      <w:r>
        <w:rPr>
          <w:rFonts w:cs="宋体"/>
          <w:color w:val="auto"/>
          <w:kern w:val="0"/>
          <w:szCs w:val="24"/>
        </w:rPr>
        <w:t>15 mg</w:t>
      </w:r>
      <w:r>
        <w:rPr>
          <w:rFonts w:hint="eastAsia" w:cs="宋体"/>
          <w:color w:val="auto"/>
          <w:kern w:val="0"/>
          <w:szCs w:val="24"/>
        </w:rPr>
        <w:t>，</w:t>
      </w:r>
      <w:r>
        <w:rPr>
          <w:rFonts w:cs="宋体"/>
          <w:color w:val="auto"/>
          <w:kern w:val="0"/>
          <w:szCs w:val="24"/>
        </w:rPr>
        <w:t>30 mg</w:t>
      </w:r>
      <w:r>
        <w:rPr>
          <w:rFonts w:hint="eastAsia" w:cs="宋体"/>
          <w:color w:val="auto"/>
          <w:kern w:val="0"/>
          <w:szCs w:val="24"/>
        </w:rPr>
        <w:t>；胶囊：</w:t>
      </w:r>
      <w:r>
        <w:rPr>
          <w:rFonts w:cs="宋体"/>
          <w:color w:val="auto"/>
          <w:kern w:val="0"/>
          <w:szCs w:val="24"/>
        </w:rPr>
        <w:t>15 mg</w:t>
      </w:r>
      <w:r>
        <w:rPr>
          <w:rFonts w:hint="eastAsia" w:cs="宋体"/>
          <w:color w:val="auto"/>
          <w:kern w:val="0"/>
          <w:szCs w:val="24"/>
        </w:rPr>
        <w:t>，</w:t>
      </w:r>
      <w:r>
        <w:rPr>
          <w:rFonts w:cs="宋体"/>
          <w:color w:val="auto"/>
          <w:kern w:val="0"/>
          <w:szCs w:val="24"/>
        </w:rPr>
        <w:t>30 mg</w:t>
      </w:r>
      <w:r>
        <w:rPr>
          <w:rFonts w:hint="eastAsia" w:cs="宋体"/>
          <w:color w:val="auto"/>
          <w:kern w:val="0"/>
          <w:szCs w:val="24"/>
        </w:rPr>
        <w:t>；注射剂：</w:t>
      </w:r>
      <w:r>
        <w:rPr>
          <w:rFonts w:cs="宋体"/>
          <w:color w:val="auto"/>
          <w:kern w:val="0"/>
          <w:szCs w:val="24"/>
        </w:rPr>
        <w:t>30 mg</w:t>
      </w:r>
    </w:p>
    <w:p>
      <w:pPr>
        <w:spacing w:line="600" w:lineRule="exact"/>
        <w:ind w:firstLine="480"/>
        <w:rPr>
          <w:rFonts w:cs="宋体"/>
          <w:b/>
          <w:color w:val="auto"/>
          <w:kern w:val="0"/>
          <w:szCs w:val="24"/>
        </w:rPr>
      </w:pPr>
      <w:r>
        <w:rPr>
          <w:rFonts w:hint="eastAsia" w:cs="宋体"/>
          <w:b/>
          <w:color w:val="auto"/>
          <w:kern w:val="0"/>
          <w:szCs w:val="24"/>
        </w:rPr>
        <w:t>适应证：</w:t>
      </w:r>
    </w:p>
    <w:p>
      <w:pPr>
        <w:pStyle w:val="26"/>
        <w:numPr>
          <w:ilvl w:val="0"/>
          <w:numId w:val="12"/>
        </w:numPr>
        <w:spacing w:line="600" w:lineRule="exact"/>
        <w:ind w:firstLineChars="0"/>
        <w:rPr>
          <w:rFonts w:ascii="Times New Roman" w:hAnsi="Times New Roman" w:eastAsia="仿宋"/>
          <w:color w:val="auto"/>
          <w:sz w:val="32"/>
        </w:rPr>
      </w:pPr>
      <w:r>
        <w:rPr>
          <w:rFonts w:hint="eastAsia" w:ascii="楷体" w:hAnsi="楷体" w:eastAsia="楷体"/>
          <w:color w:val="auto"/>
          <w:sz w:val="32"/>
        </w:rPr>
        <w:t>口服：</w:t>
      </w:r>
      <w:r>
        <w:rPr>
          <w:rFonts w:ascii="Times New Roman" w:hAnsi="Times New Roman" w:eastAsia="仿宋"/>
          <w:color w:val="auto"/>
          <w:sz w:val="32"/>
        </w:rPr>
        <w:t xml:space="preserve">1. </w:t>
      </w:r>
      <w:r>
        <w:rPr>
          <w:rFonts w:hint="eastAsia" w:ascii="Times New Roman" w:hAnsi="Times New Roman" w:eastAsia="仿宋"/>
          <w:color w:val="auto"/>
          <w:sz w:val="32"/>
        </w:rPr>
        <w:t>胃溃疡；</w:t>
      </w:r>
      <w:r>
        <w:rPr>
          <w:rFonts w:ascii="Times New Roman" w:hAnsi="Times New Roman" w:eastAsia="仿宋"/>
          <w:color w:val="auto"/>
          <w:sz w:val="32"/>
        </w:rPr>
        <w:t xml:space="preserve">2. </w:t>
      </w:r>
      <w:r>
        <w:rPr>
          <w:rFonts w:hint="eastAsia" w:ascii="Times New Roman" w:hAnsi="Times New Roman" w:eastAsia="仿宋"/>
          <w:color w:val="auto"/>
          <w:sz w:val="32"/>
        </w:rPr>
        <w:t>十二指肠溃疡；</w:t>
      </w:r>
      <w:r>
        <w:rPr>
          <w:rFonts w:ascii="Times New Roman" w:hAnsi="Times New Roman" w:eastAsia="仿宋"/>
          <w:color w:val="auto"/>
          <w:sz w:val="32"/>
        </w:rPr>
        <w:t xml:space="preserve">3. </w:t>
      </w:r>
      <w:r>
        <w:rPr>
          <w:rFonts w:hint="eastAsia" w:ascii="Times New Roman" w:hAnsi="Times New Roman" w:eastAsia="仿宋"/>
          <w:color w:val="auto"/>
          <w:sz w:val="32"/>
        </w:rPr>
        <w:t>反流性食管炎；</w:t>
      </w:r>
      <w:r>
        <w:rPr>
          <w:rFonts w:ascii="Times New Roman" w:hAnsi="Times New Roman" w:eastAsia="仿宋"/>
          <w:color w:val="auto"/>
          <w:sz w:val="32"/>
        </w:rPr>
        <w:t xml:space="preserve">4. </w:t>
      </w:r>
      <w:r>
        <w:rPr>
          <w:rFonts w:hint="eastAsia" w:ascii="Times New Roman" w:hAnsi="Times New Roman" w:eastAsia="仿宋"/>
          <w:color w:val="auto"/>
          <w:sz w:val="32"/>
        </w:rPr>
        <w:t>卓</w:t>
      </w:r>
      <w:r>
        <w:rPr>
          <w:rFonts w:ascii="Times New Roman" w:hAnsi="Times New Roman" w:eastAsia="仿宋"/>
          <w:color w:val="auto"/>
          <w:sz w:val="32"/>
        </w:rPr>
        <w:t>-</w:t>
      </w:r>
      <w:r>
        <w:rPr>
          <w:rFonts w:hint="eastAsia" w:ascii="Times New Roman" w:hAnsi="Times New Roman" w:eastAsia="仿宋"/>
          <w:color w:val="auto"/>
          <w:sz w:val="32"/>
        </w:rPr>
        <w:t>艾综合征；</w:t>
      </w:r>
      <w:r>
        <w:rPr>
          <w:rFonts w:ascii="Times New Roman" w:hAnsi="Times New Roman" w:eastAsia="仿宋"/>
          <w:color w:val="auto"/>
          <w:sz w:val="32"/>
        </w:rPr>
        <w:t xml:space="preserve">5. </w:t>
      </w:r>
      <w:r>
        <w:rPr>
          <w:rFonts w:hint="eastAsia" w:ascii="Times New Roman" w:hAnsi="Times New Roman" w:eastAsia="仿宋"/>
          <w:color w:val="auto"/>
          <w:sz w:val="32"/>
        </w:rPr>
        <w:t>吻合口溃疡。</w:t>
      </w:r>
    </w:p>
    <w:p>
      <w:pPr>
        <w:pStyle w:val="26"/>
        <w:numPr>
          <w:ilvl w:val="0"/>
          <w:numId w:val="12"/>
        </w:numPr>
        <w:spacing w:line="600" w:lineRule="exact"/>
        <w:ind w:firstLineChars="0"/>
        <w:rPr>
          <w:rFonts w:ascii="Times New Roman" w:hAnsi="Times New Roman" w:eastAsia="仿宋"/>
          <w:color w:val="auto"/>
          <w:sz w:val="32"/>
        </w:rPr>
      </w:pPr>
      <w:r>
        <w:rPr>
          <w:rFonts w:hint="eastAsia" w:ascii="楷体" w:hAnsi="楷体" w:eastAsia="楷体"/>
          <w:color w:val="auto"/>
          <w:sz w:val="32"/>
        </w:rPr>
        <w:t>注射剂：</w:t>
      </w:r>
      <w:r>
        <w:rPr>
          <w:rFonts w:hint="eastAsia" w:ascii="Times New Roman" w:hAnsi="Times New Roman" w:eastAsia="仿宋"/>
          <w:color w:val="auto"/>
          <w:sz w:val="32"/>
        </w:rPr>
        <w:t>用于口服疗法不适用的伴有出血的胃、十二指肠溃疡、应激性溃疡、急性胃黏膜损伤。</w:t>
      </w:r>
    </w:p>
    <w:p>
      <w:pPr>
        <w:spacing w:line="600" w:lineRule="exact"/>
        <w:ind w:firstLine="480"/>
        <w:rPr>
          <w:rFonts w:cs="宋体"/>
          <w:b/>
          <w:color w:val="auto"/>
          <w:kern w:val="0"/>
          <w:szCs w:val="24"/>
        </w:rPr>
      </w:pPr>
      <w:r>
        <w:rPr>
          <w:rFonts w:hint="eastAsia" w:cs="宋体"/>
          <w:b/>
          <w:color w:val="auto"/>
          <w:kern w:val="0"/>
          <w:szCs w:val="24"/>
        </w:rPr>
        <w:t>合理用药要点：</w:t>
      </w:r>
    </w:p>
    <w:p>
      <w:pPr>
        <w:pStyle w:val="26"/>
        <w:numPr>
          <w:ilvl w:val="0"/>
          <w:numId w:val="13"/>
        </w:numPr>
        <w:spacing w:line="600" w:lineRule="exact"/>
        <w:ind w:firstLineChars="0"/>
        <w:rPr>
          <w:rFonts w:ascii="Times New Roman" w:hAnsi="Times New Roman" w:eastAsia="仿宋"/>
          <w:color w:val="auto"/>
          <w:sz w:val="32"/>
        </w:rPr>
      </w:pPr>
      <w:r>
        <w:rPr>
          <w:rFonts w:ascii="Times New Roman" w:hAnsi="Times New Roman" w:eastAsia="仿宋"/>
          <w:color w:val="auto"/>
          <w:sz w:val="32"/>
        </w:rPr>
        <w:t>PTP</w:t>
      </w:r>
      <w:r>
        <w:rPr>
          <w:rFonts w:hint="eastAsia" w:ascii="Times New Roman" w:hAnsi="Times New Roman" w:eastAsia="仿宋"/>
          <w:color w:val="auto"/>
          <w:sz w:val="32"/>
        </w:rPr>
        <w:t>包装的药物应从</w:t>
      </w:r>
      <w:r>
        <w:rPr>
          <w:rFonts w:ascii="Times New Roman" w:hAnsi="Times New Roman" w:eastAsia="仿宋"/>
          <w:color w:val="auto"/>
          <w:sz w:val="32"/>
        </w:rPr>
        <w:t>PTP</w:t>
      </w:r>
      <w:r>
        <w:rPr>
          <w:rFonts w:hint="eastAsia" w:ascii="Times New Roman" w:hAnsi="Times New Roman" w:eastAsia="仿宋"/>
          <w:color w:val="auto"/>
          <w:sz w:val="32"/>
        </w:rPr>
        <w:t>薄板中取出后服用</w:t>
      </w:r>
      <w:r>
        <w:rPr>
          <w:rFonts w:hint="default" w:ascii="Times New Roman" w:hAnsi="Times New Roman" w:eastAsia="仿宋"/>
          <w:color w:val="auto"/>
          <w:sz w:val="32"/>
        </w:rPr>
        <w:t>；</w:t>
      </w:r>
    </w:p>
    <w:p>
      <w:pPr>
        <w:pStyle w:val="26"/>
        <w:numPr>
          <w:ilvl w:val="0"/>
          <w:numId w:val="1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注射剂通常成年人每次</w:t>
      </w:r>
      <w:r>
        <w:rPr>
          <w:rFonts w:ascii="Times New Roman" w:hAnsi="Times New Roman" w:eastAsia="仿宋"/>
          <w:color w:val="auto"/>
          <w:sz w:val="32"/>
        </w:rPr>
        <w:t>30 mg</w:t>
      </w:r>
      <w:r>
        <w:rPr>
          <w:rFonts w:hint="eastAsia" w:ascii="Times New Roman" w:hAnsi="Times New Roman" w:eastAsia="仿宋"/>
          <w:color w:val="auto"/>
          <w:sz w:val="32"/>
        </w:rPr>
        <w:t>，一日</w:t>
      </w:r>
      <w:r>
        <w:rPr>
          <w:rFonts w:ascii="Times New Roman" w:hAnsi="Times New Roman" w:eastAsia="仿宋"/>
          <w:color w:val="auto"/>
          <w:sz w:val="32"/>
        </w:rPr>
        <w:t>2</w:t>
      </w:r>
      <w:r>
        <w:rPr>
          <w:rFonts w:hint="eastAsia" w:ascii="Times New Roman" w:hAnsi="Times New Roman" w:eastAsia="仿宋"/>
          <w:color w:val="auto"/>
          <w:sz w:val="32"/>
        </w:rPr>
        <w:t>次，疗程不超过</w:t>
      </w:r>
      <w:r>
        <w:rPr>
          <w:rFonts w:ascii="Times New Roman" w:hAnsi="Times New Roman" w:eastAsia="仿宋"/>
          <w:color w:val="auto"/>
          <w:sz w:val="32"/>
        </w:rPr>
        <w:t>7</w:t>
      </w:r>
      <w:r>
        <w:rPr>
          <w:rFonts w:hint="eastAsia" w:ascii="Times New Roman" w:hAnsi="Times New Roman" w:eastAsia="仿宋"/>
          <w:color w:val="auto"/>
          <w:sz w:val="32"/>
        </w:rPr>
        <w:t>天。一旦患者可以口服药物，应改换为兰索拉唑口服剂型</w:t>
      </w:r>
      <w:r>
        <w:rPr>
          <w:rFonts w:hint="default" w:ascii="Times New Roman" w:hAnsi="Times New Roman" w:eastAsia="仿宋"/>
          <w:color w:val="auto"/>
          <w:sz w:val="32"/>
        </w:rPr>
        <w:t>；</w:t>
      </w:r>
    </w:p>
    <w:p>
      <w:pPr>
        <w:pStyle w:val="26"/>
        <w:numPr>
          <w:ilvl w:val="0"/>
          <w:numId w:val="1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注射剂临用前将瓶中内容物用</w:t>
      </w:r>
      <w:r>
        <w:rPr>
          <w:rFonts w:ascii="Times New Roman" w:hAnsi="Times New Roman" w:eastAsia="仿宋"/>
          <w:color w:val="auto"/>
          <w:sz w:val="32"/>
        </w:rPr>
        <w:t>5 mL</w:t>
      </w:r>
      <w:r>
        <w:rPr>
          <w:rFonts w:hint="eastAsia" w:ascii="Times New Roman" w:hAnsi="Times New Roman" w:eastAsia="仿宋"/>
          <w:color w:val="auto"/>
          <w:sz w:val="32"/>
        </w:rPr>
        <w:t>灭菌注射用水溶解，再用</w:t>
      </w:r>
      <w:r>
        <w:rPr>
          <w:rFonts w:ascii="Times New Roman" w:hAnsi="Times New Roman" w:eastAsia="仿宋"/>
          <w:color w:val="auto"/>
          <w:sz w:val="32"/>
        </w:rPr>
        <w:t>100 mL 0.9%</w:t>
      </w:r>
      <w:r>
        <w:rPr>
          <w:rFonts w:hint="eastAsia" w:ascii="Times New Roman" w:hAnsi="Times New Roman" w:eastAsia="仿宋"/>
          <w:color w:val="auto"/>
          <w:sz w:val="32"/>
        </w:rPr>
        <w:t>氯化钠注射液稀释供静脉滴注，静滴时间不少于</w:t>
      </w:r>
      <w:r>
        <w:rPr>
          <w:rFonts w:ascii="Times New Roman" w:hAnsi="Times New Roman" w:eastAsia="仿宋"/>
          <w:color w:val="auto"/>
          <w:sz w:val="32"/>
        </w:rPr>
        <w:t>30</w:t>
      </w:r>
      <w:r>
        <w:rPr>
          <w:rFonts w:hint="eastAsia" w:ascii="Times New Roman" w:hAnsi="Times New Roman" w:eastAsia="仿宋"/>
          <w:color w:val="auto"/>
          <w:sz w:val="32"/>
        </w:rPr>
        <w:t>分钟</w:t>
      </w:r>
      <w:r>
        <w:rPr>
          <w:rFonts w:hint="default" w:ascii="Times New Roman" w:hAnsi="Times New Roman" w:eastAsia="仿宋"/>
          <w:color w:val="auto"/>
          <w:sz w:val="32"/>
        </w:rPr>
        <w:t>；</w:t>
      </w:r>
    </w:p>
    <w:p>
      <w:pPr>
        <w:pStyle w:val="26"/>
        <w:numPr>
          <w:ilvl w:val="0"/>
          <w:numId w:val="1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静滴时应配有孔径为</w:t>
      </w:r>
      <w:r>
        <w:rPr>
          <w:rFonts w:ascii="Times New Roman" w:hAnsi="Times New Roman" w:eastAsia="仿宋"/>
          <w:color w:val="auto"/>
          <w:sz w:val="32"/>
        </w:rPr>
        <w:t>1.2</w:t>
      </w:r>
      <w:r>
        <w:rPr>
          <w:rFonts w:hint="eastAsia" w:ascii="Times New Roman" w:hAnsi="Times New Roman" w:eastAsia="仿宋"/>
          <w:color w:val="auto"/>
          <w:sz w:val="32"/>
        </w:rPr>
        <w:t>μ</w:t>
      </w:r>
      <w:r>
        <w:rPr>
          <w:rFonts w:ascii="Times New Roman" w:hAnsi="Times New Roman" w:eastAsia="仿宋"/>
          <w:color w:val="auto"/>
          <w:sz w:val="32"/>
        </w:rPr>
        <w:t>m</w:t>
      </w:r>
      <w:r>
        <w:rPr>
          <w:rFonts w:hint="eastAsia" w:ascii="Times New Roman" w:hAnsi="Times New Roman" w:eastAsia="仿宋"/>
          <w:color w:val="auto"/>
          <w:sz w:val="32"/>
        </w:rPr>
        <w:t>的过滤器，以便去除输液过程中可能产生的沉淀物。这些沉淀物有可能引起小血管栓塞而产生严重后果</w:t>
      </w:r>
      <w:r>
        <w:rPr>
          <w:rFonts w:hint="default" w:ascii="Times New Roman" w:hAnsi="Times New Roman" w:eastAsia="仿宋"/>
          <w:color w:val="auto"/>
          <w:sz w:val="32"/>
        </w:rPr>
        <w:t>；</w:t>
      </w:r>
    </w:p>
    <w:p>
      <w:pPr>
        <w:pStyle w:val="26"/>
        <w:numPr>
          <w:ilvl w:val="0"/>
          <w:numId w:val="1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溶解后应尽快使用，勿保存。</w:t>
      </w:r>
    </w:p>
    <w:p>
      <w:pPr>
        <w:pStyle w:val="4"/>
        <w:numPr>
          <w:ilvl w:val="0"/>
          <w:numId w:val="6"/>
        </w:numPr>
        <w:spacing w:line="600" w:lineRule="exact"/>
        <w:ind w:firstLine="643"/>
        <w:rPr>
          <w:color w:val="auto"/>
        </w:rPr>
      </w:pPr>
      <w:bookmarkStart w:id="30" w:name="_Toc535269739"/>
      <w:r>
        <w:rPr>
          <w:rFonts w:hint="eastAsia"/>
          <w:b w:val="0"/>
          <w:bCs w:val="0"/>
          <w:color w:val="auto"/>
        </w:rPr>
        <w:t>泮托拉唑</w:t>
      </w:r>
      <w:bookmarkEnd w:id="30"/>
    </w:p>
    <w:p>
      <w:pPr>
        <w:spacing w:line="600" w:lineRule="exact"/>
        <w:ind w:firstLine="480"/>
        <w:rPr>
          <w:rFonts w:cs="宋体"/>
          <w:color w:val="auto"/>
          <w:kern w:val="0"/>
          <w:szCs w:val="24"/>
        </w:rPr>
      </w:pPr>
      <w:r>
        <w:rPr>
          <w:rFonts w:hint="eastAsia" w:cs="宋体"/>
          <w:b/>
          <w:color w:val="auto"/>
          <w:kern w:val="0"/>
          <w:szCs w:val="24"/>
        </w:rPr>
        <w:t>通用名：</w:t>
      </w:r>
      <w:r>
        <w:rPr>
          <w:rFonts w:hint="eastAsia" w:cs="宋体"/>
          <w:color w:val="auto"/>
          <w:kern w:val="0"/>
          <w:szCs w:val="24"/>
        </w:rPr>
        <w:t>泮托拉唑</w:t>
      </w:r>
    </w:p>
    <w:p>
      <w:pPr>
        <w:spacing w:line="600" w:lineRule="exact"/>
        <w:ind w:firstLine="480"/>
        <w:rPr>
          <w:rFonts w:cs="宋体"/>
          <w:color w:val="auto"/>
          <w:kern w:val="0"/>
          <w:szCs w:val="24"/>
        </w:rPr>
      </w:pPr>
      <w:r>
        <w:rPr>
          <w:rFonts w:hint="eastAsia" w:cs="宋体"/>
          <w:b/>
          <w:color w:val="auto"/>
          <w:kern w:val="0"/>
          <w:szCs w:val="24"/>
        </w:rPr>
        <w:t>制剂与规格：</w:t>
      </w:r>
      <w:r>
        <w:rPr>
          <w:rFonts w:hint="eastAsia" w:cs="宋体"/>
          <w:color w:val="auto"/>
          <w:kern w:val="0"/>
          <w:szCs w:val="24"/>
        </w:rPr>
        <w:t>片剂：</w:t>
      </w:r>
      <w:r>
        <w:rPr>
          <w:rFonts w:cs="宋体"/>
          <w:color w:val="auto"/>
          <w:kern w:val="0"/>
          <w:szCs w:val="24"/>
        </w:rPr>
        <w:t>20 mg</w:t>
      </w:r>
      <w:r>
        <w:rPr>
          <w:rFonts w:hint="eastAsia" w:cs="宋体"/>
          <w:color w:val="auto"/>
          <w:kern w:val="0"/>
          <w:szCs w:val="24"/>
        </w:rPr>
        <w:t>，</w:t>
      </w:r>
      <w:r>
        <w:rPr>
          <w:rFonts w:cs="宋体"/>
          <w:color w:val="auto"/>
          <w:kern w:val="0"/>
          <w:szCs w:val="24"/>
        </w:rPr>
        <w:t>40 mg</w:t>
      </w:r>
      <w:r>
        <w:rPr>
          <w:rFonts w:hint="eastAsia" w:cs="宋体"/>
          <w:color w:val="auto"/>
          <w:kern w:val="0"/>
          <w:szCs w:val="24"/>
        </w:rPr>
        <w:t>；胶囊：</w:t>
      </w:r>
      <w:r>
        <w:rPr>
          <w:rFonts w:cs="宋体"/>
          <w:color w:val="auto"/>
          <w:kern w:val="0"/>
          <w:szCs w:val="24"/>
        </w:rPr>
        <w:t>20 mg</w:t>
      </w:r>
      <w:r>
        <w:rPr>
          <w:rFonts w:hint="eastAsia" w:cs="宋体"/>
          <w:color w:val="auto"/>
          <w:kern w:val="0"/>
          <w:szCs w:val="24"/>
        </w:rPr>
        <w:t>，</w:t>
      </w:r>
      <w:r>
        <w:rPr>
          <w:rFonts w:cs="宋体"/>
          <w:color w:val="auto"/>
          <w:kern w:val="0"/>
          <w:szCs w:val="24"/>
        </w:rPr>
        <w:t>40 mg</w:t>
      </w:r>
      <w:r>
        <w:rPr>
          <w:rFonts w:hint="eastAsia" w:cs="宋体"/>
          <w:color w:val="auto"/>
          <w:kern w:val="0"/>
          <w:szCs w:val="24"/>
        </w:rPr>
        <w:t>；微丸胶囊：20mg；注射剂：</w:t>
      </w:r>
      <w:r>
        <w:rPr>
          <w:rFonts w:cs="宋体"/>
          <w:color w:val="auto"/>
          <w:kern w:val="0"/>
          <w:szCs w:val="24"/>
        </w:rPr>
        <w:t>40 mg</w:t>
      </w:r>
      <w:r>
        <w:rPr>
          <w:rFonts w:hint="eastAsia" w:cs="宋体"/>
          <w:color w:val="auto"/>
          <w:kern w:val="0"/>
          <w:szCs w:val="24"/>
        </w:rPr>
        <w:t>，</w:t>
      </w:r>
      <w:r>
        <w:rPr>
          <w:rFonts w:cs="宋体"/>
          <w:color w:val="auto"/>
          <w:kern w:val="0"/>
          <w:szCs w:val="24"/>
        </w:rPr>
        <w:t>60 mg</w:t>
      </w:r>
      <w:r>
        <w:rPr>
          <w:rFonts w:hint="eastAsia" w:cs="宋体"/>
          <w:color w:val="auto"/>
          <w:kern w:val="0"/>
          <w:szCs w:val="24"/>
        </w:rPr>
        <w:t>，</w:t>
      </w:r>
      <w:r>
        <w:rPr>
          <w:rFonts w:cs="宋体"/>
          <w:color w:val="auto"/>
          <w:kern w:val="0"/>
          <w:szCs w:val="24"/>
        </w:rPr>
        <w:t>80 mg</w:t>
      </w:r>
    </w:p>
    <w:p>
      <w:pPr>
        <w:spacing w:line="600" w:lineRule="exact"/>
        <w:ind w:firstLine="480"/>
        <w:rPr>
          <w:rFonts w:cs="宋体"/>
          <w:b/>
          <w:color w:val="auto"/>
          <w:kern w:val="0"/>
          <w:szCs w:val="24"/>
        </w:rPr>
      </w:pPr>
      <w:r>
        <w:rPr>
          <w:rFonts w:hint="eastAsia" w:cs="宋体"/>
          <w:b/>
          <w:color w:val="auto"/>
          <w:kern w:val="0"/>
          <w:szCs w:val="24"/>
        </w:rPr>
        <w:t>适应证：</w:t>
      </w:r>
    </w:p>
    <w:p>
      <w:pPr>
        <w:pStyle w:val="26"/>
        <w:numPr>
          <w:ilvl w:val="0"/>
          <w:numId w:val="14"/>
        </w:numPr>
        <w:spacing w:line="600" w:lineRule="exact"/>
        <w:ind w:firstLineChars="0"/>
        <w:jc w:val="both"/>
        <w:rPr>
          <w:rFonts w:ascii="Times New Roman" w:hAnsi="Times New Roman" w:eastAsia="仿宋"/>
          <w:color w:val="auto"/>
          <w:sz w:val="32"/>
        </w:rPr>
      </w:pPr>
      <w:r>
        <w:rPr>
          <w:rFonts w:hint="eastAsia" w:ascii="楷体" w:hAnsi="楷体" w:eastAsia="楷体"/>
          <w:color w:val="auto"/>
          <w:sz w:val="32"/>
        </w:rPr>
        <w:t>口服：</w:t>
      </w:r>
      <w:r>
        <w:rPr>
          <w:rFonts w:ascii="Times New Roman" w:hAnsi="Times New Roman" w:eastAsia="仿宋"/>
          <w:color w:val="auto"/>
          <w:sz w:val="32"/>
        </w:rPr>
        <w:t xml:space="preserve">1. </w:t>
      </w:r>
      <w:r>
        <w:rPr>
          <w:rFonts w:hint="eastAsia" w:ascii="Times New Roman" w:hAnsi="Times New Roman" w:eastAsia="仿宋"/>
          <w:color w:val="auto"/>
          <w:sz w:val="32"/>
        </w:rPr>
        <w:t>十二指肠溃疡；</w:t>
      </w:r>
      <w:r>
        <w:rPr>
          <w:rFonts w:ascii="Times New Roman" w:hAnsi="Times New Roman" w:eastAsia="仿宋"/>
          <w:color w:val="auto"/>
          <w:sz w:val="32"/>
        </w:rPr>
        <w:t xml:space="preserve">2. </w:t>
      </w:r>
      <w:r>
        <w:rPr>
          <w:rFonts w:hint="eastAsia" w:ascii="Times New Roman" w:hAnsi="Times New Roman" w:eastAsia="仿宋"/>
          <w:color w:val="auto"/>
          <w:sz w:val="32"/>
        </w:rPr>
        <w:t>胃溃疡；</w:t>
      </w:r>
      <w:r>
        <w:rPr>
          <w:rFonts w:ascii="Times New Roman" w:hAnsi="Times New Roman" w:eastAsia="仿宋"/>
          <w:color w:val="auto"/>
          <w:sz w:val="32"/>
        </w:rPr>
        <w:t xml:space="preserve">3. </w:t>
      </w:r>
      <w:r>
        <w:rPr>
          <w:rFonts w:hint="eastAsia" w:ascii="Times New Roman" w:hAnsi="Times New Roman" w:eastAsia="仿宋"/>
          <w:color w:val="auto"/>
          <w:sz w:val="32"/>
        </w:rPr>
        <w:t>中、重度反流性食管炎；</w:t>
      </w:r>
      <w:r>
        <w:rPr>
          <w:rFonts w:ascii="Times New Roman" w:hAnsi="Times New Roman" w:eastAsia="仿宋"/>
          <w:color w:val="auto"/>
          <w:sz w:val="32"/>
        </w:rPr>
        <w:t xml:space="preserve">4. </w:t>
      </w:r>
      <w:r>
        <w:rPr>
          <w:rFonts w:hint="eastAsia" w:ascii="Times New Roman" w:hAnsi="Times New Roman" w:eastAsia="仿宋"/>
          <w:color w:val="auto"/>
          <w:sz w:val="32"/>
        </w:rPr>
        <w:t>与其他药物配伍用能够根除</w:t>
      </w:r>
      <w:r>
        <w:rPr>
          <w:rFonts w:ascii="Times New Roman" w:hAnsi="Times New Roman" w:eastAsia="仿宋"/>
          <w:i/>
          <w:color w:val="auto"/>
          <w:sz w:val="32"/>
        </w:rPr>
        <w:t>H.pylori</w:t>
      </w:r>
      <w:r>
        <w:rPr>
          <w:rFonts w:hint="eastAsia" w:ascii="Times New Roman" w:hAnsi="Times New Roman" w:eastAsia="仿宋"/>
          <w:color w:val="auto"/>
          <w:sz w:val="32"/>
        </w:rPr>
        <w:t>感染，以减少该微生物感染所致的十二指肠溃疡与胃溃疡的复发。</w:t>
      </w:r>
    </w:p>
    <w:p>
      <w:pPr>
        <w:pStyle w:val="26"/>
        <w:numPr>
          <w:ilvl w:val="0"/>
          <w:numId w:val="14"/>
        </w:numPr>
        <w:spacing w:line="600" w:lineRule="exact"/>
        <w:ind w:firstLineChars="0"/>
        <w:jc w:val="both"/>
        <w:rPr>
          <w:rFonts w:ascii="Times New Roman" w:hAnsi="Times New Roman" w:eastAsia="仿宋"/>
          <w:color w:val="auto"/>
          <w:sz w:val="32"/>
        </w:rPr>
      </w:pPr>
      <w:r>
        <w:rPr>
          <w:rFonts w:hint="eastAsia" w:ascii="楷体" w:hAnsi="楷体" w:eastAsia="楷体"/>
          <w:color w:val="auto"/>
          <w:sz w:val="32"/>
        </w:rPr>
        <w:t>注射剂：</w:t>
      </w:r>
      <w:r>
        <w:rPr>
          <w:rFonts w:ascii="Times New Roman" w:hAnsi="Times New Roman" w:eastAsia="仿宋"/>
          <w:color w:val="auto"/>
          <w:sz w:val="32"/>
        </w:rPr>
        <w:t xml:space="preserve">1. </w:t>
      </w:r>
      <w:r>
        <w:rPr>
          <w:rFonts w:hint="eastAsia" w:ascii="Times New Roman" w:hAnsi="Times New Roman" w:eastAsia="仿宋"/>
          <w:color w:val="auto"/>
          <w:sz w:val="32"/>
        </w:rPr>
        <w:t>十二指肠溃疡；</w:t>
      </w:r>
      <w:r>
        <w:rPr>
          <w:rFonts w:ascii="Times New Roman" w:hAnsi="Times New Roman" w:eastAsia="仿宋"/>
          <w:color w:val="auto"/>
          <w:sz w:val="32"/>
        </w:rPr>
        <w:t xml:space="preserve">2. </w:t>
      </w:r>
      <w:r>
        <w:rPr>
          <w:rFonts w:hint="eastAsia" w:ascii="Times New Roman" w:hAnsi="Times New Roman" w:eastAsia="仿宋"/>
          <w:color w:val="auto"/>
          <w:sz w:val="32"/>
        </w:rPr>
        <w:t>胃溃疡；</w:t>
      </w:r>
      <w:r>
        <w:rPr>
          <w:rFonts w:ascii="Times New Roman" w:hAnsi="Times New Roman" w:eastAsia="仿宋"/>
          <w:color w:val="auto"/>
          <w:sz w:val="32"/>
        </w:rPr>
        <w:t xml:space="preserve">3. </w:t>
      </w:r>
      <w:r>
        <w:rPr>
          <w:rFonts w:hint="eastAsia" w:ascii="Times New Roman" w:hAnsi="Times New Roman" w:eastAsia="仿宋"/>
          <w:color w:val="auto"/>
          <w:sz w:val="32"/>
        </w:rPr>
        <w:t>中、重度反流性食管炎；</w:t>
      </w:r>
      <w:r>
        <w:rPr>
          <w:rFonts w:ascii="Times New Roman" w:hAnsi="Times New Roman" w:eastAsia="仿宋"/>
          <w:color w:val="auto"/>
          <w:sz w:val="32"/>
        </w:rPr>
        <w:t>4.</w:t>
      </w:r>
      <w:r>
        <w:rPr>
          <w:rFonts w:hint="eastAsia" w:ascii="Times New Roman" w:hAnsi="Times New Roman" w:eastAsia="仿宋"/>
          <w:color w:val="auto"/>
          <w:sz w:val="32"/>
        </w:rPr>
        <w:t>十二指肠溃疡、胃溃疡、急性胃黏膜病变、复合性胃溃疡等引起的急性上消化道出血。</w:t>
      </w:r>
    </w:p>
    <w:p>
      <w:pPr>
        <w:spacing w:line="600" w:lineRule="exact"/>
        <w:ind w:firstLine="480"/>
        <w:rPr>
          <w:rFonts w:cs="宋体"/>
          <w:b/>
          <w:color w:val="auto"/>
          <w:kern w:val="0"/>
          <w:szCs w:val="24"/>
        </w:rPr>
      </w:pPr>
      <w:r>
        <w:rPr>
          <w:rFonts w:hint="eastAsia" w:cs="宋体"/>
          <w:b/>
          <w:color w:val="auto"/>
          <w:kern w:val="0"/>
          <w:szCs w:val="24"/>
        </w:rPr>
        <w:t>合理用药要点：</w:t>
      </w:r>
    </w:p>
    <w:p>
      <w:pPr>
        <w:pStyle w:val="26"/>
        <w:numPr>
          <w:ilvl w:val="0"/>
          <w:numId w:val="15"/>
        </w:numPr>
        <w:spacing w:line="600" w:lineRule="exact"/>
        <w:ind w:firstLineChars="0"/>
        <w:rPr>
          <w:rFonts w:ascii="Times New Roman" w:hAnsi="Times New Roman" w:eastAsia="仿宋"/>
          <w:color w:val="auto"/>
          <w:sz w:val="32"/>
        </w:rPr>
      </w:pPr>
      <w:r>
        <w:rPr>
          <w:rFonts w:hint="eastAsia" w:ascii="楷体" w:hAnsi="楷体" w:eastAsia="楷体"/>
          <w:color w:val="auto"/>
          <w:sz w:val="32"/>
        </w:rPr>
        <w:t>口服：</w:t>
      </w:r>
      <w:r>
        <w:rPr>
          <w:rFonts w:hint="eastAsia" w:ascii="Times New Roman" w:hAnsi="Times New Roman" w:eastAsia="仿宋"/>
          <w:color w:val="auto"/>
          <w:sz w:val="32"/>
        </w:rPr>
        <w:t>肠溶片不能咀嚼或咬碎，应在早餐前</w:t>
      </w:r>
      <w:r>
        <w:rPr>
          <w:rFonts w:ascii="Times New Roman" w:hAnsi="Times New Roman" w:eastAsia="仿宋"/>
          <w:color w:val="auto"/>
          <w:sz w:val="32"/>
        </w:rPr>
        <w:t>1</w:t>
      </w:r>
      <w:r>
        <w:rPr>
          <w:rFonts w:hint="eastAsia" w:ascii="Times New Roman" w:hAnsi="Times New Roman" w:eastAsia="仿宋"/>
          <w:color w:val="auto"/>
          <w:sz w:val="32"/>
        </w:rPr>
        <w:t>小时配水完整服用。</w:t>
      </w:r>
    </w:p>
    <w:p>
      <w:pPr>
        <w:pStyle w:val="26"/>
        <w:numPr>
          <w:ilvl w:val="0"/>
          <w:numId w:val="15"/>
        </w:numPr>
        <w:spacing w:line="600" w:lineRule="exact"/>
        <w:ind w:firstLineChars="0"/>
        <w:rPr>
          <w:rFonts w:ascii="Times New Roman" w:hAnsi="Times New Roman" w:eastAsia="仿宋"/>
          <w:color w:val="auto"/>
          <w:sz w:val="32"/>
        </w:rPr>
      </w:pPr>
      <w:r>
        <w:rPr>
          <w:rFonts w:hint="eastAsia" w:ascii="楷体" w:hAnsi="楷体" w:eastAsia="楷体"/>
          <w:color w:val="auto"/>
          <w:sz w:val="32"/>
        </w:rPr>
        <w:t>注射剂</w:t>
      </w:r>
      <w:r>
        <w:rPr>
          <w:rFonts w:hint="eastAsia" w:ascii="Times New Roman" w:hAnsi="Times New Roman" w:eastAsia="仿宋"/>
          <w:color w:val="auto"/>
          <w:sz w:val="32"/>
        </w:rPr>
        <w:t>：</w:t>
      </w:r>
    </w:p>
    <w:p>
      <w:pPr>
        <w:pStyle w:val="26"/>
        <w:numPr>
          <w:ilvl w:val="0"/>
          <w:numId w:val="16"/>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静推、静滴均可</w:t>
      </w:r>
      <w:r>
        <w:rPr>
          <w:rFonts w:hint="default" w:ascii="Times New Roman" w:hAnsi="Times New Roman" w:eastAsia="仿宋"/>
          <w:color w:val="auto"/>
          <w:sz w:val="32"/>
        </w:rPr>
        <w:t>；</w:t>
      </w:r>
    </w:p>
    <w:p>
      <w:pPr>
        <w:pStyle w:val="26"/>
        <w:numPr>
          <w:ilvl w:val="0"/>
          <w:numId w:val="16"/>
        </w:numPr>
        <w:spacing w:line="600" w:lineRule="exact"/>
        <w:ind w:firstLineChars="0"/>
        <w:jc w:val="both"/>
        <w:rPr>
          <w:rFonts w:ascii="Times New Roman" w:hAnsi="Times New Roman" w:eastAsia="仿宋"/>
          <w:color w:val="auto"/>
          <w:sz w:val="32"/>
        </w:rPr>
      </w:pPr>
      <w:r>
        <w:rPr>
          <w:rFonts w:hint="eastAsia" w:ascii="Times New Roman" w:hAnsi="Times New Roman" w:eastAsia="仿宋"/>
          <w:color w:val="auto"/>
          <w:sz w:val="32"/>
        </w:rPr>
        <w:t>仅短期（不超过</w:t>
      </w:r>
      <w:r>
        <w:rPr>
          <w:rFonts w:ascii="Times New Roman" w:hAnsi="Times New Roman" w:eastAsia="仿宋"/>
          <w:color w:val="auto"/>
          <w:sz w:val="32"/>
        </w:rPr>
        <w:t>7~10</w:t>
      </w:r>
      <w:r>
        <w:rPr>
          <w:rFonts w:hint="eastAsia" w:ascii="Times New Roman" w:hAnsi="Times New Roman" w:eastAsia="仿宋"/>
          <w:color w:val="auto"/>
          <w:sz w:val="32"/>
        </w:rPr>
        <w:t>天）用于不宜口服药物的患者。一旦病人可以口服药物，则不可继续使用注射用泮托拉唑</w:t>
      </w:r>
      <w:r>
        <w:rPr>
          <w:rFonts w:hint="default" w:ascii="Times New Roman" w:hAnsi="Times New Roman" w:eastAsia="仿宋"/>
          <w:color w:val="auto"/>
          <w:sz w:val="32"/>
        </w:rPr>
        <w:t>；</w:t>
      </w:r>
    </w:p>
    <w:p>
      <w:pPr>
        <w:pStyle w:val="26"/>
        <w:numPr>
          <w:ilvl w:val="0"/>
          <w:numId w:val="16"/>
        </w:numPr>
        <w:spacing w:line="600" w:lineRule="exact"/>
        <w:ind w:firstLineChars="0"/>
        <w:jc w:val="both"/>
        <w:rPr>
          <w:rFonts w:ascii="Times New Roman" w:hAnsi="Times New Roman" w:eastAsia="仿宋"/>
          <w:color w:val="auto"/>
          <w:sz w:val="32"/>
        </w:rPr>
      </w:pPr>
      <w:r>
        <w:rPr>
          <w:rFonts w:hint="eastAsia" w:ascii="Times New Roman" w:hAnsi="Times New Roman" w:eastAsia="仿宋"/>
          <w:color w:val="auto"/>
          <w:sz w:val="32"/>
        </w:rPr>
        <w:t>临用前将</w:t>
      </w:r>
      <w:r>
        <w:rPr>
          <w:rFonts w:ascii="Times New Roman" w:hAnsi="Times New Roman" w:eastAsia="仿宋"/>
          <w:color w:val="auto"/>
          <w:sz w:val="32"/>
        </w:rPr>
        <w:t>10 mL 0.9%</w:t>
      </w:r>
      <w:r>
        <w:rPr>
          <w:rFonts w:hint="eastAsia" w:ascii="Times New Roman" w:hAnsi="Times New Roman" w:eastAsia="仿宋"/>
          <w:color w:val="auto"/>
          <w:sz w:val="32"/>
        </w:rPr>
        <w:t>氯化钠注射液注入冻干粉小瓶内，此液可直接静脉输注，时间须超过</w:t>
      </w:r>
      <w:r>
        <w:rPr>
          <w:rFonts w:ascii="Times New Roman" w:hAnsi="Times New Roman" w:eastAsia="仿宋"/>
          <w:color w:val="auto"/>
          <w:sz w:val="32"/>
        </w:rPr>
        <w:t>2</w:t>
      </w:r>
      <w:r>
        <w:rPr>
          <w:rFonts w:hint="eastAsia" w:ascii="Times New Roman" w:hAnsi="Times New Roman" w:eastAsia="仿宋"/>
          <w:color w:val="auto"/>
          <w:sz w:val="32"/>
        </w:rPr>
        <w:t>分钟；也可将溶解后的药液加入</w:t>
      </w:r>
      <w:r>
        <w:rPr>
          <w:rFonts w:ascii="Times New Roman" w:hAnsi="Times New Roman" w:eastAsia="仿宋"/>
          <w:color w:val="auto"/>
          <w:sz w:val="32"/>
        </w:rPr>
        <w:t>100 mL 0.9%</w:t>
      </w:r>
      <w:r>
        <w:rPr>
          <w:rFonts w:hint="eastAsia" w:ascii="Times New Roman" w:hAnsi="Times New Roman" w:eastAsia="仿宋"/>
          <w:color w:val="auto"/>
          <w:sz w:val="32"/>
        </w:rPr>
        <w:t>氯化钠注射液或</w:t>
      </w:r>
      <w:r>
        <w:rPr>
          <w:rFonts w:ascii="Times New Roman" w:hAnsi="Times New Roman" w:eastAsia="仿宋"/>
          <w:color w:val="auto"/>
          <w:sz w:val="32"/>
        </w:rPr>
        <w:t>5%</w:t>
      </w:r>
      <w:r>
        <w:rPr>
          <w:rFonts w:hint="eastAsia" w:ascii="Times New Roman" w:hAnsi="Times New Roman" w:eastAsia="仿宋"/>
          <w:color w:val="auto"/>
          <w:sz w:val="32"/>
        </w:rPr>
        <w:t>葡萄糖注射液中稀释后静脉滴注，</w:t>
      </w:r>
      <w:r>
        <w:rPr>
          <w:rFonts w:ascii="Times New Roman" w:hAnsi="Times New Roman" w:eastAsia="仿宋"/>
          <w:color w:val="auto"/>
          <w:sz w:val="32"/>
        </w:rPr>
        <w:t>15~60</w:t>
      </w:r>
      <w:r>
        <w:rPr>
          <w:rFonts w:hint="eastAsia" w:ascii="Times New Roman" w:hAnsi="Times New Roman" w:eastAsia="仿宋"/>
          <w:color w:val="auto"/>
          <w:sz w:val="32"/>
        </w:rPr>
        <w:t>分钟内滴完</w:t>
      </w:r>
      <w:r>
        <w:rPr>
          <w:rFonts w:hint="default" w:ascii="Times New Roman" w:hAnsi="Times New Roman" w:eastAsia="仿宋"/>
          <w:color w:val="auto"/>
          <w:sz w:val="32"/>
        </w:rPr>
        <w:t>；</w:t>
      </w:r>
    </w:p>
    <w:p>
      <w:pPr>
        <w:pStyle w:val="26"/>
        <w:numPr>
          <w:ilvl w:val="0"/>
          <w:numId w:val="16"/>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配置后溶液保存时间：</w:t>
      </w:r>
      <w:r>
        <w:rPr>
          <w:rFonts w:ascii="Times New Roman" w:hAnsi="Times New Roman" w:eastAsia="仿宋"/>
          <w:color w:val="auto"/>
          <w:sz w:val="32"/>
        </w:rPr>
        <w:t>12</w:t>
      </w:r>
      <w:r>
        <w:rPr>
          <w:rFonts w:hint="eastAsia" w:ascii="Times New Roman" w:hAnsi="Times New Roman" w:eastAsia="仿宋"/>
          <w:color w:val="auto"/>
          <w:sz w:val="32"/>
        </w:rPr>
        <w:t>小时。</w:t>
      </w:r>
    </w:p>
    <w:p>
      <w:pPr>
        <w:pStyle w:val="4"/>
        <w:numPr>
          <w:ilvl w:val="0"/>
          <w:numId w:val="6"/>
        </w:numPr>
        <w:spacing w:line="600" w:lineRule="exact"/>
        <w:ind w:firstLine="643"/>
        <w:rPr>
          <w:b w:val="0"/>
          <w:bCs w:val="0"/>
          <w:color w:val="auto"/>
        </w:rPr>
      </w:pPr>
      <w:bookmarkStart w:id="31" w:name="_Toc535269740"/>
      <w:r>
        <w:rPr>
          <w:rFonts w:hint="eastAsia"/>
          <w:b w:val="0"/>
          <w:bCs w:val="0"/>
          <w:color w:val="auto"/>
        </w:rPr>
        <w:t>雷贝拉唑</w:t>
      </w:r>
      <w:bookmarkEnd w:id="31"/>
    </w:p>
    <w:p>
      <w:pPr>
        <w:spacing w:line="600" w:lineRule="exact"/>
        <w:ind w:firstLine="480"/>
        <w:rPr>
          <w:rFonts w:cs="宋体"/>
          <w:color w:val="auto"/>
          <w:kern w:val="0"/>
          <w:szCs w:val="24"/>
        </w:rPr>
      </w:pPr>
      <w:r>
        <w:rPr>
          <w:rFonts w:hint="eastAsia" w:cs="宋体"/>
          <w:b/>
          <w:color w:val="auto"/>
          <w:kern w:val="0"/>
          <w:szCs w:val="24"/>
        </w:rPr>
        <w:t>通用名：</w:t>
      </w:r>
      <w:r>
        <w:rPr>
          <w:rFonts w:hint="eastAsia" w:cs="宋体"/>
          <w:color w:val="auto"/>
          <w:kern w:val="0"/>
          <w:szCs w:val="24"/>
        </w:rPr>
        <w:t>雷贝拉唑</w:t>
      </w:r>
    </w:p>
    <w:p>
      <w:pPr>
        <w:spacing w:line="600" w:lineRule="exact"/>
        <w:ind w:firstLine="480"/>
        <w:rPr>
          <w:rFonts w:cs="宋体"/>
          <w:color w:val="auto"/>
          <w:kern w:val="0"/>
          <w:szCs w:val="24"/>
        </w:rPr>
      </w:pPr>
      <w:r>
        <w:rPr>
          <w:rFonts w:hint="eastAsia" w:cs="宋体"/>
          <w:b/>
          <w:color w:val="auto"/>
          <w:kern w:val="0"/>
          <w:szCs w:val="24"/>
        </w:rPr>
        <w:t>制剂与规格：</w:t>
      </w:r>
      <w:r>
        <w:rPr>
          <w:rFonts w:hint="eastAsia" w:cs="宋体"/>
          <w:color w:val="auto"/>
          <w:kern w:val="0"/>
          <w:szCs w:val="24"/>
        </w:rPr>
        <w:t>片剂：</w:t>
      </w:r>
      <w:r>
        <w:rPr>
          <w:rFonts w:cs="宋体"/>
          <w:color w:val="auto"/>
          <w:kern w:val="0"/>
          <w:szCs w:val="24"/>
        </w:rPr>
        <w:t>10 mg</w:t>
      </w:r>
      <w:r>
        <w:rPr>
          <w:rFonts w:hint="eastAsia" w:cs="宋体"/>
          <w:color w:val="auto"/>
          <w:kern w:val="0"/>
          <w:szCs w:val="24"/>
        </w:rPr>
        <w:t>，</w:t>
      </w:r>
      <w:r>
        <w:rPr>
          <w:rFonts w:cs="宋体"/>
          <w:color w:val="auto"/>
          <w:kern w:val="0"/>
          <w:szCs w:val="24"/>
        </w:rPr>
        <w:t>20 mg</w:t>
      </w:r>
      <w:r>
        <w:rPr>
          <w:rFonts w:hint="eastAsia" w:cs="宋体"/>
          <w:color w:val="auto"/>
          <w:kern w:val="0"/>
          <w:szCs w:val="24"/>
        </w:rPr>
        <w:t>；胶囊：</w:t>
      </w:r>
      <w:r>
        <w:rPr>
          <w:rFonts w:cs="宋体"/>
          <w:color w:val="auto"/>
          <w:kern w:val="0"/>
          <w:szCs w:val="24"/>
        </w:rPr>
        <w:t>10 mg</w:t>
      </w:r>
      <w:r>
        <w:rPr>
          <w:rFonts w:hint="eastAsia" w:cs="宋体"/>
          <w:color w:val="auto"/>
          <w:kern w:val="0"/>
          <w:szCs w:val="24"/>
        </w:rPr>
        <w:t>，</w:t>
      </w:r>
      <w:r>
        <w:rPr>
          <w:rFonts w:cs="宋体"/>
          <w:color w:val="auto"/>
          <w:kern w:val="0"/>
          <w:szCs w:val="24"/>
        </w:rPr>
        <w:t>20 mg</w:t>
      </w:r>
      <w:r>
        <w:rPr>
          <w:rFonts w:hint="eastAsia" w:cs="宋体"/>
          <w:color w:val="auto"/>
          <w:kern w:val="0"/>
          <w:szCs w:val="24"/>
        </w:rPr>
        <w:t>；注射剂，</w:t>
      </w:r>
      <w:r>
        <w:rPr>
          <w:rFonts w:cs="宋体"/>
          <w:color w:val="auto"/>
          <w:kern w:val="0"/>
          <w:szCs w:val="24"/>
        </w:rPr>
        <w:t>20 mg</w:t>
      </w:r>
    </w:p>
    <w:p>
      <w:pPr>
        <w:spacing w:line="600" w:lineRule="exact"/>
        <w:ind w:firstLine="480"/>
        <w:rPr>
          <w:rFonts w:cs="宋体"/>
          <w:b/>
          <w:color w:val="auto"/>
          <w:kern w:val="0"/>
          <w:szCs w:val="24"/>
        </w:rPr>
      </w:pPr>
      <w:r>
        <w:rPr>
          <w:rFonts w:hint="eastAsia" w:cs="宋体"/>
          <w:b/>
          <w:color w:val="auto"/>
          <w:kern w:val="0"/>
          <w:szCs w:val="24"/>
        </w:rPr>
        <w:t>适应证：</w:t>
      </w:r>
    </w:p>
    <w:p>
      <w:pPr>
        <w:pStyle w:val="26"/>
        <w:numPr>
          <w:ilvl w:val="0"/>
          <w:numId w:val="17"/>
        </w:numPr>
        <w:spacing w:line="600" w:lineRule="exact"/>
        <w:ind w:firstLineChars="0"/>
        <w:rPr>
          <w:rFonts w:ascii="Times New Roman" w:hAnsi="Times New Roman" w:eastAsia="仿宋"/>
          <w:color w:val="auto"/>
          <w:sz w:val="32"/>
        </w:rPr>
      </w:pPr>
      <w:r>
        <w:rPr>
          <w:rFonts w:hint="eastAsia" w:ascii="楷体" w:hAnsi="楷体" w:eastAsia="楷体"/>
          <w:color w:val="auto"/>
          <w:sz w:val="32"/>
        </w:rPr>
        <w:t>口服：</w:t>
      </w:r>
      <w:r>
        <w:rPr>
          <w:rFonts w:ascii="Times New Roman" w:hAnsi="Times New Roman" w:eastAsia="仿宋"/>
          <w:color w:val="auto"/>
          <w:sz w:val="32"/>
        </w:rPr>
        <w:t xml:space="preserve">1. </w:t>
      </w:r>
      <w:r>
        <w:rPr>
          <w:rFonts w:hint="eastAsia" w:ascii="Times New Roman" w:hAnsi="Times New Roman" w:eastAsia="仿宋"/>
          <w:color w:val="auto"/>
          <w:sz w:val="32"/>
        </w:rPr>
        <w:t>胃溃疡；</w:t>
      </w:r>
      <w:r>
        <w:rPr>
          <w:rFonts w:ascii="Times New Roman" w:hAnsi="Times New Roman" w:eastAsia="仿宋"/>
          <w:color w:val="auto"/>
          <w:sz w:val="32"/>
        </w:rPr>
        <w:t xml:space="preserve">2. </w:t>
      </w:r>
      <w:r>
        <w:rPr>
          <w:rFonts w:hint="eastAsia" w:ascii="Times New Roman" w:hAnsi="Times New Roman" w:eastAsia="仿宋"/>
          <w:color w:val="auto"/>
          <w:sz w:val="32"/>
        </w:rPr>
        <w:t>十二指肠溃疡；</w:t>
      </w:r>
      <w:r>
        <w:rPr>
          <w:rFonts w:ascii="Times New Roman" w:hAnsi="Times New Roman" w:eastAsia="仿宋"/>
          <w:color w:val="auto"/>
          <w:sz w:val="32"/>
        </w:rPr>
        <w:t xml:space="preserve">3. </w:t>
      </w:r>
      <w:r>
        <w:rPr>
          <w:rFonts w:hint="eastAsia" w:ascii="Times New Roman" w:hAnsi="Times New Roman" w:eastAsia="仿宋"/>
          <w:color w:val="auto"/>
          <w:sz w:val="32"/>
        </w:rPr>
        <w:t>吻合口溃疡；</w:t>
      </w:r>
      <w:r>
        <w:rPr>
          <w:rFonts w:ascii="Times New Roman" w:hAnsi="Times New Roman" w:eastAsia="仿宋"/>
          <w:color w:val="auto"/>
          <w:sz w:val="32"/>
        </w:rPr>
        <w:t xml:space="preserve">4. </w:t>
      </w:r>
      <w:r>
        <w:rPr>
          <w:rFonts w:hint="eastAsia" w:ascii="Times New Roman" w:hAnsi="Times New Roman" w:eastAsia="仿宋"/>
          <w:color w:val="auto"/>
          <w:sz w:val="32"/>
        </w:rPr>
        <w:t>反流性食管炎；</w:t>
      </w:r>
      <w:r>
        <w:rPr>
          <w:rFonts w:ascii="Times New Roman" w:hAnsi="Times New Roman" w:eastAsia="仿宋"/>
          <w:color w:val="auto"/>
          <w:sz w:val="32"/>
        </w:rPr>
        <w:t xml:space="preserve">5. </w:t>
      </w:r>
      <w:r>
        <w:rPr>
          <w:rFonts w:hint="eastAsia" w:ascii="Times New Roman" w:hAnsi="Times New Roman" w:eastAsia="仿宋"/>
          <w:color w:val="auto"/>
          <w:sz w:val="32"/>
        </w:rPr>
        <w:t>卓</w:t>
      </w:r>
      <w:r>
        <w:rPr>
          <w:rFonts w:ascii="Times New Roman" w:hAnsi="Times New Roman" w:eastAsia="仿宋"/>
          <w:color w:val="auto"/>
          <w:sz w:val="32"/>
        </w:rPr>
        <w:t>-</w:t>
      </w:r>
      <w:r>
        <w:rPr>
          <w:rFonts w:hint="eastAsia" w:ascii="Times New Roman" w:hAnsi="Times New Roman" w:eastAsia="仿宋"/>
          <w:color w:val="auto"/>
          <w:sz w:val="32"/>
        </w:rPr>
        <w:t>艾综合征；</w:t>
      </w:r>
      <w:r>
        <w:rPr>
          <w:rFonts w:ascii="Times New Roman" w:hAnsi="Times New Roman" w:eastAsia="仿宋"/>
          <w:color w:val="auto"/>
          <w:sz w:val="32"/>
        </w:rPr>
        <w:t xml:space="preserve">6. </w:t>
      </w:r>
      <w:r>
        <w:rPr>
          <w:rFonts w:hint="eastAsia" w:ascii="Times New Roman" w:hAnsi="Times New Roman" w:eastAsia="仿宋"/>
          <w:color w:val="auto"/>
          <w:sz w:val="32"/>
        </w:rPr>
        <w:t>用于胃溃疡或十二指肠溃疡患者根除</w:t>
      </w:r>
      <w:r>
        <w:rPr>
          <w:rFonts w:ascii="Times New Roman" w:hAnsi="Times New Roman" w:eastAsia="仿宋"/>
          <w:i/>
          <w:color w:val="auto"/>
          <w:sz w:val="32"/>
        </w:rPr>
        <w:t>H.pylori</w:t>
      </w:r>
      <w:r>
        <w:rPr>
          <w:rFonts w:hint="eastAsia" w:ascii="Times New Roman" w:hAnsi="Times New Roman" w:eastAsia="仿宋"/>
          <w:color w:val="auto"/>
          <w:sz w:val="32"/>
        </w:rPr>
        <w:t>。</w:t>
      </w:r>
    </w:p>
    <w:p>
      <w:pPr>
        <w:pStyle w:val="26"/>
        <w:numPr>
          <w:ilvl w:val="0"/>
          <w:numId w:val="17"/>
        </w:numPr>
        <w:spacing w:line="600" w:lineRule="exact"/>
        <w:ind w:firstLineChars="0"/>
        <w:rPr>
          <w:rFonts w:ascii="Times New Roman" w:hAnsi="Times New Roman" w:eastAsia="仿宋"/>
          <w:color w:val="auto"/>
          <w:sz w:val="32"/>
        </w:rPr>
      </w:pPr>
      <w:r>
        <w:rPr>
          <w:rFonts w:hint="eastAsia" w:ascii="楷体" w:hAnsi="楷体" w:eastAsia="楷体"/>
          <w:color w:val="auto"/>
          <w:sz w:val="32"/>
        </w:rPr>
        <w:t>注射剂：</w:t>
      </w:r>
      <w:r>
        <w:rPr>
          <w:rFonts w:hint="eastAsia" w:ascii="Times New Roman" w:hAnsi="Times New Roman" w:eastAsia="仿宋"/>
          <w:color w:val="auto"/>
          <w:sz w:val="32"/>
        </w:rPr>
        <w:t>用于口服疗法不适用的胃、十二指肠溃疡出血。</w:t>
      </w:r>
    </w:p>
    <w:p>
      <w:pPr>
        <w:spacing w:line="600" w:lineRule="exact"/>
        <w:ind w:firstLine="480"/>
        <w:rPr>
          <w:rFonts w:cs="宋体"/>
          <w:b/>
          <w:color w:val="auto"/>
          <w:kern w:val="0"/>
          <w:szCs w:val="24"/>
        </w:rPr>
      </w:pPr>
      <w:r>
        <w:rPr>
          <w:rFonts w:hint="eastAsia" w:cs="宋体"/>
          <w:b/>
          <w:color w:val="auto"/>
          <w:kern w:val="0"/>
          <w:szCs w:val="24"/>
        </w:rPr>
        <w:t>合理用药要点：</w:t>
      </w:r>
    </w:p>
    <w:p>
      <w:pPr>
        <w:pStyle w:val="26"/>
        <w:numPr>
          <w:ilvl w:val="0"/>
          <w:numId w:val="1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肠溶衣片不能咀嚼或压碎，应整片吞服</w:t>
      </w:r>
      <w:r>
        <w:rPr>
          <w:rFonts w:hint="default" w:ascii="Times New Roman" w:hAnsi="Times New Roman" w:eastAsia="仿宋"/>
          <w:color w:val="auto"/>
          <w:sz w:val="32"/>
        </w:rPr>
        <w:t>；</w:t>
      </w:r>
    </w:p>
    <w:p>
      <w:pPr>
        <w:pStyle w:val="26"/>
        <w:numPr>
          <w:ilvl w:val="0"/>
          <w:numId w:val="1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注射剂仅供静脉滴注，疗程不超过</w:t>
      </w:r>
      <w:r>
        <w:rPr>
          <w:rFonts w:ascii="Times New Roman" w:hAnsi="Times New Roman" w:eastAsia="仿宋"/>
          <w:color w:val="auto"/>
          <w:sz w:val="32"/>
        </w:rPr>
        <w:t>5</w:t>
      </w:r>
      <w:r>
        <w:rPr>
          <w:rFonts w:hint="eastAsia" w:ascii="Times New Roman" w:hAnsi="Times New Roman" w:eastAsia="仿宋"/>
          <w:color w:val="auto"/>
          <w:sz w:val="32"/>
        </w:rPr>
        <w:t>天。一旦患者可以口服给药，应改为雷贝拉唑钠口服剂型给药</w:t>
      </w:r>
      <w:r>
        <w:rPr>
          <w:rFonts w:hint="default" w:ascii="Times New Roman" w:hAnsi="Times New Roman" w:eastAsia="仿宋"/>
          <w:color w:val="auto"/>
          <w:sz w:val="32"/>
        </w:rPr>
        <w:t>；</w:t>
      </w:r>
    </w:p>
    <w:p>
      <w:pPr>
        <w:pStyle w:val="26"/>
        <w:numPr>
          <w:ilvl w:val="0"/>
          <w:numId w:val="18"/>
        </w:numPr>
        <w:spacing w:line="600" w:lineRule="exact"/>
        <w:ind w:firstLineChars="0"/>
        <w:jc w:val="both"/>
        <w:rPr>
          <w:rFonts w:ascii="Times New Roman" w:hAnsi="Times New Roman" w:eastAsia="仿宋"/>
          <w:color w:val="auto"/>
          <w:sz w:val="32"/>
        </w:rPr>
      </w:pPr>
      <w:r>
        <w:rPr>
          <w:rFonts w:hint="eastAsia" w:ascii="Times New Roman" w:hAnsi="Times New Roman" w:eastAsia="仿宋"/>
          <w:color w:val="auto"/>
          <w:sz w:val="32"/>
        </w:rPr>
        <w:t>临用前以</w:t>
      </w:r>
      <w:r>
        <w:rPr>
          <w:rFonts w:ascii="Times New Roman" w:hAnsi="Times New Roman" w:eastAsia="仿宋"/>
          <w:color w:val="auto"/>
          <w:sz w:val="32"/>
        </w:rPr>
        <w:t>5 mL 0.9%</w:t>
      </w:r>
      <w:r>
        <w:rPr>
          <w:rFonts w:hint="eastAsia" w:ascii="Times New Roman" w:hAnsi="Times New Roman" w:eastAsia="仿宋"/>
          <w:color w:val="auto"/>
          <w:sz w:val="32"/>
        </w:rPr>
        <w:t>氯化钠注射液溶解，溶解后的药液加入</w:t>
      </w:r>
      <w:r>
        <w:rPr>
          <w:rFonts w:ascii="Times New Roman" w:hAnsi="Times New Roman" w:eastAsia="仿宋"/>
          <w:color w:val="auto"/>
          <w:sz w:val="32"/>
        </w:rPr>
        <w:t>100 mL 0.9%</w:t>
      </w:r>
      <w:r>
        <w:rPr>
          <w:rFonts w:hint="eastAsia" w:ascii="Times New Roman" w:hAnsi="Times New Roman" w:eastAsia="仿宋"/>
          <w:color w:val="auto"/>
          <w:sz w:val="32"/>
        </w:rPr>
        <w:t>氯化钠注射液中，稀释后供静脉滴注，静滴要求</w:t>
      </w:r>
      <w:r>
        <w:rPr>
          <w:rFonts w:ascii="Times New Roman" w:hAnsi="Times New Roman" w:eastAsia="仿宋"/>
          <w:color w:val="auto"/>
          <w:sz w:val="32"/>
        </w:rPr>
        <w:t xml:space="preserve">15~30 </w:t>
      </w:r>
      <w:r>
        <w:rPr>
          <w:rFonts w:hint="eastAsia" w:ascii="Times New Roman" w:hAnsi="Times New Roman" w:eastAsia="仿宋"/>
          <w:color w:val="auto"/>
          <w:sz w:val="32"/>
        </w:rPr>
        <w:t>分钟内完成</w:t>
      </w:r>
      <w:r>
        <w:rPr>
          <w:rFonts w:hint="default" w:ascii="Times New Roman" w:hAnsi="Times New Roman" w:eastAsia="仿宋"/>
          <w:color w:val="auto"/>
          <w:sz w:val="32"/>
        </w:rPr>
        <w:t>；</w:t>
      </w:r>
    </w:p>
    <w:p>
      <w:pPr>
        <w:pStyle w:val="26"/>
        <w:numPr>
          <w:ilvl w:val="0"/>
          <w:numId w:val="18"/>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配置后溶液保存时间：</w:t>
      </w:r>
      <w:r>
        <w:rPr>
          <w:rFonts w:ascii="Times New Roman" w:hAnsi="Times New Roman" w:eastAsia="仿宋"/>
          <w:color w:val="auto"/>
          <w:sz w:val="32"/>
        </w:rPr>
        <w:t>2</w:t>
      </w:r>
      <w:r>
        <w:rPr>
          <w:rFonts w:hint="eastAsia" w:ascii="Times New Roman" w:hAnsi="Times New Roman" w:eastAsia="仿宋"/>
          <w:color w:val="auto"/>
          <w:sz w:val="32"/>
        </w:rPr>
        <w:t>小时。</w:t>
      </w:r>
    </w:p>
    <w:p>
      <w:pPr>
        <w:pStyle w:val="4"/>
        <w:numPr>
          <w:ilvl w:val="0"/>
          <w:numId w:val="6"/>
        </w:numPr>
        <w:spacing w:line="600" w:lineRule="exact"/>
        <w:ind w:firstLine="643"/>
        <w:rPr>
          <w:b w:val="0"/>
          <w:bCs w:val="0"/>
          <w:color w:val="auto"/>
        </w:rPr>
      </w:pPr>
      <w:bookmarkStart w:id="32" w:name="_Toc535269741"/>
      <w:r>
        <w:rPr>
          <w:rFonts w:hint="eastAsia"/>
          <w:b w:val="0"/>
          <w:bCs w:val="0"/>
          <w:color w:val="auto"/>
        </w:rPr>
        <w:t>艾司奥美拉唑</w:t>
      </w:r>
      <w:bookmarkEnd w:id="32"/>
    </w:p>
    <w:p>
      <w:pPr>
        <w:spacing w:line="600" w:lineRule="exact"/>
        <w:ind w:firstLine="480"/>
        <w:rPr>
          <w:rFonts w:cs="宋体"/>
          <w:color w:val="auto"/>
          <w:kern w:val="0"/>
          <w:szCs w:val="24"/>
        </w:rPr>
      </w:pPr>
      <w:r>
        <w:rPr>
          <w:rFonts w:hint="eastAsia" w:cs="宋体"/>
          <w:b/>
          <w:color w:val="auto"/>
          <w:kern w:val="0"/>
          <w:szCs w:val="24"/>
        </w:rPr>
        <w:t>通用名：</w:t>
      </w:r>
      <w:r>
        <w:rPr>
          <w:rFonts w:hint="eastAsia" w:cs="宋体"/>
          <w:color w:val="auto"/>
          <w:kern w:val="0"/>
          <w:szCs w:val="24"/>
        </w:rPr>
        <w:t>艾司奥美拉唑</w:t>
      </w:r>
    </w:p>
    <w:p>
      <w:pPr>
        <w:spacing w:line="600" w:lineRule="exact"/>
        <w:ind w:firstLine="480"/>
        <w:rPr>
          <w:rFonts w:cs="宋体"/>
          <w:color w:val="auto"/>
          <w:kern w:val="0"/>
          <w:szCs w:val="24"/>
        </w:rPr>
      </w:pPr>
      <w:r>
        <w:rPr>
          <w:rFonts w:hint="eastAsia" w:cs="宋体"/>
          <w:b/>
          <w:color w:val="auto"/>
          <w:kern w:val="0"/>
          <w:szCs w:val="24"/>
        </w:rPr>
        <w:t>制剂与规格：</w:t>
      </w:r>
      <w:r>
        <w:rPr>
          <w:rFonts w:hint="eastAsia" w:cs="宋体"/>
          <w:color w:val="auto"/>
          <w:kern w:val="0"/>
          <w:szCs w:val="24"/>
        </w:rPr>
        <w:t>片剂：</w:t>
      </w:r>
      <w:r>
        <w:rPr>
          <w:rFonts w:cs="宋体"/>
          <w:color w:val="auto"/>
          <w:kern w:val="0"/>
          <w:szCs w:val="24"/>
        </w:rPr>
        <w:t>20 mg</w:t>
      </w:r>
      <w:r>
        <w:rPr>
          <w:rFonts w:hint="eastAsia" w:cs="宋体"/>
          <w:color w:val="auto"/>
          <w:kern w:val="0"/>
          <w:szCs w:val="24"/>
        </w:rPr>
        <w:t>，</w:t>
      </w:r>
      <w:r>
        <w:rPr>
          <w:rFonts w:cs="宋体"/>
          <w:color w:val="auto"/>
          <w:kern w:val="0"/>
          <w:szCs w:val="24"/>
        </w:rPr>
        <w:t>40 mg</w:t>
      </w:r>
      <w:r>
        <w:rPr>
          <w:rFonts w:hint="eastAsia" w:cs="宋体"/>
          <w:color w:val="auto"/>
          <w:kern w:val="0"/>
          <w:szCs w:val="24"/>
        </w:rPr>
        <w:t>；胶囊：</w:t>
      </w:r>
      <w:r>
        <w:rPr>
          <w:rFonts w:cs="宋体"/>
          <w:color w:val="auto"/>
          <w:kern w:val="0"/>
          <w:szCs w:val="24"/>
        </w:rPr>
        <w:t>20 mg</w:t>
      </w:r>
      <w:r>
        <w:rPr>
          <w:rFonts w:hint="eastAsia" w:cs="宋体"/>
          <w:color w:val="auto"/>
          <w:kern w:val="0"/>
          <w:szCs w:val="24"/>
        </w:rPr>
        <w:t>，</w:t>
      </w:r>
      <w:r>
        <w:rPr>
          <w:rFonts w:cs="宋体"/>
          <w:color w:val="auto"/>
          <w:kern w:val="0"/>
          <w:szCs w:val="24"/>
        </w:rPr>
        <w:t>40 mg</w:t>
      </w:r>
      <w:r>
        <w:rPr>
          <w:rFonts w:hint="eastAsia" w:cs="宋体"/>
          <w:color w:val="auto"/>
          <w:kern w:val="0"/>
          <w:szCs w:val="24"/>
        </w:rPr>
        <w:t>；注射剂：</w:t>
      </w:r>
      <w:r>
        <w:rPr>
          <w:rFonts w:cs="宋体"/>
          <w:color w:val="auto"/>
          <w:kern w:val="0"/>
          <w:szCs w:val="24"/>
        </w:rPr>
        <w:t>20 mg</w:t>
      </w:r>
      <w:r>
        <w:rPr>
          <w:rFonts w:hint="eastAsia" w:cs="宋体"/>
          <w:color w:val="auto"/>
          <w:kern w:val="0"/>
          <w:szCs w:val="24"/>
        </w:rPr>
        <w:t>，</w:t>
      </w:r>
      <w:r>
        <w:rPr>
          <w:rFonts w:cs="宋体"/>
          <w:color w:val="auto"/>
          <w:kern w:val="0"/>
          <w:szCs w:val="24"/>
        </w:rPr>
        <w:t>40 mg</w:t>
      </w:r>
    </w:p>
    <w:p>
      <w:pPr>
        <w:spacing w:line="600" w:lineRule="exact"/>
        <w:ind w:firstLine="480"/>
        <w:rPr>
          <w:rFonts w:cs="宋体"/>
          <w:b/>
          <w:color w:val="auto"/>
          <w:kern w:val="0"/>
          <w:szCs w:val="24"/>
        </w:rPr>
      </w:pPr>
      <w:r>
        <w:rPr>
          <w:rFonts w:hint="eastAsia" w:cs="宋体"/>
          <w:b/>
          <w:color w:val="auto"/>
          <w:kern w:val="0"/>
          <w:szCs w:val="24"/>
        </w:rPr>
        <w:t>适应证：</w:t>
      </w:r>
    </w:p>
    <w:p>
      <w:pPr>
        <w:pStyle w:val="26"/>
        <w:numPr>
          <w:ilvl w:val="0"/>
          <w:numId w:val="19"/>
        </w:numPr>
        <w:spacing w:line="600" w:lineRule="exact"/>
        <w:ind w:firstLineChars="0"/>
        <w:rPr>
          <w:rFonts w:ascii="楷体" w:hAnsi="楷体" w:eastAsia="楷体"/>
          <w:color w:val="auto"/>
          <w:sz w:val="32"/>
        </w:rPr>
      </w:pPr>
      <w:r>
        <w:rPr>
          <w:rFonts w:hint="eastAsia" w:ascii="楷体" w:hAnsi="楷体" w:eastAsia="楷体"/>
          <w:color w:val="auto"/>
          <w:sz w:val="32"/>
        </w:rPr>
        <w:t>口服：</w:t>
      </w:r>
    </w:p>
    <w:p>
      <w:pPr>
        <w:pStyle w:val="26"/>
        <w:numPr>
          <w:ilvl w:val="0"/>
          <w:numId w:val="20"/>
        </w:numPr>
        <w:spacing w:line="600" w:lineRule="exact"/>
        <w:ind w:firstLineChars="0"/>
        <w:rPr>
          <w:rFonts w:ascii="Times New Roman" w:hAnsi="Times New Roman" w:eastAsia="仿宋"/>
          <w:color w:val="auto"/>
          <w:sz w:val="32"/>
        </w:rPr>
      </w:pPr>
      <w:r>
        <w:rPr>
          <w:rFonts w:ascii="Times New Roman" w:hAnsi="Times New Roman" w:eastAsia="仿宋"/>
          <w:color w:val="auto"/>
          <w:sz w:val="32"/>
        </w:rPr>
        <w:t>GERD</w:t>
      </w:r>
      <w:r>
        <w:rPr>
          <w:rFonts w:hint="eastAsia" w:ascii="Times New Roman" w:hAnsi="Times New Roman" w:eastAsia="仿宋"/>
          <w:color w:val="auto"/>
          <w:sz w:val="32"/>
        </w:rPr>
        <w:t>：</w:t>
      </w:r>
      <w:r>
        <w:rPr>
          <w:rFonts w:ascii="Times New Roman" w:hAnsi="Times New Roman" w:eastAsia="仿宋"/>
          <w:color w:val="auto"/>
          <w:sz w:val="32"/>
        </w:rPr>
        <w:t xml:space="preserve">a. </w:t>
      </w:r>
      <w:r>
        <w:rPr>
          <w:rFonts w:hint="eastAsia" w:ascii="Times New Roman" w:hAnsi="Times New Roman" w:eastAsia="仿宋"/>
          <w:color w:val="auto"/>
          <w:sz w:val="32"/>
        </w:rPr>
        <w:t>反流性食管炎的治疗</w:t>
      </w:r>
      <w:r>
        <w:rPr>
          <w:rFonts w:ascii="Times New Roman" w:hAnsi="Times New Roman" w:eastAsia="仿宋"/>
          <w:color w:val="auto"/>
          <w:sz w:val="32"/>
        </w:rPr>
        <w:t xml:space="preserve">；b. </w:t>
      </w:r>
      <w:r>
        <w:rPr>
          <w:rFonts w:hint="eastAsia" w:ascii="Times New Roman" w:hAnsi="Times New Roman" w:eastAsia="仿宋"/>
          <w:color w:val="auto"/>
          <w:sz w:val="32"/>
        </w:rPr>
        <w:t>已经治愈的食管炎患者预防复发的长期治疗</w:t>
      </w:r>
      <w:r>
        <w:rPr>
          <w:rFonts w:ascii="Times New Roman" w:hAnsi="Times New Roman" w:eastAsia="仿宋"/>
          <w:color w:val="auto"/>
          <w:sz w:val="32"/>
        </w:rPr>
        <w:t>；c. GERD</w:t>
      </w:r>
      <w:r>
        <w:rPr>
          <w:rFonts w:hint="eastAsia" w:ascii="Times New Roman" w:hAnsi="Times New Roman" w:eastAsia="仿宋"/>
          <w:color w:val="auto"/>
          <w:sz w:val="32"/>
        </w:rPr>
        <w:t>的症状控制</w:t>
      </w:r>
      <w:r>
        <w:rPr>
          <w:rFonts w:hint="default" w:ascii="Times New Roman" w:hAnsi="Times New Roman" w:eastAsia="仿宋"/>
          <w:color w:val="auto"/>
          <w:sz w:val="32"/>
        </w:rPr>
        <w:t>；</w:t>
      </w:r>
    </w:p>
    <w:p>
      <w:pPr>
        <w:pStyle w:val="26"/>
        <w:numPr>
          <w:ilvl w:val="0"/>
          <w:numId w:val="20"/>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与适当的抗菌疗法联合用药根除</w:t>
      </w:r>
      <w:r>
        <w:rPr>
          <w:rFonts w:ascii="Times New Roman" w:hAnsi="Times New Roman" w:eastAsia="仿宋"/>
          <w:i/>
          <w:color w:val="auto"/>
          <w:sz w:val="32"/>
        </w:rPr>
        <w:t>H.pylori</w:t>
      </w:r>
      <w:r>
        <w:rPr>
          <w:rFonts w:hint="eastAsia" w:ascii="Times New Roman" w:hAnsi="Times New Roman" w:eastAsia="仿宋"/>
          <w:color w:val="auto"/>
          <w:sz w:val="32"/>
        </w:rPr>
        <w:t>，并且：</w:t>
      </w:r>
      <w:r>
        <w:rPr>
          <w:rFonts w:ascii="Times New Roman" w:hAnsi="Times New Roman" w:eastAsia="仿宋"/>
          <w:color w:val="auto"/>
          <w:sz w:val="32"/>
        </w:rPr>
        <w:t xml:space="preserve">a. </w:t>
      </w:r>
      <w:r>
        <w:rPr>
          <w:rFonts w:hint="eastAsia" w:ascii="Times New Roman" w:hAnsi="Times New Roman" w:eastAsia="仿宋"/>
          <w:color w:val="auto"/>
          <w:sz w:val="32"/>
        </w:rPr>
        <w:t>促进</w:t>
      </w:r>
      <w:r>
        <w:rPr>
          <w:rFonts w:ascii="Times New Roman" w:hAnsi="Times New Roman" w:eastAsia="仿宋"/>
          <w:i/>
          <w:color w:val="auto"/>
          <w:sz w:val="32"/>
        </w:rPr>
        <w:t>H.pylori</w:t>
      </w:r>
      <w:r>
        <w:rPr>
          <w:rFonts w:hint="eastAsia" w:ascii="Times New Roman" w:hAnsi="Times New Roman" w:eastAsia="仿宋"/>
          <w:color w:val="auto"/>
          <w:sz w:val="32"/>
        </w:rPr>
        <w:t>感染相关的十二指肠溃疡愈合</w:t>
      </w:r>
      <w:r>
        <w:rPr>
          <w:rFonts w:ascii="Times New Roman" w:hAnsi="Times New Roman" w:eastAsia="仿宋"/>
          <w:color w:val="auto"/>
          <w:sz w:val="32"/>
        </w:rPr>
        <w:t xml:space="preserve">；b. </w:t>
      </w:r>
      <w:r>
        <w:rPr>
          <w:rFonts w:hint="eastAsia" w:ascii="Times New Roman" w:hAnsi="Times New Roman" w:eastAsia="仿宋"/>
          <w:color w:val="auto"/>
          <w:sz w:val="32"/>
        </w:rPr>
        <w:t>防止与</w:t>
      </w:r>
      <w:r>
        <w:rPr>
          <w:rFonts w:ascii="Times New Roman" w:hAnsi="Times New Roman" w:eastAsia="仿宋"/>
          <w:i/>
          <w:color w:val="auto"/>
          <w:sz w:val="32"/>
        </w:rPr>
        <w:t>H.pylori</w:t>
      </w:r>
      <w:r>
        <w:rPr>
          <w:rFonts w:hint="eastAsia" w:ascii="Times New Roman" w:hAnsi="Times New Roman" w:eastAsia="仿宋"/>
          <w:color w:val="auto"/>
          <w:sz w:val="32"/>
        </w:rPr>
        <w:t>相关的消化性溃疡复发</w:t>
      </w:r>
      <w:r>
        <w:rPr>
          <w:rFonts w:hint="default" w:ascii="Times New Roman" w:hAnsi="Times New Roman" w:eastAsia="仿宋"/>
          <w:color w:val="auto"/>
          <w:sz w:val="32"/>
        </w:rPr>
        <w:t>；</w:t>
      </w:r>
    </w:p>
    <w:p>
      <w:pPr>
        <w:pStyle w:val="26"/>
        <w:numPr>
          <w:ilvl w:val="0"/>
          <w:numId w:val="20"/>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需要持续</w:t>
      </w:r>
      <w:r>
        <w:rPr>
          <w:rFonts w:ascii="Times New Roman" w:hAnsi="Times New Roman" w:eastAsia="仿宋"/>
          <w:color w:val="auto"/>
          <w:sz w:val="32"/>
        </w:rPr>
        <w:t>NSAIDs</w:t>
      </w:r>
      <w:r>
        <w:rPr>
          <w:rFonts w:hint="eastAsia" w:ascii="Times New Roman" w:hAnsi="Times New Roman" w:eastAsia="仿宋"/>
          <w:color w:val="auto"/>
          <w:sz w:val="32"/>
        </w:rPr>
        <w:t>治疗的患者：与使用</w:t>
      </w:r>
      <w:r>
        <w:rPr>
          <w:rFonts w:ascii="Times New Roman" w:hAnsi="Times New Roman" w:eastAsia="仿宋"/>
          <w:color w:val="auto"/>
          <w:sz w:val="32"/>
        </w:rPr>
        <w:t>NSAIDs</w:t>
      </w:r>
      <w:r>
        <w:rPr>
          <w:rFonts w:hint="eastAsia" w:ascii="Times New Roman" w:hAnsi="Times New Roman" w:eastAsia="仿宋"/>
          <w:color w:val="auto"/>
          <w:sz w:val="32"/>
        </w:rPr>
        <w:t>治疗相关的胃溃疡治疗。</w:t>
      </w:r>
    </w:p>
    <w:p>
      <w:pPr>
        <w:pStyle w:val="26"/>
        <w:numPr>
          <w:ilvl w:val="0"/>
          <w:numId w:val="19"/>
        </w:numPr>
        <w:spacing w:line="600" w:lineRule="exact"/>
        <w:ind w:firstLineChars="0"/>
        <w:rPr>
          <w:rFonts w:ascii="楷体" w:hAnsi="楷体" w:eastAsia="楷体"/>
          <w:color w:val="auto"/>
          <w:sz w:val="32"/>
        </w:rPr>
      </w:pPr>
      <w:r>
        <w:rPr>
          <w:rFonts w:hint="eastAsia" w:ascii="楷体" w:hAnsi="楷体" w:eastAsia="楷体"/>
          <w:color w:val="auto"/>
          <w:sz w:val="32"/>
        </w:rPr>
        <w:t>注射剂：</w:t>
      </w:r>
    </w:p>
    <w:p>
      <w:pPr>
        <w:pStyle w:val="26"/>
        <w:numPr>
          <w:ilvl w:val="0"/>
          <w:numId w:val="21"/>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作为当口服疗法不适用时，</w:t>
      </w:r>
      <w:r>
        <w:rPr>
          <w:rFonts w:ascii="Times New Roman" w:hAnsi="Times New Roman" w:eastAsia="仿宋"/>
          <w:color w:val="auto"/>
          <w:sz w:val="32"/>
        </w:rPr>
        <w:t>GERD</w:t>
      </w:r>
      <w:r>
        <w:rPr>
          <w:rFonts w:hint="eastAsia" w:ascii="Times New Roman" w:hAnsi="Times New Roman" w:eastAsia="仿宋"/>
          <w:color w:val="auto"/>
          <w:sz w:val="32"/>
        </w:rPr>
        <w:t>的替代疗法</w:t>
      </w:r>
      <w:r>
        <w:rPr>
          <w:rFonts w:hint="default" w:ascii="Times New Roman" w:hAnsi="Times New Roman" w:eastAsia="仿宋"/>
          <w:color w:val="auto"/>
          <w:sz w:val="32"/>
        </w:rPr>
        <w:t>；</w:t>
      </w:r>
    </w:p>
    <w:p>
      <w:pPr>
        <w:pStyle w:val="26"/>
        <w:numPr>
          <w:ilvl w:val="0"/>
          <w:numId w:val="21"/>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用于口服疗法不适用的急性胃或十二指肠溃疡出血的低危患者（胃镜下</w:t>
      </w:r>
      <w:r>
        <w:rPr>
          <w:rFonts w:ascii="Times New Roman" w:hAnsi="Times New Roman" w:eastAsia="仿宋"/>
          <w:color w:val="auto"/>
          <w:sz w:val="32"/>
        </w:rPr>
        <w:t>Forrest</w:t>
      </w:r>
      <w:r>
        <w:rPr>
          <w:rFonts w:hint="eastAsia" w:ascii="Times New Roman" w:hAnsi="Times New Roman" w:eastAsia="仿宋"/>
          <w:color w:val="auto"/>
          <w:sz w:val="32"/>
        </w:rPr>
        <w:t>分级</w:t>
      </w:r>
      <w:r>
        <w:rPr>
          <w:rFonts w:ascii="Times New Roman" w:hAnsi="Times New Roman" w:eastAsia="仿宋"/>
          <w:color w:val="auto"/>
          <w:sz w:val="32"/>
        </w:rPr>
        <w:t>llc-lll</w:t>
      </w:r>
      <w:r>
        <w:rPr>
          <w:rFonts w:hint="eastAsia" w:ascii="Times New Roman" w:hAnsi="Times New Roman" w:eastAsia="仿宋"/>
          <w:color w:val="auto"/>
          <w:sz w:val="32"/>
        </w:rPr>
        <w:t>）</w:t>
      </w:r>
      <w:r>
        <w:rPr>
          <w:rFonts w:hint="default" w:ascii="Times New Roman" w:hAnsi="Times New Roman" w:eastAsia="仿宋"/>
          <w:color w:val="auto"/>
          <w:sz w:val="32"/>
        </w:rPr>
        <w:t>；</w:t>
      </w:r>
    </w:p>
    <w:p>
      <w:pPr>
        <w:pStyle w:val="26"/>
        <w:numPr>
          <w:ilvl w:val="0"/>
          <w:numId w:val="21"/>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用于降低成人胃和十二指肠溃疡出血内镜治疗后再出血风险。</w:t>
      </w:r>
    </w:p>
    <w:p>
      <w:pPr>
        <w:spacing w:line="600" w:lineRule="exact"/>
        <w:ind w:firstLine="480"/>
        <w:rPr>
          <w:rFonts w:cs="宋体"/>
          <w:b/>
          <w:color w:val="auto"/>
          <w:kern w:val="0"/>
          <w:szCs w:val="24"/>
        </w:rPr>
      </w:pPr>
      <w:r>
        <w:rPr>
          <w:rFonts w:hint="eastAsia" w:cs="宋体"/>
          <w:b/>
          <w:color w:val="auto"/>
          <w:kern w:val="0"/>
          <w:szCs w:val="24"/>
        </w:rPr>
        <w:t>合理用药要点：</w:t>
      </w:r>
    </w:p>
    <w:p>
      <w:pPr>
        <w:pStyle w:val="26"/>
        <w:numPr>
          <w:ilvl w:val="0"/>
          <w:numId w:val="22"/>
        </w:numPr>
        <w:spacing w:line="600" w:lineRule="exact"/>
        <w:ind w:firstLineChars="0"/>
        <w:rPr>
          <w:rFonts w:ascii="楷体" w:hAnsi="楷体" w:eastAsia="楷体"/>
          <w:color w:val="auto"/>
          <w:sz w:val="32"/>
        </w:rPr>
      </w:pPr>
      <w:r>
        <w:rPr>
          <w:rFonts w:hint="eastAsia" w:ascii="楷体" w:hAnsi="楷体" w:eastAsia="楷体"/>
          <w:color w:val="auto"/>
          <w:sz w:val="32"/>
        </w:rPr>
        <w:t>口服：</w:t>
      </w:r>
    </w:p>
    <w:p>
      <w:pPr>
        <w:pStyle w:val="26"/>
        <w:numPr>
          <w:ilvl w:val="0"/>
          <w:numId w:val="2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药片应和液体一起整片吞服，而不应当咀嚼或压碎</w:t>
      </w:r>
      <w:r>
        <w:rPr>
          <w:rFonts w:hint="default" w:ascii="Times New Roman" w:hAnsi="Times New Roman" w:eastAsia="仿宋"/>
          <w:color w:val="auto"/>
          <w:sz w:val="32"/>
        </w:rPr>
        <w:t>；</w:t>
      </w:r>
    </w:p>
    <w:p>
      <w:pPr>
        <w:pStyle w:val="26"/>
        <w:numPr>
          <w:ilvl w:val="0"/>
          <w:numId w:val="2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对于存在吞咽困难的患者，可将片剂溶于半杯不含碳酸盐的水中（不应使用其他液体，因肠溶包衣可能被溶解），搅拌，直至片剂完全崩解，立即或在</w:t>
      </w:r>
      <w:r>
        <w:rPr>
          <w:rFonts w:ascii="Times New Roman" w:hAnsi="Times New Roman" w:eastAsia="仿宋"/>
          <w:color w:val="auto"/>
          <w:sz w:val="32"/>
        </w:rPr>
        <w:t>30</w:t>
      </w:r>
      <w:r>
        <w:rPr>
          <w:rFonts w:hint="eastAsia" w:ascii="Times New Roman" w:hAnsi="Times New Roman" w:eastAsia="仿宋"/>
          <w:color w:val="auto"/>
          <w:sz w:val="32"/>
        </w:rPr>
        <w:t>分钟内服用，再加入半杯水漂洗后饮用。微丸决不应被嚼碎或压破</w:t>
      </w:r>
      <w:r>
        <w:rPr>
          <w:rFonts w:hint="default" w:ascii="Times New Roman" w:hAnsi="Times New Roman" w:eastAsia="仿宋"/>
          <w:color w:val="auto"/>
          <w:sz w:val="32"/>
        </w:rPr>
        <w:t>；</w:t>
      </w:r>
    </w:p>
    <w:p>
      <w:pPr>
        <w:pStyle w:val="26"/>
        <w:numPr>
          <w:ilvl w:val="0"/>
          <w:numId w:val="23"/>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对于不能吞咽的患者，可将片剂溶于不含碳酸盐的水中，并通过胃管给药。应仔细检查选择的注射器和胃管的合适程度。</w:t>
      </w:r>
    </w:p>
    <w:p>
      <w:pPr>
        <w:pStyle w:val="26"/>
        <w:numPr>
          <w:ilvl w:val="0"/>
          <w:numId w:val="22"/>
        </w:numPr>
        <w:spacing w:line="600" w:lineRule="exact"/>
        <w:ind w:firstLineChars="0"/>
        <w:rPr>
          <w:rFonts w:ascii="楷体" w:hAnsi="楷体" w:eastAsia="楷体"/>
          <w:color w:val="auto"/>
          <w:sz w:val="32"/>
        </w:rPr>
      </w:pPr>
      <w:r>
        <w:rPr>
          <w:rFonts w:hint="eastAsia" w:ascii="楷体" w:hAnsi="楷体" w:eastAsia="楷体"/>
          <w:color w:val="auto"/>
          <w:sz w:val="32"/>
        </w:rPr>
        <w:t>注射剂：</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对于不能口服用药的</w:t>
      </w:r>
      <w:r>
        <w:rPr>
          <w:rFonts w:ascii="Times New Roman" w:hAnsi="Times New Roman" w:eastAsia="仿宋"/>
          <w:color w:val="auto"/>
          <w:sz w:val="32"/>
        </w:rPr>
        <w:t>GERD</w:t>
      </w:r>
      <w:r>
        <w:rPr>
          <w:rFonts w:hint="eastAsia" w:ascii="Times New Roman" w:hAnsi="Times New Roman" w:eastAsia="仿宋"/>
          <w:color w:val="auto"/>
          <w:sz w:val="32"/>
        </w:rPr>
        <w:t>患者，应短期用药（不超过</w:t>
      </w:r>
      <w:r>
        <w:rPr>
          <w:rFonts w:ascii="Times New Roman" w:hAnsi="Times New Roman" w:eastAsia="仿宋"/>
          <w:color w:val="auto"/>
          <w:sz w:val="32"/>
        </w:rPr>
        <w:t>7</w:t>
      </w:r>
      <w:r>
        <w:rPr>
          <w:rFonts w:hint="eastAsia" w:ascii="Times New Roman" w:hAnsi="Times New Roman" w:eastAsia="仿宋"/>
          <w:color w:val="auto"/>
          <w:sz w:val="32"/>
        </w:rPr>
        <w:t>天），一旦可能，就应转为口服治疗</w:t>
      </w:r>
      <w:r>
        <w:rPr>
          <w:rFonts w:hint="default" w:ascii="Times New Roman" w:hAnsi="Times New Roman" w:eastAsia="仿宋"/>
          <w:color w:val="auto"/>
          <w:sz w:val="32"/>
        </w:rPr>
        <w:t>；</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对于不能口服用药的</w:t>
      </w:r>
      <w:r>
        <w:rPr>
          <w:rFonts w:ascii="Times New Roman" w:hAnsi="Times New Roman" w:eastAsia="仿宋"/>
          <w:color w:val="auto"/>
          <w:sz w:val="32"/>
        </w:rPr>
        <w:t>Forrest</w:t>
      </w:r>
      <w:r>
        <w:rPr>
          <w:rFonts w:hint="eastAsia" w:ascii="Times New Roman" w:hAnsi="Times New Roman" w:eastAsia="仿宋"/>
          <w:color w:val="auto"/>
          <w:sz w:val="32"/>
        </w:rPr>
        <w:t>分级</w:t>
      </w:r>
      <w:r>
        <w:rPr>
          <w:rFonts w:ascii="Times New Roman" w:hAnsi="Times New Roman" w:eastAsia="仿宋"/>
          <w:color w:val="auto"/>
          <w:sz w:val="32"/>
        </w:rPr>
        <w:t>llc-lll</w:t>
      </w:r>
      <w:r>
        <w:rPr>
          <w:rFonts w:hint="eastAsia" w:ascii="Times New Roman" w:hAnsi="Times New Roman" w:eastAsia="仿宋"/>
          <w:color w:val="auto"/>
          <w:sz w:val="32"/>
        </w:rPr>
        <w:t>的急性胃或十二指肠溃疡出血患者，推荐静脉滴注本品</w:t>
      </w:r>
      <w:r>
        <w:rPr>
          <w:rFonts w:ascii="Times New Roman" w:hAnsi="Times New Roman" w:eastAsia="仿宋"/>
          <w:color w:val="auto"/>
          <w:sz w:val="32"/>
        </w:rPr>
        <w:t>40 mg</w:t>
      </w:r>
      <w:r>
        <w:rPr>
          <w:rFonts w:hint="eastAsia" w:ascii="Times New Roman" w:hAnsi="Times New Roman" w:eastAsia="仿宋"/>
          <w:color w:val="auto"/>
          <w:sz w:val="32"/>
        </w:rPr>
        <w:t>，每</w:t>
      </w:r>
      <w:r>
        <w:rPr>
          <w:rFonts w:ascii="Times New Roman" w:hAnsi="Times New Roman" w:eastAsia="仿宋"/>
          <w:color w:val="auto"/>
          <w:sz w:val="32"/>
        </w:rPr>
        <w:t>12</w:t>
      </w:r>
      <w:r>
        <w:rPr>
          <w:rFonts w:hint="eastAsia" w:ascii="Times New Roman" w:hAnsi="Times New Roman" w:eastAsia="仿宋"/>
          <w:color w:val="auto"/>
          <w:sz w:val="32"/>
        </w:rPr>
        <w:t>小时一次，用药</w:t>
      </w:r>
      <w:r>
        <w:rPr>
          <w:rFonts w:ascii="Times New Roman" w:hAnsi="Times New Roman" w:eastAsia="仿宋"/>
          <w:color w:val="auto"/>
          <w:sz w:val="32"/>
        </w:rPr>
        <w:t>5</w:t>
      </w:r>
      <w:r>
        <w:rPr>
          <w:rFonts w:hint="eastAsia" w:ascii="Times New Roman" w:hAnsi="Times New Roman" w:eastAsia="仿宋"/>
          <w:color w:val="auto"/>
          <w:sz w:val="32"/>
        </w:rPr>
        <w:t>天</w:t>
      </w:r>
      <w:r>
        <w:rPr>
          <w:rFonts w:hint="default" w:ascii="Times New Roman" w:hAnsi="Times New Roman" w:eastAsia="仿宋"/>
          <w:color w:val="auto"/>
          <w:sz w:val="32"/>
        </w:rPr>
        <w:t>；</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经内镜治疗胃及十二指肠溃疡急性出血后，应给予患者</w:t>
      </w:r>
      <w:r>
        <w:rPr>
          <w:rFonts w:ascii="Times New Roman" w:hAnsi="Times New Roman" w:eastAsia="仿宋"/>
          <w:color w:val="auto"/>
          <w:sz w:val="32"/>
        </w:rPr>
        <w:t>80 mg</w:t>
      </w:r>
      <w:r>
        <w:rPr>
          <w:rFonts w:hint="eastAsia" w:ascii="Times New Roman" w:hAnsi="Times New Roman" w:eastAsia="仿宋"/>
          <w:color w:val="auto"/>
          <w:sz w:val="32"/>
        </w:rPr>
        <w:t>艾司奥美拉唑静脉注射，持续时间</w:t>
      </w:r>
      <w:r>
        <w:rPr>
          <w:rFonts w:ascii="Times New Roman" w:hAnsi="Times New Roman" w:eastAsia="仿宋"/>
          <w:color w:val="auto"/>
          <w:sz w:val="32"/>
        </w:rPr>
        <w:t>30</w:t>
      </w:r>
      <w:r>
        <w:rPr>
          <w:rFonts w:hint="eastAsia" w:ascii="Times New Roman" w:hAnsi="Times New Roman" w:eastAsia="仿宋"/>
          <w:color w:val="auto"/>
          <w:sz w:val="32"/>
        </w:rPr>
        <w:t>分钟，然后持续静脉滴注</w:t>
      </w:r>
      <w:r>
        <w:rPr>
          <w:rFonts w:ascii="Times New Roman" w:hAnsi="Times New Roman" w:eastAsia="仿宋"/>
          <w:color w:val="auto"/>
          <w:sz w:val="32"/>
        </w:rPr>
        <w:t xml:space="preserve">8 mg/h </w:t>
      </w:r>
      <w:r>
        <w:rPr>
          <w:rFonts w:hint="eastAsia" w:ascii="Times New Roman" w:hAnsi="Times New Roman" w:eastAsia="仿宋"/>
          <w:color w:val="auto"/>
          <w:sz w:val="32"/>
        </w:rPr>
        <w:t>维持</w:t>
      </w:r>
      <w:r>
        <w:rPr>
          <w:rFonts w:ascii="Times New Roman" w:hAnsi="Times New Roman" w:eastAsia="仿宋"/>
          <w:color w:val="auto"/>
          <w:sz w:val="32"/>
        </w:rPr>
        <w:t>71.5</w:t>
      </w:r>
      <w:r>
        <w:rPr>
          <w:rFonts w:hint="eastAsia" w:ascii="Times New Roman" w:hAnsi="Times New Roman" w:eastAsia="仿宋"/>
          <w:color w:val="auto"/>
          <w:sz w:val="32"/>
        </w:rPr>
        <w:t>小时</w:t>
      </w:r>
      <w:r>
        <w:rPr>
          <w:rFonts w:hint="default" w:ascii="Times New Roman" w:hAnsi="Times New Roman" w:eastAsia="仿宋"/>
          <w:color w:val="auto"/>
          <w:sz w:val="32"/>
        </w:rPr>
        <w:t>；</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注射液的制备是通过加入</w:t>
      </w:r>
      <w:r>
        <w:rPr>
          <w:rFonts w:ascii="Times New Roman" w:hAnsi="Times New Roman" w:eastAsia="仿宋"/>
          <w:color w:val="auto"/>
          <w:sz w:val="32"/>
        </w:rPr>
        <w:t>5 mL</w:t>
      </w:r>
      <w:r>
        <w:rPr>
          <w:rFonts w:hint="eastAsia" w:ascii="Times New Roman" w:hAnsi="Times New Roman" w:eastAsia="仿宋"/>
          <w:color w:val="auto"/>
          <w:sz w:val="32"/>
        </w:rPr>
        <w:t>的</w:t>
      </w:r>
      <w:r>
        <w:rPr>
          <w:rFonts w:ascii="Times New Roman" w:hAnsi="Times New Roman" w:eastAsia="仿宋"/>
          <w:color w:val="auto"/>
          <w:sz w:val="32"/>
        </w:rPr>
        <w:t>0.9%</w:t>
      </w:r>
      <w:r>
        <w:rPr>
          <w:rFonts w:hint="eastAsia" w:ascii="Times New Roman" w:hAnsi="Times New Roman" w:eastAsia="仿宋"/>
          <w:color w:val="auto"/>
          <w:sz w:val="32"/>
        </w:rPr>
        <w:t>氯化钠注射液至本品小瓶中供静脉注射使用，静脉注射时间应至少在</w:t>
      </w:r>
      <w:r>
        <w:rPr>
          <w:rFonts w:ascii="Times New Roman" w:hAnsi="Times New Roman" w:eastAsia="仿宋"/>
          <w:color w:val="auto"/>
          <w:sz w:val="32"/>
        </w:rPr>
        <w:t>3</w:t>
      </w:r>
      <w:r>
        <w:rPr>
          <w:rFonts w:hint="eastAsia" w:ascii="Times New Roman" w:hAnsi="Times New Roman" w:eastAsia="仿宋"/>
          <w:color w:val="auto"/>
          <w:sz w:val="32"/>
        </w:rPr>
        <w:t>分钟以上</w:t>
      </w:r>
      <w:r>
        <w:rPr>
          <w:rFonts w:hint="default" w:ascii="Times New Roman" w:hAnsi="Times New Roman" w:eastAsia="仿宋"/>
          <w:color w:val="auto"/>
          <w:sz w:val="32"/>
        </w:rPr>
        <w:t>；</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滴注液的制备是溶解至</w:t>
      </w:r>
      <w:r>
        <w:rPr>
          <w:rFonts w:ascii="Times New Roman" w:hAnsi="Times New Roman" w:eastAsia="仿宋"/>
          <w:color w:val="auto"/>
          <w:sz w:val="32"/>
        </w:rPr>
        <w:t>100 mL 0.9%</w:t>
      </w:r>
      <w:r>
        <w:rPr>
          <w:rFonts w:hint="eastAsia" w:ascii="Times New Roman" w:hAnsi="Times New Roman" w:eastAsia="仿宋"/>
          <w:color w:val="auto"/>
          <w:sz w:val="32"/>
        </w:rPr>
        <w:t>氯化钠注射液中，供静脉滴注使用，静脉滴注时间应在</w:t>
      </w:r>
      <w:r>
        <w:rPr>
          <w:rFonts w:ascii="Times New Roman" w:hAnsi="Times New Roman" w:eastAsia="仿宋"/>
          <w:color w:val="auto"/>
          <w:sz w:val="32"/>
        </w:rPr>
        <w:t>10~30</w:t>
      </w:r>
      <w:r>
        <w:rPr>
          <w:rFonts w:hint="eastAsia" w:ascii="Times New Roman" w:hAnsi="Times New Roman" w:eastAsia="仿宋"/>
          <w:color w:val="auto"/>
          <w:sz w:val="32"/>
        </w:rPr>
        <w:t>分钟</w:t>
      </w:r>
      <w:r>
        <w:rPr>
          <w:rFonts w:hint="default" w:ascii="Times New Roman" w:hAnsi="Times New Roman" w:eastAsia="仿宋"/>
          <w:color w:val="auto"/>
          <w:sz w:val="32"/>
        </w:rPr>
        <w:t>；</w:t>
      </w:r>
    </w:p>
    <w:p>
      <w:pPr>
        <w:pStyle w:val="26"/>
        <w:numPr>
          <w:ilvl w:val="0"/>
          <w:numId w:val="24"/>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配置后溶液保存时间：</w:t>
      </w:r>
      <w:r>
        <w:rPr>
          <w:rFonts w:ascii="Times New Roman" w:hAnsi="Times New Roman" w:eastAsia="仿宋"/>
          <w:color w:val="auto"/>
          <w:sz w:val="32"/>
        </w:rPr>
        <w:t>12</w:t>
      </w:r>
      <w:r>
        <w:rPr>
          <w:rFonts w:hint="eastAsia" w:ascii="Times New Roman" w:hAnsi="Times New Roman" w:eastAsia="仿宋"/>
          <w:color w:val="auto"/>
          <w:sz w:val="32"/>
        </w:rPr>
        <w:t>小时，保存在30℃以下</w:t>
      </w:r>
      <w:r>
        <w:rPr>
          <w:rFonts w:ascii="Times New Roman" w:hAnsi="Times New Roman" w:eastAsia="仿宋"/>
          <w:color w:val="auto"/>
          <w:sz w:val="32"/>
        </w:rPr>
        <w:t>。</w:t>
      </w:r>
    </w:p>
    <w:p>
      <w:pPr>
        <w:pStyle w:val="4"/>
        <w:numPr>
          <w:ilvl w:val="0"/>
          <w:numId w:val="6"/>
        </w:numPr>
        <w:spacing w:line="600" w:lineRule="exact"/>
        <w:ind w:firstLine="643"/>
        <w:rPr>
          <w:b w:val="0"/>
          <w:bCs w:val="0"/>
          <w:color w:val="auto"/>
        </w:rPr>
      </w:pPr>
      <w:bookmarkStart w:id="33" w:name="_Toc535269742"/>
      <w:r>
        <w:rPr>
          <w:rFonts w:hint="eastAsia"/>
          <w:b w:val="0"/>
          <w:bCs w:val="0"/>
          <w:color w:val="auto"/>
        </w:rPr>
        <w:t>艾普拉唑</w:t>
      </w:r>
      <w:bookmarkEnd w:id="33"/>
    </w:p>
    <w:p>
      <w:pPr>
        <w:spacing w:line="600" w:lineRule="exact"/>
        <w:ind w:firstLine="480"/>
        <w:rPr>
          <w:color w:val="auto"/>
        </w:rPr>
      </w:pPr>
      <w:r>
        <w:rPr>
          <w:rFonts w:hint="eastAsia"/>
          <w:b/>
          <w:color w:val="auto"/>
        </w:rPr>
        <w:t>通用名：</w:t>
      </w:r>
      <w:r>
        <w:rPr>
          <w:rFonts w:hint="eastAsia"/>
          <w:color w:val="auto"/>
        </w:rPr>
        <w:t>艾普拉唑</w:t>
      </w:r>
    </w:p>
    <w:p>
      <w:pPr>
        <w:spacing w:line="600" w:lineRule="exact"/>
        <w:ind w:firstLine="480"/>
        <w:rPr>
          <w:color w:val="auto"/>
        </w:rPr>
      </w:pPr>
      <w:r>
        <w:rPr>
          <w:rFonts w:hint="eastAsia"/>
          <w:b/>
          <w:color w:val="auto"/>
        </w:rPr>
        <w:t>制剂与规格：</w:t>
      </w:r>
      <w:r>
        <w:rPr>
          <w:rFonts w:hint="eastAsia"/>
          <w:color w:val="auto"/>
        </w:rPr>
        <w:t>片剂：</w:t>
      </w:r>
      <w:r>
        <w:rPr>
          <w:color w:val="auto"/>
        </w:rPr>
        <w:t>5 mg</w:t>
      </w:r>
      <w:r>
        <w:rPr>
          <w:rFonts w:hint="eastAsia"/>
          <w:color w:val="auto"/>
        </w:rPr>
        <w:t>；注射剂：</w:t>
      </w:r>
      <w:r>
        <w:rPr>
          <w:color w:val="auto"/>
        </w:rPr>
        <w:t>10 mg</w:t>
      </w:r>
    </w:p>
    <w:p>
      <w:pPr>
        <w:spacing w:line="600" w:lineRule="exact"/>
        <w:ind w:firstLine="480"/>
        <w:rPr>
          <w:b/>
          <w:color w:val="auto"/>
        </w:rPr>
      </w:pPr>
      <w:r>
        <w:rPr>
          <w:rFonts w:hint="eastAsia"/>
          <w:b/>
          <w:color w:val="auto"/>
        </w:rPr>
        <w:t>适应证：</w:t>
      </w:r>
    </w:p>
    <w:p>
      <w:pPr>
        <w:pStyle w:val="26"/>
        <w:numPr>
          <w:ilvl w:val="0"/>
          <w:numId w:val="25"/>
        </w:numPr>
        <w:spacing w:line="600" w:lineRule="exact"/>
        <w:ind w:firstLineChars="0"/>
        <w:rPr>
          <w:rFonts w:ascii="Times New Roman" w:hAnsi="Times New Roman" w:eastAsia="仿宋"/>
          <w:color w:val="auto"/>
          <w:sz w:val="32"/>
        </w:rPr>
      </w:pPr>
      <w:r>
        <w:rPr>
          <w:rFonts w:hint="eastAsia" w:ascii="楷体" w:hAnsi="楷体" w:eastAsia="楷体"/>
          <w:color w:val="auto"/>
          <w:sz w:val="32"/>
        </w:rPr>
        <w:t>口服：</w:t>
      </w:r>
      <w:r>
        <w:rPr>
          <w:rFonts w:hint="eastAsia" w:ascii="Times New Roman" w:hAnsi="Times New Roman" w:eastAsia="仿宋"/>
          <w:color w:val="auto"/>
          <w:sz w:val="32"/>
        </w:rPr>
        <w:t>十二指肠溃疡及反流性食管炎。</w:t>
      </w:r>
    </w:p>
    <w:p>
      <w:pPr>
        <w:pStyle w:val="26"/>
        <w:numPr>
          <w:ilvl w:val="0"/>
          <w:numId w:val="25"/>
        </w:numPr>
        <w:spacing w:line="600" w:lineRule="exact"/>
        <w:ind w:firstLineChars="0"/>
        <w:rPr>
          <w:rFonts w:ascii="Times New Roman" w:hAnsi="Times New Roman" w:eastAsia="仿宋"/>
          <w:color w:val="auto"/>
          <w:sz w:val="32"/>
        </w:rPr>
      </w:pPr>
      <w:r>
        <w:rPr>
          <w:rFonts w:hint="eastAsia" w:ascii="楷体" w:hAnsi="楷体" w:eastAsia="楷体"/>
          <w:color w:val="auto"/>
          <w:sz w:val="32"/>
        </w:rPr>
        <w:t>注射剂：</w:t>
      </w:r>
      <w:r>
        <w:rPr>
          <w:rFonts w:hint="eastAsia" w:ascii="Times New Roman" w:hAnsi="Times New Roman" w:eastAsia="仿宋"/>
          <w:color w:val="auto"/>
          <w:sz w:val="32"/>
        </w:rPr>
        <w:t>消化性溃疡出血。</w:t>
      </w:r>
    </w:p>
    <w:p>
      <w:pPr>
        <w:spacing w:line="600" w:lineRule="exact"/>
        <w:ind w:firstLine="480"/>
        <w:rPr>
          <w:b/>
          <w:color w:val="auto"/>
        </w:rPr>
      </w:pPr>
      <w:r>
        <w:rPr>
          <w:rFonts w:hint="eastAsia"/>
          <w:b/>
          <w:color w:val="auto"/>
        </w:rPr>
        <w:t>合理用药要点：</w:t>
      </w:r>
    </w:p>
    <w:p>
      <w:pPr>
        <w:pStyle w:val="26"/>
        <w:numPr>
          <w:ilvl w:val="0"/>
          <w:numId w:val="26"/>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片剂不能咀嚼或压碎，应整片吞服</w:t>
      </w:r>
      <w:r>
        <w:rPr>
          <w:rFonts w:hint="default" w:ascii="Times New Roman" w:hAnsi="Times New Roman" w:eastAsia="仿宋"/>
          <w:color w:val="auto"/>
          <w:sz w:val="32"/>
        </w:rPr>
        <w:t>；</w:t>
      </w:r>
    </w:p>
    <w:p>
      <w:pPr>
        <w:pStyle w:val="26"/>
        <w:numPr>
          <w:ilvl w:val="0"/>
          <w:numId w:val="26"/>
        </w:numPr>
        <w:spacing w:line="600" w:lineRule="exact"/>
        <w:ind w:firstLineChars="0"/>
        <w:jc w:val="both"/>
        <w:rPr>
          <w:rFonts w:ascii="Times New Roman" w:hAnsi="Times New Roman" w:eastAsia="仿宋" w:cstheme="minorBidi"/>
          <w:color w:val="auto"/>
          <w:kern w:val="2"/>
          <w:sz w:val="32"/>
          <w:szCs w:val="22"/>
        </w:rPr>
      </w:pPr>
      <w:r>
        <w:rPr>
          <w:rFonts w:hint="eastAsia" w:ascii="Times New Roman" w:hAnsi="Times New Roman" w:eastAsia="仿宋"/>
          <w:color w:val="auto"/>
          <w:sz w:val="32"/>
        </w:rPr>
        <w:t>注射剂仅供静脉滴注。起始剂量</w:t>
      </w:r>
      <w:r>
        <w:rPr>
          <w:rFonts w:ascii="Times New Roman" w:hAnsi="Times New Roman" w:eastAsia="仿宋"/>
          <w:color w:val="auto"/>
          <w:sz w:val="32"/>
        </w:rPr>
        <w:t>20 mg</w:t>
      </w:r>
      <w:r>
        <w:rPr>
          <w:rFonts w:hint="eastAsia" w:ascii="Times New Roman" w:hAnsi="Times New Roman" w:eastAsia="仿宋"/>
          <w:color w:val="auto"/>
          <w:sz w:val="32"/>
        </w:rPr>
        <w:t>，后续每次</w:t>
      </w:r>
      <w:r>
        <w:rPr>
          <w:rFonts w:ascii="Times New Roman" w:hAnsi="Times New Roman" w:eastAsia="仿宋"/>
          <w:color w:val="auto"/>
          <w:sz w:val="32"/>
        </w:rPr>
        <w:t>10 mg</w:t>
      </w:r>
      <w:r>
        <w:rPr>
          <w:rFonts w:hint="eastAsia" w:ascii="Times New Roman" w:hAnsi="Times New Roman" w:eastAsia="仿宋"/>
          <w:color w:val="auto"/>
          <w:sz w:val="32"/>
        </w:rPr>
        <w:t>，每日一次，连续</w:t>
      </w:r>
      <w:r>
        <w:rPr>
          <w:rFonts w:ascii="Times New Roman" w:hAnsi="Times New Roman" w:eastAsia="仿宋"/>
          <w:color w:val="auto"/>
          <w:sz w:val="32"/>
        </w:rPr>
        <w:t>3</w:t>
      </w:r>
      <w:r>
        <w:rPr>
          <w:rFonts w:hint="eastAsia" w:ascii="Times New Roman" w:hAnsi="Times New Roman" w:eastAsia="仿宋"/>
          <w:color w:val="auto"/>
          <w:sz w:val="32"/>
        </w:rPr>
        <w:t>天。疗程结束后，可根据情况改为口服治疗</w:t>
      </w:r>
      <w:r>
        <w:rPr>
          <w:rFonts w:hint="default" w:ascii="Times New Roman" w:hAnsi="Times New Roman" w:eastAsia="仿宋"/>
          <w:color w:val="auto"/>
          <w:sz w:val="32"/>
        </w:rPr>
        <w:t>；</w:t>
      </w:r>
    </w:p>
    <w:p>
      <w:pPr>
        <w:pStyle w:val="26"/>
        <w:numPr>
          <w:ilvl w:val="0"/>
          <w:numId w:val="26"/>
        </w:numPr>
        <w:spacing w:line="600" w:lineRule="exact"/>
        <w:ind w:firstLineChars="0"/>
        <w:rPr>
          <w:rFonts w:ascii="Times New Roman" w:hAnsi="Times New Roman" w:eastAsia="仿宋" w:cstheme="minorBidi"/>
          <w:color w:val="auto"/>
          <w:kern w:val="2"/>
          <w:sz w:val="32"/>
          <w:szCs w:val="22"/>
        </w:rPr>
      </w:pPr>
      <w:r>
        <w:rPr>
          <w:rFonts w:hint="eastAsia" w:ascii="Times New Roman" w:hAnsi="Times New Roman" w:eastAsia="仿宋"/>
          <w:color w:val="auto"/>
          <w:sz w:val="32"/>
        </w:rPr>
        <w:t>注射剂</w:t>
      </w:r>
      <w:r>
        <w:rPr>
          <w:rFonts w:ascii="Times New Roman" w:hAnsi="Times New Roman" w:eastAsia="仿宋"/>
          <w:color w:val="auto"/>
          <w:sz w:val="32"/>
        </w:rPr>
        <w:t>10 mg</w:t>
      </w:r>
      <w:r>
        <w:rPr>
          <w:rFonts w:hint="eastAsia" w:ascii="Times New Roman" w:hAnsi="Times New Roman" w:eastAsia="仿宋"/>
          <w:color w:val="auto"/>
          <w:sz w:val="32"/>
        </w:rPr>
        <w:t>完全溶解于</w:t>
      </w:r>
      <w:r>
        <w:rPr>
          <w:rFonts w:ascii="Times New Roman" w:hAnsi="Times New Roman" w:eastAsia="仿宋"/>
          <w:color w:val="auto"/>
          <w:sz w:val="32"/>
        </w:rPr>
        <w:t>100 mL 0.9</w:t>
      </w:r>
      <w:r>
        <w:rPr>
          <w:rFonts w:hint="eastAsia" w:ascii="Times New Roman" w:hAnsi="Times New Roman" w:eastAsia="仿宋"/>
          <w:color w:val="auto"/>
          <w:sz w:val="32"/>
        </w:rPr>
        <w:t>％氯化钠注射液中，用带过滤装置的输液器静脉滴注，</w:t>
      </w:r>
      <w:r>
        <w:rPr>
          <w:rFonts w:ascii="Times New Roman" w:hAnsi="Times New Roman" w:eastAsia="仿宋"/>
          <w:color w:val="auto"/>
          <w:sz w:val="32"/>
        </w:rPr>
        <w:t>30</w:t>
      </w:r>
      <w:r>
        <w:rPr>
          <w:rFonts w:hint="eastAsia" w:ascii="Times New Roman" w:hAnsi="Times New Roman" w:eastAsia="仿宋"/>
          <w:color w:val="auto"/>
          <w:sz w:val="32"/>
        </w:rPr>
        <w:t>分钟滴完。起始剂量</w:t>
      </w:r>
      <w:r>
        <w:rPr>
          <w:rFonts w:ascii="Times New Roman" w:hAnsi="Times New Roman" w:eastAsia="仿宋"/>
          <w:color w:val="auto"/>
          <w:sz w:val="32"/>
        </w:rPr>
        <w:t>20 mg</w:t>
      </w:r>
      <w:r>
        <w:rPr>
          <w:rFonts w:hint="eastAsia" w:ascii="Times New Roman" w:hAnsi="Times New Roman" w:eastAsia="仿宋"/>
          <w:color w:val="auto"/>
          <w:sz w:val="32"/>
        </w:rPr>
        <w:t>时，应用</w:t>
      </w:r>
      <w:r>
        <w:rPr>
          <w:rFonts w:ascii="Times New Roman" w:hAnsi="Times New Roman" w:eastAsia="仿宋"/>
          <w:color w:val="auto"/>
          <w:sz w:val="32"/>
        </w:rPr>
        <w:t>200 mL 0.9%</w:t>
      </w:r>
      <w:r>
        <w:rPr>
          <w:rFonts w:hint="eastAsia" w:ascii="Times New Roman" w:hAnsi="Times New Roman" w:eastAsia="仿宋"/>
          <w:color w:val="auto"/>
          <w:sz w:val="32"/>
        </w:rPr>
        <w:t>氯化钠注射液溶解</w:t>
      </w:r>
      <w:r>
        <w:rPr>
          <w:rFonts w:hint="default" w:ascii="Times New Roman" w:hAnsi="Times New Roman" w:eastAsia="仿宋"/>
          <w:color w:val="auto"/>
          <w:sz w:val="32"/>
        </w:rPr>
        <w:t>；</w:t>
      </w:r>
    </w:p>
    <w:p>
      <w:pPr>
        <w:pStyle w:val="26"/>
        <w:numPr>
          <w:ilvl w:val="0"/>
          <w:numId w:val="26"/>
        </w:numPr>
        <w:spacing w:line="600" w:lineRule="exact"/>
        <w:ind w:firstLineChars="0"/>
        <w:rPr>
          <w:rFonts w:ascii="Times New Roman" w:hAnsi="Times New Roman" w:eastAsia="仿宋"/>
          <w:color w:val="auto"/>
          <w:sz w:val="32"/>
        </w:rPr>
      </w:pPr>
      <w:r>
        <w:rPr>
          <w:rFonts w:hint="eastAsia" w:ascii="Times New Roman" w:hAnsi="Times New Roman" w:eastAsia="仿宋"/>
          <w:color w:val="auto"/>
          <w:sz w:val="32"/>
        </w:rPr>
        <w:t>配置后溶液保存时间：</w:t>
      </w:r>
      <w:r>
        <w:rPr>
          <w:rFonts w:ascii="Times New Roman" w:hAnsi="Times New Roman" w:eastAsia="仿宋"/>
          <w:color w:val="auto"/>
          <w:sz w:val="32"/>
        </w:rPr>
        <w:t>3</w:t>
      </w:r>
      <w:r>
        <w:rPr>
          <w:rFonts w:hint="eastAsia" w:ascii="Times New Roman" w:hAnsi="Times New Roman" w:eastAsia="仿宋"/>
          <w:color w:val="auto"/>
          <w:sz w:val="32"/>
        </w:rPr>
        <w:t>小时</w:t>
      </w:r>
      <w:r>
        <w:rPr>
          <w:rFonts w:hint="eastAsia"/>
          <w:color w:val="auto"/>
        </w:rPr>
        <w:t>。</w:t>
      </w:r>
    </w:p>
    <w:p>
      <w:pPr>
        <w:widowControl/>
        <w:spacing w:line="600" w:lineRule="exact"/>
        <w:jc w:val="left"/>
        <w:rPr>
          <w:color w:val="auto"/>
          <w:sz w:val="22"/>
        </w:rPr>
      </w:pPr>
      <w:r>
        <w:rPr>
          <w:color w:val="auto"/>
          <w:sz w:val="22"/>
        </w:rPr>
        <w:br w:type="page"/>
      </w:r>
    </w:p>
    <w:p>
      <w:pPr>
        <w:pStyle w:val="2"/>
        <w:spacing w:before="217" w:after="217" w:line="600" w:lineRule="exact"/>
        <w:rPr>
          <w:color w:val="auto"/>
        </w:rPr>
      </w:pPr>
      <w:bookmarkStart w:id="34" w:name="_Toc535269743"/>
      <w:r>
        <w:rPr>
          <w:rFonts w:hint="eastAsia"/>
          <w:color w:val="auto"/>
        </w:rPr>
        <w:t>第四部分 各类疾病中质子泵抑制剂的</w:t>
      </w:r>
      <w:r>
        <w:rPr>
          <w:rFonts w:hint="default"/>
          <w:color w:val="auto"/>
        </w:rPr>
        <w:t xml:space="preserve">      </w:t>
      </w:r>
      <w:r>
        <w:rPr>
          <w:rFonts w:hint="eastAsia"/>
          <w:color w:val="auto"/>
        </w:rPr>
        <w:t>治疗原则</w:t>
      </w:r>
      <w:bookmarkEnd w:id="34"/>
    </w:p>
    <w:p>
      <w:pPr>
        <w:pStyle w:val="4"/>
        <w:numPr>
          <w:ilvl w:val="0"/>
          <w:numId w:val="27"/>
        </w:numPr>
        <w:spacing w:line="600" w:lineRule="exact"/>
        <w:ind w:firstLine="643"/>
        <w:rPr>
          <w:color w:val="auto"/>
        </w:rPr>
      </w:pPr>
      <w:bookmarkStart w:id="35" w:name="_Toc535269744"/>
      <w:r>
        <w:rPr>
          <w:rFonts w:hint="eastAsia"/>
          <w:b w:val="0"/>
          <w:bCs w:val="0"/>
          <w:color w:val="auto"/>
        </w:rPr>
        <w:t>消化性溃疡</w:t>
      </w:r>
      <w:bookmarkEnd w:id="35"/>
    </w:p>
    <w:p>
      <w:pPr>
        <w:spacing w:line="600" w:lineRule="exact"/>
        <w:ind w:firstLine="640" w:firstLineChars="200"/>
        <w:rPr>
          <w:color w:val="auto"/>
          <w:szCs w:val="24"/>
        </w:rPr>
      </w:pPr>
      <w:r>
        <w:rPr>
          <w:rFonts w:hint="eastAsia"/>
          <w:color w:val="auto"/>
        </w:rPr>
        <w:t>消化性溃疡</w:t>
      </w:r>
      <w:r>
        <w:rPr>
          <w:rFonts w:hint="eastAsia" w:cs="宋体"/>
          <w:color w:val="auto"/>
          <w:kern w:val="0"/>
          <w:szCs w:val="24"/>
        </w:rPr>
        <w:t>（</w:t>
      </w:r>
      <w:r>
        <w:rPr>
          <w:rFonts w:cs="宋体"/>
          <w:color w:val="auto"/>
          <w:kern w:val="0"/>
          <w:szCs w:val="24"/>
        </w:rPr>
        <w:t>Peptic Ulcer</w:t>
      </w:r>
      <w:r>
        <w:rPr>
          <w:rFonts w:hint="eastAsia" w:cs="宋体"/>
          <w:color w:val="auto"/>
          <w:kern w:val="0"/>
          <w:szCs w:val="24"/>
        </w:rPr>
        <w:t>，</w:t>
      </w:r>
      <w:r>
        <w:rPr>
          <w:rFonts w:cs="宋体"/>
          <w:color w:val="auto"/>
          <w:kern w:val="0"/>
          <w:szCs w:val="24"/>
        </w:rPr>
        <w:t>PU</w:t>
      </w:r>
      <w:r>
        <w:rPr>
          <w:rFonts w:hint="eastAsia" w:cs="宋体"/>
          <w:color w:val="auto"/>
          <w:kern w:val="0"/>
          <w:szCs w:val="24"/>
        </w:rPr>
        <w:t>）指</w:t>
      </w:r>
      <w:r>
        <w:rPr>
          <w:rFonts w:hint="eastAsia"/>
          <w:color w:val="auto"/>
        </w:rPr>
        <w:t>胃肠黏膜发生的炎性缺损，通常与胃液的胃酸和消化作用有关，病变穿透黏膜肌层或达更深层次。</w:t>
      </w:r>
      <w:r>
        <w:rPr>
          <w:rFonts w:hint="eastAsia"/>
          <w:color w:val="auto"/>
          <w:szCs w:val="24"/>
        </w:rPr>
        <w:t>其中，</w:t>
      </w:r>
      <w:r>
        <w:rPr>
          <w:i/>
          <w:color w:val="auto"/>
          <w:szCs w:val="24"/>
        </w:rPr>
        <w:t>H.pylori</w:t>
      </w:r>
      <w:r>
        <w:rPr>
          <w:rFonts w:hint="eastAsia"/>
          <w:color w:val="auto"/>
          <w:szCs w:val="24"/>
        </w:rPr>
        <w:t>感染、</w:t>
      </w:r>
      <w:r>
        <w:rPr>
          <w:color w:val="auto"/>
          <w:szCs w:val="24"/>
        </w:rPr>
        <w:t>NSAIDs</w:t>
      </w:r>
      <w:r>
        <w:rPr>
          <w:rFonts w:hint="eastAsia"/>
          <w:color w:val="auto"/>
          <w:szCs w:val="24"/>
        </w:rPr>
        <w:t>是引起消化性溃疡最常见的损伤因素。</w:t>
      </w:r>
    </w:p>
    <w:p>
      <w:pPr>
        <w:spacing w:line="600" w:lineRule="exact"/>
        <w:ind w:firstLine="480"/>
        <w:rPr>
          <w:color w:val="auto"/>
          <w:kern w:val="0"/>
          <w:szCs w:val="24"/>
        </w:rPr>
      </w:pPr>
      <w:r>
        <w:rPr>
          <w:rFonts w:hint="eastAsia"/>
          <w:color w:val="auto"/>
          <w:kern w:val="0"/>
          <w:szCs w:val="24"/>
        </w:rPr>
        <w:t>【治疗原则】</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去除潜在危险或促发因素，如</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、吸烟和过量饮酒。对于非</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感染、</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相关溃疡，应治疗其他促发因素，如治疗内科共病、营养不良、缺血和酸分泌过多。</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所有</w:t>
      </w:r>
      <w:r>
        <w:rPr>
          <w:rFonts w:ascii="Times New Roman" w:hAnsi="Times New Roman" w:eastAsia="仿宋" w:cstheme="minorBidi"/>
          <w:color w:val="auto"/>
          <w:kern w:val="2"/>
          <w:sz w:val="32"/>
          <w:szCs w:val="22"/>
        </w:rPr>
        <w:t>PU</w:t>
      </w:r>
      <w:r>
        <w:rPr>
          <w:rFonts w:hint="eastAsia" w:ascii="Times New Roman" w:hAnsi="Times New Roman" w:eastAsia="仿宋" w:cstheme="minorBidi"/>
          <w:color w:val="auto"/>
          <w:kern w:val="2"/>
          <w:sz w:val="32"/>
          <w:szCs w:val="22"/>
        </w:rPr>
        <w:t>患者都应接受抑制胃酸治疗，</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是首选药物。</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推荐</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用于治疗胃泌素瘤或</w:t>
      </w:r>
      <w:r>
        <w:rPr>
          <w:rFonts w:ascii="Times New Roman" w:hAnsi="Times New Roman" w:eastAsia="仿宋" w:cstheme="minorBidi"/>
          <w:color w:val="auto"/>
          <w:kern w:val="2"/>
          <w:sz w:val="32"/>
          <w:szCs w:val="22"/>
        </w:rPr>
        <w:t>G</w:t>
      </w:r>
      <w:r>
        <w:rPr>
          <w:rFonts w:hint="eastAsia" w:ascii="Times New Roman" w:hAnsi="Times New Roman" w:eastAsia="仿宋" w:cstheme="minorBidi"/>
          <w:color w:val="auto"/>
          <w:kern w:val="2"/>
          <w:sz w:val="32"/>
          <w:szCs w:val="22"/>
        </w:rPr>
        <w:t>细胞增生等致促胃液素分泌增多而引起的消化性溃疡。</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感染患者应接受以根除</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为目标的治疗，详见“</w:t>
      </w:r>
      <w:r>
        <w:rPr>
          <w:color w:val="auto"/>
        </w:rPr>
        <w:fldChar w:fldCharType="begin"/>
      </w:r>
      <w:r>
        <w:rPr>
          <w:color w:val="auto"/>
        </w:rPr>
        <w:instrText xml:space="preserve"> REF _Ref522797182 \h  \* MERGEFORMAT </w:instrText>
      </w:r>
      <w:r>
        <w:rPr>
          <w:color w:val="auto"/>
        </w:rPr>
        <w:fldChar w:fldCharType="separate"/>
      </w:r>
      <w:r>
        <w:rPr>
          <w:rFonts w:hint="eastAsia" w:ascii="Times New Roman" w:hAnsi="Times New Roman" w:eastAsia="仿宋" w:cstheme="minorBidi"/>
          <w:color w:val="auto"/>
          <w:kern w:val="2"/>
          <w:sz w:val="32"/>
          <w:szCs w:val="22"/>
        </w:rPr>
        <w:t>幽门螺杆菌</w:t>
      </w:r>
      <w:r>
        <w:rPr>
          <w:rFonts w:ascii="Times New Roman" w:hAnsi="Times New Roman" w:eastAsia="仿宋" w:cstheme="minorBidi"/>
          <w:color w:val="auto"/>
          <w:kern w:val="2"/>
          <w:sz w:val="32"/>
          <w:szCs w:val="22"/>
        </w:rPr>
        <w:t>根除</w:t>
      </w:r>
      <w:r>
        <w:rPr>
          <w:color w:val="auto"/>
        </w:rPr>
        <w:fldChar w:fldCharType="end"/>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使用</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前应对患者胃肠道损伤进行风险评估（见</w:t>
      </w:r>
      <w:r>
        <w:rPr>
          <w:color w:val="auto"/>
        </w:rPr>
        <w:fldChar w:fldCharType="begin"/>
      </w:r>
      <w:r>
        <w:rPr>
          <w:color w:val="auto"/>
        </w:rPr>
        <w:instrText xml:space="preserve">REF _Ref527463604 \h \* MERGEFORMAT </w:instrText>
      </w:r>
      <w:r>
        <w:rPr>
          <w:color w:val="auto"/>
        </w:rPr>
        <w:fldChar w:fldCharType="separate"/>
      </w:r>
      <w:r>
        <w:rPr>
          <w:rFonts w:hint="eastAsia" w:ascii="Times New Roman" w:hAnsi="Times New Roman" w:eastAsia="仿宋" w:cstheme="minorBidi"/>
          <w:color w:val="auto"/>
          <w:kern w:val="2"/>
          <w:sz w:val="32"/>
          <w:szCs w:val="22"/>
        </w:rPr>
        <w:t>表</w:t>
      </w:r>
      <w:r>
        <w:rPr>
          <w:rFonts w:ascii="Times New Roman" w:hAnsi="Times New Roman" w:eastAsia="仿宋" w:cstheme="minorBidi"/>
          <w:color w:val="auto"/>
          <w:kern w:val="2"/>
          <w:sz w:val="32"/>
          <w:szCs w:val="22"/>
        </w:rPr>
        <w:t>4- 1</w:t>
      </w:r>
      <w:r>
        <w:rPr>
          <w:color w:val="auto"/>
        </w:rPr>
        <w:fldChar w:fldCharType="end"/>
      </w:r>
      <w:r>
        <w:rPr>
          <w:rFonts w:hint="eastAsia" w:ascii="Times New Roman" w:hAnsi="Times New Roman" w:eastAsia="仿宋" w:cstheme="minorBidi"/>
          <w:color w:val="auto"/>
          <w:kern w:val="2"/>
          <w:sz w:val="32"/>
          <w:szCs w:val="22"/>
        </w:rPr>
        <w:t>）。</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是预防和治疗</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相关胃肠道损伤的首选药物。</w:t>
      </w:r>
    </w:p>
    <w:p>
      <w:pPr>
        <w:pStyle w:val="17"/>
        <w:keepNext w:val="0"/>
        <w:keepLines w:val="0"/>
        <w:pageBreakBefore w:val="0"/>
        <w:widowControl/>
        <w:numPr>
          <w:ilvl w:val="0"/>
          <w:numId w:val="28"/>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溃疡并发出血的治疗详见“</w:t>
      </w:r>
      <w:r>
        <w:rPr>
          <w:color w:val="auto"/>
        </w:rPr>
        <w:fldChar w:fldCharType="begin"/>
      </w:r>
      <w:r>
        <w:rPr>
          <w:color w:val="auto"/>
        </w:rPr>
        <w:instrText xml:space="preserve"> REF _Ref522398417 \h  \* MERGEFORMAT </w:instrText>
      </w:r>
      <w:r>
        <w:rPr>
          <w:color w:val="auto"/>
        </w:rPr>
        <w:fldChar w:fldCharType="separate"/>
      </w:r>
      <w:r>
        <w:rPr>
          <w:rFonts w:hint="eastAsia" w:ascii="Times New Roman" w:hAnsi="Times New Roman" w:eastAsia="仿宋" w:cstheme="minorBidi"/>
          <w:color w:val="auto"/>
          <w:kern w:val="2"/>
          <w:sz w:val="32"/>
          <w:szCs w:val="22"/>
        </w:rPr>
        <w:t>急性非静脉曲张性上消化道出血</w:t>
      </w:r>
      <w:r>
        <w:rPr>
          <w:color w:val="auto"/>
        </w:rPr>
        <w:fldChar w:fldCharType="end"/>
      </w:r>
      <w:r>
        <w:rPr>
          <w:rFonts w:hint="eastAsia" w:ascii="Times New Roman" w:hAnsi="Times New Roman" w:eastAsia="仿宋" w:cstheme="minorBidi"/>
          <w:color w:val="auto"/>
          <w:kern w:val="2"/>
          <w:sz w:val="32"/>
          <w:szCs w:val="22"/>
        </w:rPr>
        <w:t>”。</w:t>
      </w:r>
    </w:p>
    <w:p>
      <w:pPr>
        <w:spacing w:line="600" w:lineRule="exact"/>
        <w:ind w:firstLine="480"/>
        <w:rPr>
          <w:color w:val="auto"/>
          <w:kern w:val="0"/>
          <w:szCs w:val="24"/>
        </w:rPr>
      </w:pPr>
      <w:r>
        <w:rPr>
          <w:rFonts w:hint="eastAsia"/>
          <w:color w:val="auto"/>
          <w:kern w:val="0"/>
          <w:szCs w:val="24"/>
        </w:rPr>
        <w:t>【</w:t>
      </w:r>
      <w:r>
        <w:rPr>
          <w:rFonts w:hint="eastAsia"/>
          <w:color w:val="auto"/>
          <w:kern w:val="0"/>
          <w:szCs w:val="24"/>
          <w:lang w:eastAsia="zh-CN"/>
        </w:rPr>
        <w:t>质子泵抑制剂</w:t>
      </w:r>
      <w:r>
        <w:rPr>
          <w:rFonts w:hint="eastAsia"/>
          <w:color w:val="auto"/>
          <w:kern w:val="0"/>
          <w:szCs w:val="24"/>
        </w:rPr>
        <w:t>在治疗中的应用】</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标准剂量</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，每日</w:t>
      </w:r>
      <w:r>
        <w:rPr>
          <w:rFonts w:ascii="Times New Roman" w:hAnsi="Times New Roman" w:eastAsia="仿宋" w:cstheme="minorBidi"/>
          <w:color w:val="auto"/>
          <w:kern w:val="2"/>
          <w:sz w:val="32"/>
          <w:szCs w:val="22"/>
        </w:rPr>
        <w:t>1</w:t>
      </w:r>
      <w:r>
        <w:rPr>
          <w:rFonts w:hint="eastAsia" w:ascii="Times New Roman" w:hAnsi="Times New Roman" w:eastAsia="仿宋" w:cstheme="minorBidi"/>
          <w:color w:val="auto"/>
          <w:kern w:val="2"/>
          <w:sz w:val="32"/>
          <w:szCs w:val="22"/>
        </w:rPr>
        <w:t>次，早餐前</w:t>
      </w:r>
      <w:r>
        <w:rPr>
          <w:rFonts w:ascii="Times New Roman" w:hAnsi="Times New Roman" w:eastAsia="仿宋" w:cstheme="minorBidi"/>
          <w:color w:val="auto"/>
          <w:kern w:val="2"/>
          <w:sz w:val="32"/>
          <w:szCs w:val="22"/>
        </w:rPr>
        <w:t>0.5h</w:t>
      </w:r>
      <w:r>
        <w:rPr>
          <w:rFonts w:hint="eastAsia" w:ascii="Times New Roman" w:hAnsi="Times New Roman" w:eastAsia="仿宋" w:cstheme="minorBidi"/>
          <w:color w:val="auto"/>
          <w:kern w:val="2"/>
          <w:sz w:val="32"/>
          <w:szCs w:val="22"/>
        </w:rPr>
        <w:t>服药。治疗十二指肠溃疡的疗程为</w:t>
      </w:r>
      <w:r>
        <w:rPr>
          <w:rFonts w:ascii="Times New Roman" w:hAnsi="Times New Roman" w:eastAsia="仿宋" w:cstheme="minorBidi"/>
          <w:color w:val="auto"/>
          <w:kern w:val="2"/>
          <w:sz w:val="32"/>
          <w:szCs w:val="22"/>
        </w:rPr>
        <w:t>4~6</w:t>
      </w:r>
      <w:r>
        <w:rPr>
          <w:rFonts w:hint="eastAsia" w:ascii="Times New Roman" w:hAnsi="Times New Roman" w:eastAsia="仿宋" w:cstheme="minorBidi"/>
          <w:color w:val="auto"/>
          <w:kern w:val="2"/>
          <w:sz w:val="32"/>
          <w:szCs w:val="22"/>
        </w:rPr>
        <w:t>周，胃溃疡为</w:t>
      </w:r>
      <w:r>
        <w:rPr>
          <w:rFonts w:ascii="Times New Roman" w:hAnsi="Times New Roman" w:eastAsia="仿宋" w:cstheme="minorBidi"/>
          <w:color w:val="auto"/>
          <w:kern w:val="2"/>
          <w:sz w:val="32"/>
          <w:szCs w:val="22"/>
        </w:rPr>
        <w:t>6~8</w:t>
      </w:r>
      <w:r>
        <w:rPr>
          <w:rFonts w:hint="eastAsia" w:ascii="Times New Roman" w:hAnsi="Times New Roman" w:eastAsia="仿宋" w:cstheme="minorBidi"/>
          <w:color w:val="auto"/>
          <w:kern w:val="2"/>
          <w:sz w:val="32"/>
          <w:szCs w:val="22"/>
        </w:rPr>
        <w:t>周。对于存在高危因素和巨大溃疡患者，建议适当延长疗程到</w:t>
      </w:r>
      <w:r>
        <w:rPr>
          <w:rFonts w:ascii="Times New Roman" w:hAnsi="Times New Roman" w:eastAsia="仿宋" w:cstheme="minorBidi"/>
          <w:color w:val="auto"/>
          <w:kern w:val="2"/>
          <w:sz w:val="32"/>
          <w:szCs w:val="22"/>
        </w:rPr>
        <w:t>12</w:t>
      </w:r>
      <w:r>
        <w:rPr>
          <w:rFonts w:hint="eastAsia" w:ascii="Times New Roman" w:hAnsi="Times New Roman" w:eastAsia="仿宋" w:cstheme="minorBidi"/>
          <w:color w:val="auto"/>
          <w:kern w:val="2"/>
          <w:sz w:val="32"/>
          <w:szCs w:val="22"/>
        </w:rPr>
        <w:t>周。</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对于</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阳性的消化性溃疡，应常规行</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根除治疗，在抗</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治疗结束后，仍应继续使用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至疗程结束。</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对于胃泌素瘤的治疗，标准剂量的</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，一日两次。若基础酸排量（</w:t>
      </w:r>
      <w:r>
        <w:rPr>
          <w:rFonts w:ascii="Times New Roman" w:hAnsi="Times New Roman" w:eastAsia="仿宋" w:cstheme="minorBidi"/>
          <w:color w:val="auto"/>
          <w:kern w:val="2"/>
          <w:sz w:val="32"/>
          <w:szCs w:val="22"/>
        </w:rPr>
        <w:t>Basal Acid Output</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BAO</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10 mmol/h</w:t>
      </w:r>
      <w:r>
        <w:rPr>
          <w:rFonts w:hint="eastAsia" w:ascii="Times New Roman" w:hAnsi="Times New Roman" w:eastAsia="仿宋" w:cstheme="minorBidi"/>
          <w:color w:val="auto"/>
          <w:kern w:val="2"/>
          <w:sz w:val="32"/>
          <w:szCs w:val="22"/>
        </w:rPr>
        <w:t>，则还需增加剂量。对于行胃泌素瘤根治性手术的患者，术后仍需继续使用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抑酸治疗维持一段时期。</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对非</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感染、</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根除失败，以及其他不明原因的复发性消化性溃疡的预防，建议应用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或</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bscript"/>
        </w:rPr>
        <w:t>2</w:t>
      </w:r>
      <w:r>
        <w:rPr>
          <w:rFonts w:ascii="Times New Roman" w:hAnsi="Times New Roman" w:eastAsia="仿宋" w:cstheme="minorBidi"/>
          <w:color w:val="auto"/>
          <w:kern w:val="2"/>
          <w:sz w:val="32"/>
          <w:szCs w:val="22"/>
        </w:rPr>
        <w:t>RA</w:t>
      </w:r>
      <w:r>
        <w:rPr>
          <w:rFonts w:hint="eastAsia" w:ascii="Times New Roman" w:hAnsi="Times New Roman" w:eastAsia="仿宋" w:cstheme="minorBidi"/>
          <w:color w:val="auto"/>
          <w:kern w:val="2"/>
          <w:sz w:val="32"/>
          <w:szCs w:val="22"/>
        </w:rPr>
        <w:t>维持治疗。</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预防</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相关的消化性溃疡或消化不良：奥美拉唑</w:t>
      </w:r>
      <w:r>
        <w:rPr>
          <w:rFonts w:ascii="Times New Roman" w:hAnsi="Times New Roman" w:eastAsia="仿宋" w:cstheme="minorBidi"/>
          <w:color w:val="auto"/>
          <w:kern w:val="2"/>
          <w:sz w:val="32"/>
          <w:szCs w:val="22"/>
        </w:rPr>
        <w:t>20 mg</w:t>
      </w:r>
      <w:r>
        <w:rPr>
          <w:rFonts w:hint="eastAsia" w:ascii="Times New Roman" w:hAnsi="Times New Roman" w:eastAsia="仿宋" w:cstheme="minorBidi"/>
          <w:color w:val="auto"/>
          <w:kern w:val="2"/>
          <w:sz w:val="32"/>
          <w:szCs w:val="22"/>
        </w:rPr>
        <w:t>，每日</w:t>
      </w:r>
      <w:r>
        <w:rPr>
          <w:rFonts w:ascii="Times New Roman" w:hAnsi="Times New Roman" w:eastAsia="仿宋" w:cstheme="minorBidi"/>
          <w:color w:val="auto"/>
          <w:kern w:val="2"/>
          <w:sz w:val="32"/>
          <w:szCs w:val="22"/>
        </w:rPr>
        <w:t>1</w:t>
      </w:r>
      <w:r>
        <w:rPr>
          <w:rFonts w:hint="eastAsia" w:ascii="Times New Roman" w:hAnsi="Times New Roman" w:eastAsia="仿宋" w:cstheme="minorBidi"/>
          <w:color w:val="auto"/>
          <w:kern w:val="2"/>
          <w:sz w:val="32"/>
          <w:szCs w:val="22"/>
        </w:rPr>
        <w:t>次，餐前服用。</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相关的消化性溃疡治疗：奥美拉唑或艾司奥美拉唑</w:t>
      </w:r>
      <w:r>
        <w:rPr>
          <w:rFonts w:ascii="Times New Roman" w:hAnsi="Times New Roman" w:eastAsia="仿宋" w:cstheme="minorBidi"/>
          <w:color w:val="auto"/>
          <w:kern w:val="2"/>
          <w:sz w:val="32"/>
          <w:szCs w:val="22"/>
        </w:rPr>
        <w:t>20 mg</w:t>
      </w:r>
      <w:r>
        <w:rPr>
          <w:rFonts w:hint="eastAsia" w:ascii="Times New Roman" w:hAnsi="Times New Roman" w:eastAsia="仿宋" w:cstheme="minorBidi"/>
          <w:color w:val="auto"/>
          <w:kern w:val="2"/>
          <w:sz w:val="32"/>
          <w:szCs w:val="22"/>
        </w:rPr>
        <w:t>，每日</w:t>
      </w:r>
      <w:r>
        <w:rPr>
          <w:rFonts w:ascii="Times New Roman" w:hAnsi="Times New Roman" w:eastAsia="仿宋" w:cstheme="minorBidi"/>
          <w:color w:val="auto"/>
          <w:kern w:val="2"/>
          <w:sz w:val="32"/>
          <w:szCs w:val="22"/>
        </w:rPr>
        <w:t>1</w:t>
      </w:r>
      <w:r>
        <w:rPr>
          <w:rFonts w:hint="eastAsia" w:ascii="Times New Roman" w:hAnsi="Times New Roman" w:eastAsia="仿宋" w:cstheme="minorBidi"/>
          <w:color w:val="auto"/>
          <w:kern w:val="2"/>
          <w:sz w:val="32"/>
          <w:szCs w:val="22"/>
        </w:rPr>
        <w:t>次，餐前服用，疗程</w:t>
      </w:r>
      <w:r>
        <w:rPr>
          <w:rFonts w:ascii="Times New Roman" w:hAnsi="Times New Roman" w:eastAsia="仿宋" w:cstheme="minorBidi"/>
          <w:color w:val="auto"/>
          <w:kern w:val="2"/>
          <w:sz w:val="32"/>
          <w:szCs w:val="22"/>
        </w:rPr>
        <w:t>4~8</w:t>
      </w:r>
      <w:r>
        <w:rPr>
          <w:rFonts w:hint="eastAsia" w:ascii="Times New Roman" w:hAnsi="Times New Roman" w:eastAsia="仿宋" w:cstheme="minorBidi"/>
          <w:color w:val="auto"/>
          <w:kern w:val="2"/>
          <w:sz w:val="32"/>
          <w:szCs w:val="22"/>
        </w:rPr>
        <w:t>周。</w:t>
      </w:r>
    </w:p>
    <w:p>
      <w:pPr>
        <w:pStyle w:val="17"/>
        <w:keepNext w:val="0"/>
        <w:keepLines w:val="0"/>
        <w:pageBreakBefore w:val="0"/>
        <w:widowControl/>
        <w:numPr>
          <w:ilvl w:val="0"/>
          <w:numId w:val="29"/>
        </w:numPr>
        <w:kinsoku w:val="0"/>
        <w:wordWrap/>
        <w:overflowPunct w:val="0"/>
        <w:topLinePunct w:val="0"/>
        <w:autoSpaceDE/>
        <w:autoSpaceDN/>
        <w:bidi w:val="0"/>
        <w:adjustRightInd/>
        <w:snapToGrid/>
        <w:spacing w:before="0" w:before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使用双联抗血小板治疗存在消化道出血风险高的患者，联合使用</w:t>
      </w:r>
      <w:r>
        <w:rPr>
          <w:rFonts w:hint="eastAsia" w:ascii="Times New Roman" w:hAnsi="Times New Roman" w:eastAsia="仿宋" w:cstheme="minorBidi"/>
          <w:color w:val="auto"/>
          <w:kern w:val="2"/>
          <w:sz w:val="32"/>
          <w:szCs w:val="22"/>
          <w:lang w:eastAsia="zh-CN"/>
        </w:rPr>
        <w:t>质子泵抑制剂</w:t>
      </w:r>
      <w:r>
        <w:rPr>
          <w:rFonts w:ascii="Times New Roman" w:hAnsi="Times New Roman" w:eastAsia="仿宋" w:cstheme="minorBidi"/>
          <w:color w:val="auto"/>
          <w:kern w:val="2"/>
          <w:sz w:val="32"/>
          <w:szCs w:val="22"/>
        </w:rPr>
        <w:t xml:space="preserve"> 3~6</w:t>
      </w:r>
      <w:r>
        <w:rPr>
          <w:rFonts w:hint="eastAsia" w:ascii="Times New Roman" w:hAnsi="Times New Roman" w:eastAsia="仿宋" w:cstheme="minorBidi"/>
          <w:color w:val="auto"/>
          <w:kern w:val="2"/>
          <w:sz w:val="32"/>
          <w:szCs w:val="22"/>
        </w:rPr>
        <w:t>个月，</w:t>
      </w:r>
      <w:r>
        <w:rPr>
          <w:rFonts w:ascii="Times New Roman" w:hAnsi="Times New Roman" w:eastAsia="仿宋" w:cstheme="minorBidi"/>
          <w:color w:val="auto"/>
          <w:kern w:val="2"/>
          <w:sz w:val="32"/>
          <w:szCs w:val="22"/>
        </w:rPr>
        <w:t>6</w:t>
      </w:r>
      <w:r>
        <w:rPr>
          <w:rFonts w:hint="eastAsia" w:ascii="Times New Roman" w:hAnsi="Times New Roman" w:eastAsia="仿宋" w:cstheme="minorBidi"/>
          <w:color w:val="auto"/>
          <w:kern w:val="2"/>
          <w:sz w:val="32"/>
          <w:szCs w:val="22"/>
        </w:rPr>
        <w:t>个月后可改为</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bscript"/>
        </w:rPr>
        <w:t>2</w:t>
      </w:r>
      <w:r>
        <w:rPr>
          <w:rFonts w:ascii="Times New Roman" w:hAnsi="Times New Roman" w:eastAsia="仿宋" w:cstheme="minorBidi"/>
          <w:color w:val="auto"/>
          <w:kern w:val="2"/>
          <w:sz w:val="32"/>
          <w:szCs w:val="22"/>
        </w:rPr>
        <w:t>RA</w:t>
      </w:r>
      <w:r>
        <w:rPr>
          <w:rFonts w:hint="eastAsia" w:ascii="Times New Roman" w:hAnsi="Times New Roman" w:eastAsia="仿宋" w:cstheme="minorBidi"/>
          <w:color w:val="auto"/>
          <w:kern w:val="2"/>
          <w:sz w:val="32"/>
          <w:szCs w:val="22"/>
        </w:rPr>
        <w:t>或间断服用。同时根据缺血风险评估，尽量减少双联抗血小板治疗时程。具体用法可参考临床应用指南。</w:t>
      </w:r>
    </w:p>
    <w:p>
      <w:pPr>
        <w:spacing w:after="240" w:line="240" w:lineRule="auto"/>
        <w:jc w:val="center"/>
        <w:rPr>
          <w:rFonts w:eastAsia="宋体" w:cstheme="majorBidi"/>
          <w:color w:val="auto"/>
          <w:sz w:val="24"/>
          <w:szCs w:val="21"/>
        </w:rPr>
      </w:pPr>
      <w:bookmarkStart w:id="36" w:name="_Ref527463604"/>
      <w:r>
        <w:rPr>
          <w:rFonts w:hint="eastAsia" w:eastAsia="宋体" w:cstheme="majorBidi"/>
          <w:color w:val="auto"/>
          <w:sz w:val="24"/>
          <w:szCs w:val="21"/>
        </w:rPr>
        <w:t>表</w:t>
      </w:r>
      <w:r>
        <w:rPr>
          <w:rFonts w:eastAsia="宋体" w:cstheme="majorBidi"/>
          <w:color w:val="auto"/>
          <w:sz w:val="24"/>
          <w:szCs w:val="21"/>
        </w:rPr>
        <w:t xml:space="preserve">4- </w:t>
      </w:r>
      <w:r>
        <w:rPr>
          <w:rFonts w:eastAsia="宋体" w:cstheme="majorBidi"/>
          <w:color w:val="auto"/>
          <w:sz w:val="24"/>
          <w:szCs w:val="21"/>
        </w:rPr>
        <w:fldChar w:fldCharType="begin"/>
      </w:r>
      <w:r>
        <w:rPr>
          <w:rFonts w:eastAsia="宋体" w:cstheme="majorBidi"/>
          <w:color w:val="auto"/>
          <w:sz w:val="24"/>
          <w:szCs w:val="21"/>
        </w:rPr>
        <w:instrText xml:space="preserve"> SEQ </w:instrText>
      </w:r>
      <w:r>
        <w:rPr>
          <w:rFonts w:hint="eastAsia" w:eastAsia="宋体" w:cstheme="majorBidi"/>
          <w:color w:val="auto"/>
          <w:sz w:val="24"/>
          <w:szCs w:val="21"/>
        </w:rPr>
        <w:instrText xml:space="preserve">表</w:instrText>
      </w:r>
      <w:r>
        <w:rPr>
          <w:rFonts w:eastAsia="宋体" w:cstheme="majorBidi"/>
          <w:color w:val="auto"/>
          <w:sz w:val="24"/>
          <w:szCs w:val="21"/>
        </w:rPr>
        <w:instrText xml:space="preserve">4- \* ARABIC </w:instrText>
      </w:r>
      <w:r>
        <w:rPr>
          <w:rFonts w:eastAsia="宋体" w:cstheme="majorBidi"/>
          <w:color w:val="auto"/>
          <w:sz w:val="24"/>
          <w:szCs w:val="21"/>
        </w:rPr>
        <w:fldChar w:fldCharType="separate"/>
      </w:r>
      <w:r>
        <w:rPr>
          <w:rFonts w:eastAsia="宋体" w:cstheme="majorBidi"/>
          <w:color w:val="auto"/>
          <w:sz w:val="24"/>
          <w:szCs w:val="21"/>
        </w:rPr>
        <w:t>1</w:t>
      </w:r>
      <w:r>
        <w:rPr>
          <w:rFonts w:eastAsia="宋体" w:cstheme="majorBidi"/>
          <w:color w:val="auto"/>
          <w:sz w:val="24"/>
          <w:szCs w:val="21"/>
        </w:rPr>
        <w:fldChar w:fldCharType="end"/>
      </w:r>
      <w:bookmarkEnd w:id="36"/>
      <w:r>
        <w:rPr>
          <w:rFonts w:eastAsia="宋体" w:cstheme="majorBidi"/>
          <w:color w:val="auto"/>
          <w:sz w:val="24"/>
          <w:szCs w:val="21"/>
        </w:rPr>
        <w:t xml:space="preserve"> NSAIDs</w:t>
      </w:r>
      <w:r>
        <w:rPr>
          <w:rFonts w:hint="eastAsia" w:eastAsia="宋体" w:cstheme="majorBidi"/>
          <w:color w:val="auto"/>
          <w:sz w:val="24"/>
          <w:szCs w:val="21"/>
        </w:rPr>
        <w:t>溃疡并发症的风险等级及预防建议</w:t>
      </w:r>
    </w:p>
    <w:tbl>
      <w:tblPr>
        <w:tblStyle w:val="53"/>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0"/>
        <w:gridCol w:w="2736"/>
        <w:gridCol w:w="4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210" w:type="dxa"/>
            <w:tcBorders>
              <w:top w:val="single" w:color="auto" w:sz="12" w:space="0"/>
              <w:bottom w:val="single" w:color="auto" w:sz="8" w:space="0"/>
            </w:tcBorders>
          </w:tcPr>
          <w:p>
            <w:pPr>
              <w:rPr>
                <w:rFonts w:eastAsia="宋体"/>
                <w:color w:val="auto"/>
                <w:sz w:val="21"/>
                <w:szCs w:val="21"/>
              </w:rPr>
            </w:pPr>
            <w:r>
              <w:rPr>
                <w:rFonts w:hint="eastAsia" w:eastAsia="宋体"/>
                <w:color w:val="auto"/>
                <w:sz w:val="21"/>
                <w:szCs w:val="21"/>
              </w:rPr>
              <w:t>风险等级</w:t>
            </w:r>
          </w:p>
        </w:tc>
        <w:tc>
          <w:tcPr>
            <w:tcW w:w="2736" w:type="dxa"/>
            <w:tcBorders>
              <w:top w:val="single" w:color="auto" w:sz="12" w:space="0"/>
              <w:bottom w:val="single" w:color="auto" w:sz="8" w:space="0"/>
            </w:tcBorders>
          </w:tcPr>
          <w:p>
            <w:pPr>
              <w:rPr>
                <w:rFonts w:eastAsia="宋体"/>
                <w:color w:val="auto"/>
                <w:sz w:val="21"/>
                <w:szCs w:val="21"/>
              </w:rPr>
            </w:pPr>
            <w:r>
              <w:rPr>
                <w:rFonts w:hint="eastAsia" w:eastAsia="宋体"/>
                <w:color w:val="auto"/>
                <w:sz w:val="21"/>
                <w:szCs w:val="21"/>
              </w:rPr>
              <w:t>危险因素</w:t>
            </w:r>
            <w:r>
              <w:rPr>
                <w:rFonts w:eastAsia="宋体"/>
                <w:color w:val="auto"/>
                <w:sz w:val="21"/>
                <w:szCs w:val="21"/>
                <w:vertAlign w:val="superscript"/>
              </w:rPr>
              <w:t>*</w:t>
            </w:r>
          </w:p>
        </w:tc>
        <w:tc>
          <w:tcPr>
            <w:tcW w:w="4949" w:type="dxa"/>
            <w:tcBorders>
              <w:top w:val="single" w:color="auto" w:sz="12" w:space="0"/>
              <w:bottom w:val="single" w:color="auto" w:sz="8" w:space="0"/>
            </w:tcBorders>
          </w:tcPr>
          <w:p>
            <w:pPr>
              <w:rPr>
                <w:rFonts w:eastAsia="宋体"/>
                <w:color w:val="auto"/>
                <w:sz w:val="21"/>
                <w:szCs w:val="21"/>
              </w:rPr>
            </w:pPr>
            <w:r>
              <w:rPr>
                <w:rFonts w:hint="eastAsia" w:eastAsia="宋体"/>
                <w:color w:val="auto"/>
                <w:sz w:val="21"/>
                <w:szCs w:val="21"/>
              </w:rPr>
              <w:t>预防建议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8" w:hRule="atLeast"/>
        </w:trPr>
        <w:tc>
          <w:tcPr>
            <w:tcW w:w="1210" w:type="dxa"/>
            <w:tcBorders>
              <w:top w:val="single" w:color="auto" w:sz="8" w:space="0"/>
            </w:tcBorders>
          </w:tcPr>
          <w:p>
            <w:pPr>
              <w:rPr>
                <w:rFonts w:eastAsia="宋体"/>
                <w:color w:val="auto"/>
                <w:sz w:val="21"/>
                <w:szCs w:val="21"/>
              </w:rPr>
            </w:pPr>
            <w:r>
              <w:rPr>
                <w:rFonts w:hint="eastAsia" w:eastAsia="宋体"/>
                <w:color w:val="auto"/>
                <w:sz w:val="21"/>
                <w:szCs w:val="21"/>
              </w:rPr>
              <w:t>高风险</w:t>
            </w:r>
          </w:p>
        </w:tc>
        <w:tc>
          <w:tcPr>
            <w:tcW w:w="2736" w:type="dxa"/>
            <w:tcBorders>
              <w:top w:val="single" w:color="auto" w:sz="8" w:space="0"/>
            </w:tcBorders>
          </w:tcPr>
          <w:p>
            <w:pPr>
              <w:widowControl/>
              <w:jc w:val="left"/>
              <w:rPr>
                <w:rFonts w:eastAsia="宋体" w:cs="宋体"/>
                <w:color w:val="auto"/>
                <w:kern w:val="0"/>
                <w:sz w:val="21"/>
                <w:szCs w:val="21"/>
              </w:rPr>
            </w:pPr>
            <w:r>
              <w:rPr>
                <w:rFonts w:eastAsia="宋体" w:cs="宋体"/>
                <w:color w:val="auto"/>
                <w:kern w:val="0"/>
                <w:sz w:val="21"/>
                <w:szCs w:val="21"/>
              </w:rPr>
              <w:t>1.</w:t>
            </w:r>
            <w:r>
              <w:rPr>
                <w:rFonts w:hint="eastAsia" w:eastAsia="宋体" w:cs="宋体"/>
                <w:color w:val="auto"/>
                <w:kern w:val="0"/>
                <w:sz w:val="21"/>
                <w:szCs w:val="21"/>
              </w:rPr>
              <w:t>曾有特别是近期发生溃疡并发症</w:t>
            </w:r>
          </w:p>
          <w:p>
            <w:pPr>
              <w:widowControl/>
              <w:jc w:val="left"/>
              <w:rPr>
                <w:rFonts w:eastAsia="宋体" w:cs="宋体"/>
                <w:color w:val="auto"/>
                <w:kern w:val="0"/>
                <w:sz w:val="21"/>
                <w:szCs w:val="21"/>
              </w:rPr>
            </w:pPr>
            <w:r>
              <w:rPr>
                <w:rFonts w:eastAsia="宋体" w:cs="宋体"/>
                <w:color w:val="auto"/>
                <w:kern w:val="0"/>
                <w:sz w:val="21"/>
                <w:szCs w:val="21"/>
              </w:rPr>
              <w:t>2.</w:t>
            </w:r>
            <w:r>
              <w:rPr>
                <w:rFonts w:hint="eastAsia" w:eastAsia="宋体" w:cs="宋体"/>
                <w:color w:val="auto"/>
                <w:kern w:val="0"/>
                <w:sz w:val="21"/>
                <w:szCs w:val="21"/>
              </w:rPr>
              <w:t>存在</w:t>
            </w:r>
            <w:r>
              <w:rPr>
                <w:rFonts w:hint="eastAsia" w:eastAsia="宋体" w:cs="Arial"/>
                <w:bCs/>
                <w:color w:val="auto"/>
                <w:kern w:val="24"/>
                <w:sz w:val="21"/>
                <w:szCs w:val="21"/>
              </w:rPr>
              <w:t>≥</w:t>
            </w:r>
            <w:r>
              <w:rPr>
                <w:rFonts w:eastAsia="宋体" w:cs="宋体"/>
                <w:color w:val="auto"/>
                <w:kern w:val="0"/>
                <w:sz w:val="21"/>
                <w:szCs w:val="21"/>
              </w:rPr>
              <w:t>2</w:t>
            </w:r>
            <w:r>
              <w:rPr>
                <w:rFonts w:hint="eastAsia" w:eastAsia="宋体" w:cs="宋体"/>
                <w:color w:val="auto"/>
                <w:kern w:val="0"/>
                <w:sz w:val="21"/>
                <w:szCs w:val="21"/>
              </w:rPr>
              <w:t>个危险因素</w:t>
            </w:r>
          </w:p>
        </w:tc>
        <w:tc>
          <w:tcPr>
            <w:tcW w:w="4949" w:type="dxa"/>
            <w:tcBorders>
              <w:top w:val="single" w:color="auto" w:sz="8" w:space="0"/>
            </w:tcBorders>
          </w:tcPr>
          <w:p>
            <w:pPr>
              <w:rPr>
                <w:rFonts w:hint="eastAsia" w:eastAsia="宋体"/>
                <w:color w:val="auto"/>
                <w:sz w:val="21"/>
                <w:szCs w:val="21"/>
                <w:lang w:eastAsia="zh-CN"/>
              </w:rPr>
            </w:pPr>
            <w:r>
              <w:rPr>
                <w:rFonts w:hint="eastAsia" w:eastAsia="宋体"/>
                <w:color w:val="auto"/>
                <w:sz w:val="21"/>
                <w:szCs w:val="21"/>
              </w:rPr>
              <w:t>停用</w:t>
            </w:r>
            <w:r>
              <w:rPr>
                <w:rFonts w:eastAsia="宋体"/>
                <w:color w:val="auto"/>
                <w:sz w:val="21"/>
                <w:szCs w:val="21"/>
              </w:rPr>
              <w:t>NSAIDs</w:t>
            </w:r>
            <w:r>
              <w:rPr>
                <w:rFonts w:hint="eastAsia" w:eastAsia="宋体"/>
                <w:color w:val="auto"/>
                <w:sz w:val="21"/>
                <w:szCs w:val="21"/>
              </w:rPr>
              <w:t>和阿司匹林，如不能停用，则优先使用选择性</w:t>
            </w:r>
            <w:r>
              <w:rPr>
                <w:rFonts w:eastAsia="宋体"/>
                <w:color w:val="auto"/>
                <w:sz w:val="21"/>
                <w:szCs w:val="21"/>
              </w:rPr>
              <w:t>COX-2</w:t>
            </w:r>
            <w:r>
              <w:rPr>
                <w:rFonts w:hint="eastAsia" w:eastAsia="宋体"/>
                <w:color w:val="auto"/>
                <w:sz w:val="21"/>
                <w:szCs w:val="21"/>
              </w:rPr>
              <w:t>抑制剂</w:t>
            </w:r>
            <w:r>
              <w:rPr>
                <w:rFonts w:eastAsia="宋体"/>
                <w:color w:val="auto"/>
                <w:sz w:val="21"/>
                <w:szCs w:val="21"/>
              </w:rPr>
              <w:t>+</w:t>
            </w:r>
            <w:r>
              <w:rPr>
                <w:rFonts w:hint="eastAsia" w:eastAsia="宋体"/>
                <w:color w:val="auto"/>
                <w:sz w:val="21"/>
                <w:szCs w:val="21"/>
                <w:lang w:eastAsia="zh-CN"/>
              </w:rPr>
              <w:t>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1210" w:type="dxa"/>
          </w:tcPr>
          <w:p>
            <w:pPr>
              <w:rPr>
                <w:rFonts w:eastAsia="宋体"/>
                <w:color w:val="auto"/>
                <w:sz w:val="21"/>
                <w:szCs w:val="21"/>
              </w:rPr>
            </w:pPr>
            <w:r>
              <w:rPr>
                <w:rFonts w:hint="eastAsia" w:eastAsia="宋体"/>
                <w:color w:val="auto"/>
                <w:sz w:val="21"/>
                <w:szCs w:val="21"/>
              </w:rPr>
              <w:t>中风险</w:t>
            </w:r>
          </w:p>
        </w:tc>
        <w:tc>
          <w:tcPr>
            <w:tcW w:w="2736" w:type="dxa"/>
          </w:tcPr>
          <w:p>
            <w:pPr>
              <w:rPr>
                <w:rFonts w:eastAsia="宋体"/>
                <w:color w:val="auto"/>
                <w:sz w:val="21"/>
                <w:szCs w:val="21"/>
              </w:rPr>
            </w:pPr>
            <w:r>
              <w:rPr>
                <w:rFonts w:hint="eastAsia" w:eastAsia="宋体"/>
                <w:color w:val="auto"/>
                <w:sz w:val="21"/>
                <w:szCs w:val="21"/>
              </w:rPr>
              <w:t>存在</w:t>
            </w:r>
            <w:r>
              <w:rPr>
                <w:rFonts w:eastAsia="宋体"/>
                <w:color w:val="auto"/>
                <w:sz w:val="21"/>
                <w:szCs w:val="21"/>
              </w:rPr>
              <w:t>1~2</w:t>
            </w:r>
            <w:r>
              <w:rPr>
                <w:rFonts w:hint="eastAsia" w:eastAsia="宋体"/>
                <w:color w:val="auto"/>
                <w:sz w:val="21"/>
                <w:szCs w:val="21"/>
              </w:rPr>
              <w:t>个危险因素</w:t>
            </w:r>
          </w:p>
        </w:tc>
        <w:tc>
          <w:tcPr>
            <w:tcW w:w="4949" w:type="dxa"/>
          </w:tcPr>
          <w:p>
            <w:pPr>
              <w:rPr>
                <w:rFonts w:hint="eastAsia" w:eastAsia="宋体"/>
                <w:color w:val="auto"/>
                <w:sz w:val="21"/>
                <w:szCs w:val="21"/>
                <w:lang w:eastAsia="zh-CN"/>
              </w:rPr>
            </w:pPr>
            <w:r>
              <w:rPr>
                <w:rFonts w:hint="eastAsia" w:eastAsia="宋体"/>
                <w:color w:val="auto"/>
                <w:sz w:val="21"/>
                <w:szCs w:val="21"/>
              </w:rPr>
              <w:t>单独选用选择性</w:t>
            </w:r>
            <w:r>
              <w:rPr>
                <w:rFonts w:eastAsia="宋体"/>
                <w:color w:val="auto"/>
                <w:sz w:val="21"/>
                <w:szCs w:val="21"/>
              </w:rPr>
              <w:t>COX-2</w:t>
            </w:r>
            <w:r>
              <w:rPr>
                <w:rFonts w:hint="eastAsia" w:eastAsia="宋体"/>
                <w:color w:val="auto"/>
                <w:sz w:val="21"/>
                <w:szCs w:val="21"/>
              </w:rPr>
              <w:t>抑制剂</w:t>
            </w:r>
            <w:r>
              <w:rPr>
                <w:rFonts w:eastAsia="宋体"/>
                <w:color w:val="auto"/>
                <w:sz w:val="21"/>
                <w:szCs w:val="21"/>
              </w:rPr>
              <w:t>/</w:t>
            </w:r>
            <w:r>
              <w:rPr>
                <w:rFonts w:hint="eastAsia" w:eastAsia="宋体"/>
                <w:color w:val="auto"/>
                <w:sz w:val="21"/>
                <w:szCs w:val="21"/>
              </w:rPr>
              <w:t>非选择性</w:t>
            </w:r>
            <w:r>
              <w:rPr>
                <w:rFonts w:eastAsia="宋体"/>
                <w:color w:val="auto"/>
                <w:sz w:val="21"/>
                <w:szCs w:val="21"/>
              </w:rPr>
              <w:t>NSAIDs</w:t>
            </w:r>
            <w:r>
              <w:rPr>
                <w:rFonts w:hint="eastAsia" w:eastAsia="宋体"/>
                <w:color w:val="auto"/>
                <w:sz w:val="21"/>
                <w:szCs w:val="21"/>
              </w:rPr>
              <w:t>＋</w:t>
            </w:r>
            <w:r>
              <w:rPr>
                <w:rFonts w:hint="eastAsia" w:eastAsia="宋体"/>
                <w:color w:val="auto"/>
                <w:sz w:val="21"/>
                <w:szCs w:val="21"/>
                <w:lang w:eastAsia="zh-CN"/>
              </w:rPr>
              <w:t>质子泵抑制剂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1210" w:type="dxa"/>
            <w:tcBorders>
              <w:bottom w:val="single" w:color="auto" w:sz="12" w:space="0"/>
            </w:tcBorders>
          </w:tcPr>
          <w:p>
            <w:pPr>
              <w:rPr>
                <w:rFonts w:eastAsia="宋体"/>
                <w:color w:val="auto"/>
                <w:sz w:val="21"/>
                <w:szCs w:val="21"/>
              </w:rPr>
            </w:pPr>
            <w:r>
              <w:rPr>
                <w:rFonts w:hint="eastAsia" w:eastAsia="宋体"/>
                <w:color w:val="auto"/>
                <w:sz w:val="21"/>
                <w:szCs w:val="21"/>
              </w:rPr>
              <w:t>低风险</w:t>
            </w:r>
          </w:p>
        </w:tc>
        <w:tc>
          <w:tcPr>
            <w:tcW w:w="2736" w:type="dxa"/>
            <w:tcBorders>
              <w:bottom w:val="single" w:color="auto" w:sz="12" w:space="0"/>
            </w:tcBorders>
          </w:tcPr>
          <w:p>
            <w:pPr>
              <w:rPr>
                <w:rFonts w:eastAsia="宋体"/>
                <w:color w:val="auto"/>
                <w:sz w:val="21"/>
                <w:szCs w:val="21"/>
              </w:rPr>
            </w:pPr>
            <w:r>
              <w:rPr>
                <w:rFonts w:hint="eastAsia" w:eastAsia="宋体"/>
                <w:color w:val="auto"/>
                <w:sz w:val="21"/>
                <w:szCs w:val="21"/>
              </w:rPr>
              <w:t>无危险因素</w:t>
            </w:r>
          </w:p>
        </w:tc>
        <w:tc>
          <w:tcPr>
            <w:tcW w:w="4949" w:type="dxa"/>
            <w:tcBorders>
              <w:bottom w:val="single" w:color="auto" w:sz="12" w:space="0"/>
            </w:tcBorders>
          </w:tcPr>
          <w:p>
            <w:pPr>
              <w:rPr>
                <w:rFonts w:eastAsia="宋体"/>
                <w:color w:val="auto"/>
                <w:sz w:val="21"/>
                <w:szCs w:val="21"/>
              </w:rPr>
            </w:pPr>
            <w:r>
              <w:rPr>
                <w:rFonts w:hint="eastAsia" w:eastAsia="宋体"/>
                <w:color w:val="auto"/>
                <w:sz w:val="21"/>
                <w:szCs w:val="21"/>
              </w:rPr>
              <w:t>可以应用非选择性</w:t>
            </w:r>
            <w:r>
              <w:rPr>
                <w:rFonts w:eastAsia="宋体"/>
                <w:color w:val="auto"/>
                <w:sz w:val="21"/>
                <w:szCs w:val="21"/>
              </w:rPr>
              <w:t>NSAIDs</w:t>
            </w:r>
          </w:p>
        </w:tc>
      </w:tr>
    </w:tbl>
    <w:p>
      <w:pPr>
        <w:spacing w:line="240" w:lineRule="auto"/>
        <w:rPr>
          <w:rFonts w:eastAsia="宋体"/>
          <w:color w:val="auto"/>
          <w:sz w:val="21"/>
          <w:szCs w:val="21"/>
        </w:rPr>
      </w:pPr>
      <w:r>
        <w:rPr>
          <w:rFonts w:eastAsia="宋体"/>
          <w:color w:val="auto"/>
          <w:sz w:val="21"/>
          <w:szCs w:val="21"/>
          <w:vertAlign w:val="superscript"/>
        </w:rPr>
        <w:t>*</w:t>
      </w:r>
      <w:r>
        <w:rPr>
          <w:rFonts w:hint="eastAsia" w:eastAsia="宋体"/>
          <w:color w:val="auto"/>
          <w:sz w:val="21"/>
          <w:szCs w:val="21"/>
        </w:rPr>
        <w:t>危险因素：</w:t>
      </w:r>
      <w:r>
        <w:rPr>
          <w:rFonts w:eastAsia="宋体"/>
          <w:color w:val="auto"/>
          <w:sz w:val="21"/>
          <w:szCs w:val="21"/>
        </w:rPr>
        <w:t xml:space="preserve"> </w:t>
      </w:r>
      <w:r>
        <w:rPr>
          <w:rFonts w:eastAsia="宋体"/>
          <w:color w:val="auto"/>
          <w:sz w:val="21"/>
          <w:szCs w:val="21"/>
        </w:rPr>
        <w:fldChar w:fldCharType="begin"/>
      </w:r>
      <w:r>
        <w:rPr>
          <w:rFonts w:eastAsia="宋体"/>
          <w:color w:val="auto"/>
          <w:sz w:val="21"/>
          <w:szCs w:val="21"/>
        </w:rPr>
        <w:instrText xml:space="preserve"> </w:instrText>
      </w:r>
      <w:r>
        <w:rPr>
          <w:rFonts w:hint="eastAsia" w:eastAsia="宋体"/>
          <w:color w:val="auto"/>
          <w:sz w:val="21"/>
          <w:szCs w:val="21"/>
        </w:rPr>
        <w:instrText xml:space="preserve">= 1 \* GB3</w:instrText>
      </w:r>
      <w:r>
        <w:rPr>
          <w:rFonts w:eastAsia="宋体"/>
          <w:color w:val="auto"/>
          <w:sz w:val="21"/>
          <w:szCs w:val="21"/>
        </w:rPr>
        <w:instrText xml:space="preserve"> </w:instrText>
      </w:r>
      <w:r>
        <w:rPr>
          <w:rFonts w:eastAsia="宋体"/>
          <w:color w:val="auto"/>
          <w:sz w:val="21"/>
          <w:szCs w:val="21"/>
        </w:rPr>
        <w:fldChar w:fldCharType="separate"/>
      </w:r>
      <w:r>
        <w:rPr>
          <w:rFonts w:hint="eastAsia" w:eastAsia="宋体"/>
          <w:color w:val="auto"/>
          <w:sz w:val="21"/>
          <w:szCs w:val="21"/>
        </w:rPr>
        <w:t>①</w:t>
      </w:r>
      <w:r>
        <w:rPr>
          <w:rFonts w:eastAsia="宋体"/>
          <w:color w:val="auto"/>
          <w:sz w:val="21"/>
          <w:szCs w:val="21"/>
        </w:rPr>
        <w:fldChar w:fldCharType="end"/>
      </w:r>
      <w:r>
        <w:rPr>
          <w:rFonts w:hint="eastAsia" w:eastAsia="宋体"/>
          <w:color w:val="auto"/>
          <w:sz w:val="21"/>
          <w:szCs w:val="21"/>
        </w:rPr>
        <w:t>年龄＞</w:t>
      </w:r>
      <w:r>
        <w:rPr>
          <w:rFonts w:eastAsia="宋体"/>
          <w:color w:val="auto"/>
          <w:sz w:val="21"/>
          <w:szCs w:val="21"/>
        </w:rPr>
        <w:t>65</w:t>
      </w:r>
      <w:r>
        <w:rPr>
          <w:rFonts w:hint="eastAsia" w:eastAsia="宋体"/>
          <w:color w:val="auto"/>
          <w:sz w:val="21"/>
          <w:szCs w:val="21"/>
        </w:rPr>
        <w:t>岁；</w:t>
      </w:r>
      <w:r>
        <w:rPr>
          <w:rFonts w:eastAsia="宋体"/>
          <w:color w:val="auto"/>
          <w:sz w:val="21"/>
          <w:szCs w:val="21"/>
        </w:rPr>
        <w:fldChar w:fldCharType="begin"/>
      </w:r>
      <w:r>
        <w:rPr>
          <w:rFonts w:eastAsia="宋体"/>
          <w:color w:val="auto"/>
          <w:sz w:val="21"/>
          <w:szCs w:val="21"/>
        </w:rPr>
        <w:instrText xml:space="preserve"> </w:instrText>
      </w:r>
      <w:r>
        <w:rPr>
          <w:rFonts w:hint="eastAsia" w:eastAsia="宋体"/>
          <w:color w:val="auto"/>
          <w:sz w:val="21"/>
          <w:szCs w:val="21"/>
        </w:rPr>
        <w:instrText xml:space="preserve">= 2 \* GB3</w:instrText>
      </w:r>
      <w:r>
        <w:rPr>
          <w:rFonts w:eastAsia="宋体"/>
          <w:color w:val="auto"/>
          <w:sz w:val="21"/>
          <w:szCs w:val="21"/>
        </w:rPr>
        <w:instrText xml:space="preserve"> </w:instrText>
      </w:r>
      <w:r>
        <w:rPr>
          <w:rFonts w:eastAsia="宋体"/>
          <w:color w:val="auto"/>
          <w:sz w:val="21"/>
          <w:szCs w:val="21"/>
        </w:rPr>
        <w:fldChar w:fldCharType="separate"/>
      </w:r>
      <w:r>
        <w:rPr>
          <w:rFonts w:hint="eastAsia" w:eastAsia="宋体"/>
          <w:color w:val="auto"/>
          <w:sz w:val="21"/>
          <w:szCs w:val="21"/>
        </w:rPr>
        <w:t>②</w:t>
      </w:r>
      <w:r>
        <w:rPr>
          <w:rFonts w:eastAsia="宋体"/>
          <w:color w:val="auto"/>
          <w:sz w:val="21"/>
          <w:szCs w:val="21"/>
        </w:rPr>
        <w:fldChar w:fldCharType="end"/>
      </w:r>
      <w:r>
        <w:rPr>
          <w:rFonts w:hint="eastAsia" w:eastAsia="宋体"/>
          <w:color w:val="auto"/>
          <w:sz w:val="21"/>
          <w:szCs w:val="21"/>
        </w:rPr>
        <w:t>高剂量</w:t>
      </w:r>
      <w:r>
        <w:rPr>
          <w:rFonts w:eastAsia="宋体"/>
          <w:color w:val="auto"/>
          <w:sz w:val="21"/>
          <w:szCs w:val="21"/>
        </w:rPr>
        <w:t>NSAID</w:t>
      </w:r>
      <w:r>
        <w:rPr>
          <w:rFonts w:eastAsia="宋体"/>
          <w:color w:val="auto"/>
          <w:sz w:val="21"/>
          <w:szCs w:val="21"/>
          <w:vertAlign w:val="subscript"/>
        </w:rPr>
        <w:t>S</w:t>
      </w:r>
      <w:r>
        <w:rPr>
          <w:rFonts w:hint="eastAsia" w:eastAsia="宋体"/>
          <w:color w:val="auto"/>
          <w:sz w:val="21"/>
          <w:szCs w:val="21"/>
        </w:rPr>
        <w:t>和阿司匹林治疗，或联用两种以上的</w:t>
      </w:r>
      <w:r>
        <w:rPr>
          <w:rFonts w:eastAsia="宋体"/>
          <w:color w:val="auto"/>
          <w:sz w:val="21"/>
          <w:szCs w:val="21"/>
        </w:rPr>
        <w:t>NSAIDs</w:t>
      </w:r>
      <w:r>
        <w:rPr>
          <w:rFonts w:hint="eastAsia" w:eastAsia="宋体"/>
          <w:color w:val="auto"/>
          <w:sz w:val="21"/>
          <w:szCs w:val="21"/>
        </w:rPr>
        <w:t>；</w:t>
      </w:r>
      <w:r>
        <w:rPr>
          <w:rFonts w:eastAsia="宋体"/>
          <w:color w:val="auto"/>
          <w:sz w:val="21"/>
          <w:szCs w:val="21"/>
        </w:rPr>
        <w:fldChar w:fldCharType="begin"/>
      </w:r>
      <w:r>
        <w:rPr>
          <w:rFonts w:eastAsia="宋体"/>
          <w:color w:val="auto"/>
          <w:sz w:val="21"/>
          <w:szCs w:val="21"/>
        </w:rPr>
        <w:instrText xml:space="preserve"> </w:instrText>
      </w:r>
      <w:r>
        <w:rPr>
          <w:rFonts w:hint="eastAsia" w:eastAsia="宋体"/>
          <w:color w:val="auto"/>
          <w:sz w:val="21"/>
          <w:szCs w:val="21"/>
        </w:rPr>
        <w:instrText xml:space="preserve">= 3 \* GB3</w:instrText>
      </w:r>
      <w:r>
        <w:rPr>
          <w:rFonts w:eastAsia="宋体"/>
          <w:color w:val="auto"/>
          <w:sz w:val="21"/>
          <w:szCs w:val="21"/>
        </w:rPr>
        <w:instrText xml:space="preserve"> </w:instrText>
      </w:r>
      <w:r>
        <w:rPr>
          <w:rFonts w:eastAsia="宋体"/>
          <w:color w:val="auto"/>
          <w:sz w:val="21"/>
          <w:szCs w:val="21"/>
        </w:rPr>
        <w:fldChar w:fldCharType="separate"/>
      </w:r>
      <w:r>
        <w:rPr>
          <w:rFonts w:hint="eastAsia" w:eastAsia="宋体"/>
          <w:color w:val="auto"/>
          <w:sz w:val="21"/>
          <w:szCs w:val="21"/>
        </w:rPr>
        <w:t>③</w:t>
      </w:r>
      <w:r>
        <w:rPr>
          <w:rFonts w:eastAsia="宋体"/>
          <w:color w:val="auto"/>
          <w:sz w:val="21"/>
          <w:szCs w:val="21"/>
        </w:rPr>
        <w:fldChar w:fldCharType="end"/>
      </w:r>
      <w:r>
        <w:rPr>
          <w:rFonts w:hint="eastAsia" w:eastAsia="宋体"/>
          <w:color w:val="auto"/>
          <w:sz w:val="21"/>
          <w:szCs w:val="21"/>
        </w:rPr>
        <w:t>有溃疡病史但无并发症；</w:t>
      </w:r>
      <w:r>
        <w:rPr>
          <w:rFonts w:eastAsia="宋体"/>
          <w:color w:val="auto"/>
          <w:sz w:val="21"/>
          <w:szCs w:val="21"/>
        </w:rPr>
        <w:fldChar w:fldCharType="begin"/>
      </w:r>
      <w:r>
        <w:rPr>
          <w:rFonts w:eastAsia="宋体"/>
          <w:color w:val="auto"/>
          <w:sz w:val="21"/>
          <w:szCs w:val="21"/>
        </w:rPr>
        <w:instrText xml:space="preserve"> </w:instrText>
      </w:r>
      <w:r>
        <w:rPr>
          <w:rFonts w:hint="eastAsia" w:eastAsia="宋体"/>
          <w:color w:val="auto"/>
          <w:sz w:val="21"/>
          <w:szCs w:val="21"/>
        </w:rPr>
        <w:instrText xml:space="preserve">= 4 \* GB3</w:instrText>
      </w:r>
      <w:r>
        <w:rPr>
          <w:rFonts w:eastAsia="宋体"/>
          <w:color w:val="auto"/>
          <w:sz w:val="21"/>
          <w:szCs w:val="21"/>
        </w:rPr>
        <w:instrText xml:space="preserve"> </w:instrText>
      </w:r>
      <w:r>
        <w:rPr>
          <w:rFonts w:eastAsia="宋体"/>
          <w:color w:val="auto"/>
          <w:sz w:val="21"/>
          <w:szCs w:val="21"/>
        </w:rPr>
        <w:fldChar w:fldCharType="separate"/>
      </w:r>
      <w:r>
        <w:rPr>
          <w:rFonts w:hint="eastAsia" w:eastAsia="宋体"/>
          <w:color w:val="auto"/>
          <w:sz w:val="21"/>
          <w:szCs w:val="21"/>
        </w:rPr>
        <w:t>④</w:t>
      </w:r>
      <w:r>
        <w:rPr>
          <w:rFonts w:eastAsia="宋体"/>
          <w:color w:val="auto"/>
          <w:sz w:val="21"/>
          <w:szCs w:val="21"/>
        </w:rPr>
        <w:fldChar w:fldCharType="end"/>
      </w:r>
      <w:r>
        <w:rPr>
          <w:rFonts w:hint="eastAsia" w:eastAsia="宋体"/>
          <w:color w:val="auto"/>
          <w:sz w:val="21"/>
          <w:szCs w:val="21"/>
        </w:rPr>
        <w:t>合并应用</w:t>
      </w:r>
      <w:r>
        <w:rPr>
          <w:rFonts w:eastAsia="宋体"/>
          <w:color w:val="auto"/>
          <w:sz w:val="21"/>
          <w:szCs w:val="21"/>
        </w:rPr>
        <w:t>NSAID</w:t>
      </w:r>
      <w:r>
        <w:rPr>
          <w:rFonts w:eastAsia="宋体"/>
          <w:color w:val="auto"/>
          <w:sz w:val="21"/>
          <w:szCs w:val="21"/>
          <w:vertAlign w:val="subscript"/>
        </w:rPr>
        <w:t>S</w:t>
      </w:r>
      <w:r>
        <w:rPr>
          <w:rFonts w:hint="eastAsia" w:eastAsia="宋体"/>
          <w:color w:val="auto"/>
          <w:sz w:val="21"/>
          <w:szCs w:val="21"/>
        </w:rPr>
        <w:t>和阿司匹林、抗凝剂或糖皮质激素</w:t>
      </w:r>
      <w:r>
        <w:rPr>
          <w:rFonts w:hint="default" w:eastAsia="宋体"/>
          <w:color w:val="auto"/>
          <w:sz w:val="21"/>
          <w:szCs w:val="21"/>
        </w:rPr>
        <w:t>。</w:t>
      </w:r>
    </w:p>
    <w:p>
      <w:pPr>
        <w:pStyle w:val="4"/>
        <w:numPr>
          <w:ilvl w:val="0"/>
          <w:numId w:val="27"/>
        </w:numPr>
        <w:spacing w:line="600" w:lineRule="exact"/>
        <w:ind w:firstLine="643"/>
        <w:rPr>
          <w:b w:val="0"/>
          <w:bCs w:val="0"/>
          <w:color w:val="auto"/>
        </w:rPr>
      </w:pPr>
      <w:bookmarkStart w:id="37" w:name="_Toc535269745"/>
      <w:r>
        <w:rPr>
          <w:rFonts w:hint="eastAsia"/>
          <w:b w:val="0"/>
          <w:bCs w:val="0"/>
          <w:color w:val="auto"/>
        </w:rPr>
        <w:t>胃食管反流病</w:t>
      </w:r>
      <w:bookmarkEnd w:id="37"/>
    </w:p>
    <w:p>
      <w:pPr>
        <w:spacing w:line="600" w:lineRule="exact"/>
        <w:ind w:firstLine="640" w:firstLineChars="200"/>
        <w:rPr>
          <w:color w:val="auto"/>
        </w:rPr>
      </w:pPr>
      <w:r>
        <w:rPr>
          <w:rFonts w:hint="eastAsia"/>
          <w:color w:val="auto"/>
        </w:rPr>
        <w:t>胃食管反流病（</w:t>
      </w:r>
      <w:r>
        <w:rPr>
          <w:color w:val="auto"/>
        </w:rPr>
        <w:t>Gastroesophageal Reflux Disease, GERD</w:t>
      </w:r>
      <w:r>
        <w:rPr>
          <w:rFonts w:hint="eastAsia"/>
          <w:color w:val="auto"/>
        </w:rPr>
        <w:t>）是指胃内容物反流入食管或食管上部（喉）、气管肺部，引起不适症状和并发症的一种疾病，包括非糜烂性胃食管反流病（</w:t>
      </w:r>
      <w:r>
        <w:rPr>
          <w:color w:val="auto"/>
        </w:rPr>
        <w:t>Non-Erosive Reflux Disease</w:t>
      </w:r>
      <w:r>
        <w:rPr>
          <w:rFonts w:hint="eastAsia"/>
          <w:color w:val="auto"/>
        </w:rPr>
        <w:t>，</w:t>
      </w:r>
      <w:r>
        <w:rPr>
          <w:color w:val="auto"/>
        </w:rPr>
        <w:t>NERD</w:t>
      </w:r>
      <w:r>
        <w:rPr>
          <w:rFonts w:hint="eastAsia"/>
          <w:color w:val="auto"/>
        </w:rPr>
        <w:t>）、反流性食管炎、巴雷特食管（</w:t>
      </w:r>
      <w:r>
        <w:rPr>
          <w:color w:val="auto"/>
        </w:rPr>
        <w:t>Barrett Esophagus</w:t>
      </w:r>
      <w:r>
        <w:rPr>
          <w:rFonts w:hint="eastAsia"/>
          <w:color w:val="auto"/>
        </w:rPr>
        <w:t>，</w:t>
      </w:r>
      <w:r>
        <w:rPr>
          <w:color w:val="auto"/>
        </w:rPr>
        <w:t>BE</w:t>
      </w:r>
      <w:r>
        <w:rPr>
          <w:rFonts w:hint="eastAsia"/>
          <w:color w:val="auto"/>
        </w:rPr>
        <w:t>），因其严重程度不同并发症多样，包括食道狭窄、上消化道出血、食道腺癌、哮喘、气管炎和慢性肺纤维化等。</w:t>
      </w:r>
    </w:p>
    <w:p>
      <w:pPr>
        <w:spacing w:line="600" w:lineRule="exact"/>
        <w:ind w:firstLine="480"/>
        <w:rPr>
          <w:color w:val="auto"/>
        </w:rPr>
      </w:pPr>
      <w:r>
        <w:rPr>
          <w:rFonts w:hint="eastAsia"/>
          <w:color w:val="auto"/>
        </w:rPr>
        <w:t>【治疗原则】</w:t>
      </w:r>
    </w:p>
    <w:p>
      <w:pPr>
        <w:pStyle w:val="17"/>
        <w:keepNext w:val="0"/>
        <w:keepLines w:val="0"/>
        <w:pageBreakBefore w:val="0"/>
        <w:widowControl/>
        <w:numPr>
          <w:ilvl w:val="0"/>
          <w:numId w:val="30"/>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生活方式的改变是基础治疗，如减肥、抬高床头、戒烟戒酒、避免睡前进食、避免食用可能诱发反流症状的食物，如咖啡、巧克力、辛辣或酸性食物、高脂饮食等。</w:t>
      </w:r>
    </w:p>
    <w:p>
      <w:pPr>
        <w:pStyle w:val="17"/>
        <w:keepNext w:val="0"/>
        <w:keepLines w:val="0"/>
        <w:pageBreakBefore w:val="0"/>
        <w:widowControl/>
        <w:numPr>
          <w:ilvl w:val="0"/>
          <w:numId w:val="30"/>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是</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治疗的首选药物。药物治疗方案分为诊断性治疗、初始治疗和维持治疗。</w:t>
      </w:r>
    </w:p>
    <w:p>
      <w:pPr>
        <w:spacing w:line="600" w:lineRule="exact"/>
        <w:ind w:firstLine="480"/>
        <w:rPr>
          <w:color w:val="auto"/>
        </w:rPr>
      </w:pPr>
      <w:r>
        <w:rPr>
          <w:rFonts w:hint="eastAsia"/>
          <w:color w:val="auto"/>
        </w:rPr>
        <w:t>【质子泵抑制剂的应用】</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bookmarkStart w:id="38" w:name="OLE_LINK5"/>
      <w:bookmarkStart w:id="39" w:name="OLE_LINK6"/>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试验可作为</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的初步诊断。标准剂量</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，一日两次，疗程</w:t>
      </w:r>
      <w:r>
        <w:rPr>
          <w:rFonts w:ascii="Times New Roman" w:hAnsi="Times New Roman" w:eastAsia="仿宋" w:cstheme="minorBidi"/>
          <w:color w:val="auto"/>
          <w:kern w:val="2"/>
          <w:sz w:val="32"/>
          <w:szCs w:val="22"/>
        </w:rPr>
        <w:t>1~2</w:t>
      </w:r>
      <w:r>
        <w:rPr>
          <w:rFonts w:hint="eastAsia" w:ascii="Times New Roman" w:hAnsi="Times New Roman" w:eastAsia="仿宋" w:cstheme="minorBidi"/>
          <w:color w:val="auto"/>
          <w:kern w:val="2"/>
          <w:sz w:val="32"/>
          <w:szCs w:val="22"/>
        </w:rPr>
        <w:t>周，如服药后症状明显改善，则支持治疗与酸相关的</w:t>
      </w:r>
      <w:r>
        <w:rPr>
          <w:rFonts w:ascii="Times New Roman" w:hAnsi="Times New Roman" w:eastAsia="仿宋" w:cstheme="minorBidi"/>
          <w:color w:val="auto"/>
          <w:kern w:val="2"/>
          <w:sz w:val="32"/>
          <w:szCs w:val="22"/>
        </w:rPr>
        <w:t>GERD</w:t>
      </w:r>
      <w:bookmarkEnd w:id="38"/>
      <w:bookmarkEnd w:id="39"/>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初始治疗方案：标准剂量</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，疗程至少</w:t>
      </w:r>
      <w:r>
        <w:rPr>
          <w:rFonts w:ascii="Times New Roman" w:hAnsi="Times New Roman" w:eastAsia="仿宋" w:cstheme="minorBidi"/>
          <w:color w:val="auto"/>
          <w:kern w:val="2"/>
          <w:sz w:val="32"/>
          <w:szCs w:val="22"/>
        </w:rPr>
        <w:t>8</w:t>
      </w:r>
      <w:r>
        <w:rPr>
          <w:rFonts w:hint="eastAsia" w:ascii="Times New Roman" w:hAnsi="Times New Roman" w:eastAsia="仿宋" w:cstheme="minorBidi"/>
          <w:color w:val="auto"/>
          <w:kern w:val="2"/>
          <w:sz w:val="32"/>
          <w:szCs w:val="22"/>
        </w:rPr>
        <w:t>周。</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维持治疗方案：</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为首选药物，包括按需治疗和长期治疗。</w:t>
      </w:r>
      <w:r>
        <w:rPr>
          <w:rFonts w:ascii="Times New Roman" w:hAnsi="Times New Roman" w:eastAsia="仿宋" w:cstheme="minorBidi"/>
          <w:color w:val="auto"/>
          <w:kern w:val="2"/>
          <w:sz w:val="32"/>
          <w:szCs w:val="22"/>
        </w:rPr>
        <w:t>NERD</w:t>
      </w:r>
      <w:r>
        <w:rPr>
          <w:rFonts w:hint="eastAsia" w:ascii="Times New Roman" w:hAnsi="Times New Roman" w:eastAsia="仿宋" w:cstheme="minorBidi"/>
          <w:color w:val="auto"/>
          <w:kern w:val="2"/>
          <w:sz w:val="32"/>
          <w:szCs w:val="22"/>
        </w:rPr>
        <w:t>及轻度食管炎患者（</w:t>
      </w:r>
      <w:r>
        <w:rPr>
          <w:rFonts w:ascii="Times New Roman" w:hAnsi="Times New Roman" w:eastAsia="仿宋" w:cstheme="minorBidi"/>
          <w:color w:val="auto"/>
          <w:kern w:val="2"/>
          <w:sz w:val="32"/>
          <w:szCs w:val="22"/>
        </w:rPr>
        <w:t>LA-A</w:t>
      </w:r>
      <w:r>
        <w:rPr>
          <w:rFonts w:hint="eastAsia" w:ascii="Times New Roman" w:hAnsi="Times New Roman" w:eastAsia="仿宋" w:cstheme="minorBidi"/>
          <w:color w:val="auto"/>
          <w:kern w:val="2"/>
          <w:sz w:val="32"/>
          <w:szCs w:val="22"/>
        </w:rPr>
        <w:t>和</w:t>
      </w:r>
      <w:r>
        <w:rPr>
          <w:rFonts w:ascii="Times New Roman" w:hAnsi="Times New Roman" w:eastAsia="仿宋" w:cstheme="minorBidi"/>
          <w:color w:val="auto"/>
          <w:kern w:val="2"/>
          <w:sz w:val="32"/>
          <w:szCs w:val="22"/>
        </w:rPr>
        <w:t>LA-B</w:t>
      </w:r>
      <w:r>
        <w:rPr>
          <w:rFonts w:hint="eastAsia" w:ascii="Times New Roman" w:hAnsi="Times New Roman" w:eastAsia="仿宋" w:cstheme="minorBidi"/>
          <w:color w:val="auto"/>
          <w:kern w:val="2"/>
          <w:sz w:val="32"/>
          <w:szCs w:val="22"/>
        </w:rPr>
        <w:t>级）可采用按需治疗，出现症状时用药，缓解后停药；或者间歇治疗，剂量不变，隔日给药。</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停药后，症状复发或仍然存在症状的</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患者，以及重度糜烂性食管炎和</w:t>
      </w:r>
      <w:r>
        <w:rPr>
          <w:rFonts w:ascii="Times New Roman" w:hAnsi="Times New Roman" w:eastAsia="仿宋" w:cstheme="minorBidi"/>
          <w:color w:val="auto"/>
          <w:kern w:val="2"/>
          <w:sz w:val="32"/>
          <w:szCs w:val="22"/>
        </w:rPr>
        <w:t>Barrett</w:t>
      </w:r>
      <w:r>
        <w:rPr>
          <w:rFonts w:hint="eastAsia" w:ascii="Times New Roman" w:hAnsi="Times New Roman" w:eastAsia="仿宋" w:cstheme="minorBidi"/>
          <w:color w:val="auto"/>
          <w:kern w:val="2"/>
          <w:sz w:val="32"/>
          <w:szCs w:val="22"/>
        </w:rPr>
        <w:t>食管的患者需要</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长期维持治疗，可维持原剂量或剂量减半，每日一次。</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优化</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治疗：单剂量</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治疗未完全缓解的患者，可换用另一种</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治疗或将原有</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剂量加倍。在使用双倍剂量</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时，应分别在早餐前和晚餐前分两次服用。</w:t>
      </w:r>
    </w:p>
    <w:p>
      <w:pPr>
        <w:pStyle w:val="17"/>
        <w:keepNext w:val="0"/>
        <w:keepLines w:val="0"/>
        <w:pageBreakBefore w:val="0"/>
        <w:widowControl/>
        <w:numPr>
          <w:ilvl w:val="0"/>
          <w:numId w:val="3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对于合并食管裂孔疝的</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患者以及重度食管炎（</w:t>
      </w:r>
      <w:r>
        <w:rPr>
          <w:rFonts w:ascii="Times New Roman" w:hAnsi="Times New Roman" w:eastAsia="仿宋" w:cstheme="minorBidi"/>
          <w:color w:val="auto"/>
          <w:kern w:val="2"/>
          <w:sz w:val="32"/>
          <w:szCs w:val="22"/>
        </w:rPr>
        <w:t>LA-C</w:t>
      </w:r>
      <w:r>
        <w:rPr>
          <w:rFonts w:hint="eastAsia" w:ascii="Times New Roman" w:hAnsi="Times New Roman" w:eastAsia="仿宋" w:cstheme="minorBidi"/>
          <w:color w:val="auto"/>
          <w:kern w:val="2"/>
          <w:sz w:val="32"/>
          <w:szCs w:val="22"/>
        </w:rPr>
        <w:t>和</w:t>
      </w:r>
      <w:r>
        <w:rPr>
          <w:rFonts w:ascii="Times New Roman" w:hAnsi="Times New Roman" w:eastAsia="仿宋" w:cstheme="minorBidi"/>
          <w:color w:val="auto"/>
          <w:kern w:val="2"/>
          <w:sz w:val="32"/>
          <w:szCs w:val="22"/>
        </w:rPr>
        <w:t>LA-D</w:t>
      </w:r>
      <w:r>
        <w:rPr>
          <w:rFonts w:hint="eastAsia" w:ascii="Times New Roman" w:hAnsi="Times New Roman" w:eastAsia="仿宋" w:cstheme="minorBidi"/>
          <w:color w:val="auto"/>
          <w:kern w:val="2"/>
          <w:sz w:val="32"/>
          <w:szCs w:val="22"/>
        </w:rPr>
        <w:t>级）患者，</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剂量通常需要加倍。</w:t>
      </w:r>
    </w:p>
    <w:p>
      <w:pPr>
        <w:pStyle w:val="17"/>
        <w:keepNext w:val="0"/>
        <w:keepLines w:val="0"/>
        <w:pageBreakBefore w:val="0"/>
        <w:widowControl/>
        <w:numPr>
          <w:ilvl w:val="-1"/>
          <w:numId w:val="0"/>
        </w:numPr>
        <w:kinsoku w:val="0"/>
        <w:wordWrap/>
        <w:overflowPunct w:val="0"/>
        <w:topLinePunct w:val="0"/>
        <w:autoSpaceDE/>
        <w:autoSpaceDN/>
        <w:bidi w:val="0"/>
        <w:adjustRightInd/>
        <w:snapToGrid/>
        <w:spacing w:before="0" w:beforeAutospacing="0" w:afterAutospacing="0" w:line="600" w:lineRule="exact"/>
        <w:jc w:val="both"/>
        <w:textAlignment w:val="baseline"/>
        <w:outlineLvl w:val="9"/>
        <w:rPr>
          <w:color w:val="auto"/>
        </w:rPr>
      </w:pPr>
      <w:r>
        <w:rPr>
          <w:rFonts w:hint="default" w:ascii="Times New Roman" w:hAnsi="Times New Roman" w:eastAsia="仿宋" w:cstheme="minorBidi"/>
          <w:color w:val="auto"/>
          <w:kern w:val="2"/>
          <w:sz w:val="32"/>
          <w:szCs w:val="22"/>
        </w:rPr>
        <w:t xml:space="preserve">    7.  </w:t>
      </w:r>
      <w:r>
        <w:rPr>
          <w:rFonts w:hint="eastAsia" w:ascii="Times New Roman" w:hAnsi="Times New Roman" w:eastAsia="仿宋" w:cstheme="minorBidi"/>
          <w:color w:val="auto"/>
          <w:kern w:val="2"/>
          <w:sz w:val="32"/>
          <w:szCs w:val="22"/>
        </w:rPr>
        <w:t>儿童</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：对于具有典型症状（即反流、呕吐、烧心、胸骨后或上腹痛）的</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患儿推荐</w:t>
      </w:r>
      <w:r>
        <w:rPr>
          <w:rFonts w:ascii="Times New Roman" w:hAnsi="Times New Roman" w:eastAsia="仿宋" w:cstheme="minorBidi"/>
          <w:color w:val="auto"/>
          <w:kern w:val="2"/>
          <w:sz w:val="32"/>
          <w:szCs w:val="22"/>
        </w:rPr>
        <w:t>4~8</w:t>
      </w:r>
      <w:r>
        <w:rPr>
          <w:rFonts w:hint="eastAsia" w:ascii="Times New Roman" w:hAnsi="Times New Roman" w:eastAsia="仿宋" w:cstheme="minorBidi"/>
          <w:color w:val="auto"/>
          <w:kern w:val="2"/>
          <w:sz w:val="32"/>
          <w:szCs w:val="22"/>
        </w:rPr>
        <w:t>周的</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治疗；对伴有</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典型症状和</w:t>
      </w:r>
      <w:r>
        <w:rPr>
          <w:rFonts w:ascii="Times New Roman" w:hAnsi="Times New Roman" w:eastAsia="仿宋" w:cstheme="minorBidi"/>
          <w:color w:val="auto"/>
          <w:kern w:val="2"/>
          <w:sz w:val="32"/>
          <w:szCs w:val="22"/>
        </w:rPr>
        <w:t>/</w:t>
      </w:r>
      <w:r>
        <w:rPr>
          <w:rFonts w:hint="eastAsia" w:ascii="Times New Roman" w:hAnsi="Times New Roman" w:eastAsia="仿宋" w:cstheme="minorBidi"/>
          <w:color w:val="auto"/>
          <w:kern w:val="2"/>
          <w:sz w:val="32"/>
          <w:szCs w:val="22"/>
        </w:rPr>
        <w:t>或诊断检查中提示具有食管外症状（即咳嗽、喘息、哮喘）的</w:t>
      </w:r>
      <w:r>
        <w:rPr>
          <w:rFonts w:ascii="Times New Roman" w:hAnsi="Times New Roman" w:eastAsia="仿宋" w:cstheme="minorBidi"/>
          <w:color w:val="auto"/>
          <w:kern w:val="2"/>
          <w:sz w:val="32"/>
          <w:szCs w:val="22"/>
        </w:rPr>
        <w:t>GERD</w:t>
      </w:r>
      <w:r>
        <w:rPr>
          <w:rFonts w:hint="eastAsia" w:ascii="Times New Roman" w:hAnsi="Times New Roman" w:eastAsia="仿宋" w:cstheme="minorBidi"/>
          <w:color w:val="auto"/>
          <w:kern w:val="2"/>
          <w:sz w:val="32"/>
          <w:szCs w:val="22"/>
        </w:rPr>
        <w:t>患儿可使用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，用法用量见</w:t>
      </w:r>
      <w:r>
        <w:rPr>
          <w:color w:val="auto"/>
        </w:rPr>
        <w:fldChar w:fldCharType="begin"/>
      </w:r>
      <w:r>
        <w:rPr>
          <w:color w:val="auto"/>
        </w:rPr>
        <w:instrText xml:space="preserve"> REF _Ref522261545 \h  \* MERGEFORMAT </w:instrText>
      </w:r>
      <w:r>
        <w:rPr>
          <w:color w:val="auto"/>
        </w:rPr>
        <w:fldChar w:fldCharType="separate"/>
      </w:r>
      <w:r>
        <w:rPr>
          <w:rFonts w:hint="eastAsia" w:ascii="Times New Roman" w:hAnsi="Times New Roman" w:eastAsia="仿宋" w:cstheme="minorBidi"/>
          <w:color w:val="auto"/>
          <w:kern w:val="2"/>
          <w:sz w:val="32"/>
          <w:szCs w:val="22"/>
        </w:rPr>
        <w:t>表</w:t>
      </w:r>
      <w:r>
        <w:rPr>
          <w:rFonts w:ascii="Times New Roman" w:hAnsi="Times New Roman" w:eastAsia="仿宋" w:cstheme="minorBidi"/>
          <w:color w:val="auto"/>
          <w:kern w:val="2"/>
          <w:sz w:val="32"/>
          <w:szCs w:val="22"/>
        </w:rPr>
        <w:t>4- 2</w:t>
      </w:r>
      <w:r>
        <w:rPr>
          <w:color w:val="auto"/>
        </w:rPr>
        <w:fldChar w:fldCharType="end"/>
      </w:r>
      <w:r>
        <w:rPr>
          <w:rFonts w:hint="eastAsia" w:ascii="Times New Roman" w:hAnsi="Times New Roman" w:eastAsia="仿宋" w:cstheme="minorBidi"/>
          <w:color w:val="auto"/>
          <w:kern w:val="2"/>
          <w:sz w:val="32"/>
          <w:szCs w:val="22"/>
        </w:rPr>
        <w:t>。长期维持治疗的患儿需要定期评估。</w:t>
      </w:r>
    </w:p>
    <w:p>
      <w:pPr>
        <w:jc w:val="center"/>
        <w:rPr>
          <w:rFonts w:eastAsia="宋体"/>
          <w:color w:val="auto"/>
          <w:sz w:val="24"/>
          <w:szCs w:val="21"/>
        </w:rPr>
      </w:pPr>
      <w:bookmarkStart w:id="40" w:name="_Ref522261545"/>
      <w:r>
        <w:rPr>
          <w:rFonts w:hint="eastAsia" w:eastAsia="宋体"/>
          <w:color w:val="auto"/>
          <w:sz w:val="24"/>
          <w:szCs w:val="21"/>
        </w:rPr>
        <w:t>表</w:t>
      </w:r>
      <w:r>
        <w:rPr>
          <w:rFonts w:eastAsia="宋体"/>
          <w:color w:val="auto"/>
          <w:sz w:val="24"/>
          <w:szCs w:val="21"/>
        </w:rPr>
        <w:t xml:space="preserve">4- </w:t>
      </w:r>
      <w:r>
        <w:rPr>
          <w:rFonts w:eastAsia="宋体"/>
          <w:color w:val="auto"/>
          <w:sz w:val="24"/>
          <w:szCs w:val="21"/>
        </w:rPr>
        <w:fldChar w:fldCharType="begin"/>
      </w:r>
      <w:r>
        <w:rPr>
          <w:rFonts w:eastAsia="宋体"/>
          <w:color w:val="auto"/>
          <w:sz w:val="24"/>
          <w:szCs w:val="21"/>
        </w:rPr>
        <w:instrText xml:space="preserve"> SEQ </w:instrText>
      </w:r>
      <w:r>
        <w:rPr>
          <w:rFonts w:hint="eastAsia" w:eastAsia="宋体"/>
          <w:color w:val="auto"/>
          <w:sz w:val="24"/>
          <w:szCs w:val="21"/>
        </w:rPr>
        <w:instrText xml:space="preserve">表</w:instrText>
      </w:r>
      <w:r>
        <w:rPr>
          <w:rFonts w:eastAsia="宋体"/>
          <w:color w:val="auto"/>
          <w:sz w:val="24"/>
          <w:szCs w:val="21"/>
        </w:rPr>
        <w:instrText xml:space="preserve">4- \* ARABIC </w:instrText>
      </w:r>
      <w:r>
        <w:rPr>
          <w:rFonts w:eastAsia="宋体"/>
          <w:color w:val="auto"/>
          <w:sz w:val="24"/>
          <w:szCs w:val="21"/>
        </w:rPr>
        <w:fldChar w:fldCharType="separate"/>
      </w:r>
      <w:r>
        <w:rPr>
          <w:rFonts w:eastAsia="宋体"/>
          <w:color w:val="auto"/>
          <w:sz w:val="24"/>
          <w:szCs w:val="21"/>
        </w:rPr>
        <w:t>2</w:t>
      </w:r>
      <w:r>
        <w:rPr>
          <w:rFonts w:eastAsia="宋体"/>
          <w:color w:val="auto"/>
          <w:sz w:val="24"/>
          <w:szCs w:val="21"/>
        </w:rPr>
        <w:fldChar w:fldCharType="end"/>
      </w:r>
      <w:bookmarkEnd w:id="40"/>
      <w:r>
        <w:rPr>
          <w:rFonts w:hint="eastAsia" w:eastAsia="宋体"/>
          <w:color w:val="auto"/>
          <w:sz w:val="24"/>
          <w:szCs w:val="21"/>
        </w:rPr>
        <w:t>儿童</w:t>
      </w:r>
      <w:r>
        <w:rPr>
          <w:rFonts w:eastAsia="宋体"/>
          <w:color w:val="auto"/>
          <w:sz w:val="24"/>
          <w:szCs w:val="21"/>
        </w:rPr>
        <w:t>GERD</w:t>
      </w:r>
      <w:r>
        <w:rPr>
          <w:rFonts w:hint="eastAsia" w:eastAsia="宋体"/>
          <w:color w:val="auto"/>
          <w:sz w:val="24"/>
          <w:szCs w:val="21"/>
        </w:rPr>
        <w:t>用药推荐剂量</w:t>
      </w:r>
    </w:p>
    <w:tbl>
      <w:tblPr>
        <w:tblStyle w:val="24"/>
        <w:tblW w:w="8949" w:type="dxa"/>
        <w:tblInd w:w="93" w:type="dxa"/>
        <w:tblLayout w:type="fixed"/>
        <w:tblCellMar>
          <w:top w:w="0" w:type="dxa"/>
          <w:left w:w="108" w:type="dxa"/>
          <w:bottom w:w="0" w:type="dxa"/>
          <w:right w:w="108" w:type="dxa"/>
        </w:tblCellMar>
      </w:tblPr>
      <w:tblGrid>
        <w:gridCol w:w="1332"/>
        <w:gridCol w:w="7617"/>
      </w:tblGrid>
      <w:tr>
        <w:tblPrEx>
          <w:tblLayout w:type="fixed"/>
          <w:tblCellMar>
            <w:top w:w="0" w:type="dxa"/>
            <w:left w:w="108" w:type="dxa"/>
            <w:bottom w:w="0" w:type="dxa"/>
            <w:right w:w="108" w:type="dxa"/>
          </w:tblCellMar>
        </w:tblPrEx>
        <w:trPr>
          <w:trHeight w:val="433" w:hRule="atLeast"/>
        </w:trPr>
        <w:tc>
          <w:tcPr>
            <w:tcW w:w="1332" w:type="dxa"/>
            <w:tcBorders>
              <w:top w:val="single" w:color="auto" w:sz="12" w:space="0"/>
              <w:left w:val="nil"/>
              <w:bottom w:val="single" w:color="auto" w:sz="4" w:space="0"/>
              <w:right w:val="nil"/>
            </w:tcBorders>
            <w:shd w:val="clear" w:color="auto" w:fill="auto"/>
            <w:vAlign w:val="center"/>
          </w:tcPr>
          <w:p>
            <w:pPr>
              <w:rPr>
                <w:rFonts w:eastAsia="宋体"/>
                <w:color w:val="auto"/>
                <w:sz w:val="21"/>
                <w:szCs w:val="21"/>
              </w:rPr>
            </w:pPr>
            <w:r>
              <w:rPr>
                <w:rFonts w:hint="eastAsia" w:eastAsia="宋体"/>
                <w:color w:val="auto"/>
                <w:sz w:val="21"/>
                <w:szCs w:val="21"/>
              </w:rPr>
              <w:t>药物</w:t>
            </w:r>
          </w:p>
        </w:tc>
        <w:tc>
          <w:tcPr>
            <w:tcW w:w="7617" w:type="dxa"/>
            <w:tcBorders>
              <w:top w:val="single" w:color="auto" w:sz="12" w:space="0"/>
              <w:left w:val="nil"/>
              <w:bottom w:val="single" w:color="auto" w:sz="4" w:space="0"/>
              <w:right w:val="nil"/>
            </w:tcBorders>
            <w:shd w:val="clear" w:color="auto" w:fill="auto"/>
            <w:vAlign w:val="center"/>
          </w:tcPr>
          <w:p>
            <w:pPr>
              <w:rPr>
                <w:rFonts w:eastAsia="宋体"/>
                <w:color w:val="auto"/>
                <w:sz w:val="21"/>
                <w:szCs w:val="21"/>
              </w:rPr>
            </w:pPr>
            <w:r>
              <w:rPr>
                <w:rFonts w:hint="eastAsia" w:eastAsia="宋体"/>
                <w:color w:val="auto"/>
                <w:sz w:val="21"/>
                <w:szCs w:val="21"/>
              </w:rPr>
              <w:t>剂量</w:t>
            </w:r>
          </w:p>
        </w:tc>
      </w:tr>
      <w:tr>
        <w:tblPrEx>
          <w:tblLayout w:type="fixed"/>
          <w:tblCellMar>
            <w:top w:w="0" w:type="dxa"/>
            <w:left w:w="108" w:type="dxa"/>
            <w:bottom w:w="0" w:type="dxa"/>
            <w:right w:w="108" w:type="dxa"/>
          </w:tblCellMar>
        </w:tblPrEx>
        <w:trPr>
          <w:trHeight w:val="251" w:hRule="atLeast"/>
        </w:trPr>
        <w:tc>
          <w:tcPr>
            <w:tcW w:w="1332" w:type="dxa"/>
            <w:vMerge w:val="restart"/>
            <w:tcBorders>
              <w:top w:val="single" w:color="auto" w:sz="4" w:space="0"/>
              <w:left w:val="nil"/>
              <w:right w:val="nil"/>
            </w:tcBorders>
            <w:shd w:val="clear" w:color="auto" w:fill="auto"/>
            <w:vAlign w:val="center"/>
          </w:tcPr>
          <w:p>
            <w:pPr>
              <w:rPr>
                <w:rFonts w:eastAsia="宋体"/>
                <w:color w:val="auto"/>
                <w:sz w:val="21"/>
                <w:szCs w:val="21"/>
              </w:rPr>
            </w:pPr>
            <w:r>
              <w:rPr>
                <w:rFonts w:hint="eastAsia" w:eastAsia="宋体"/>
                <w:color w:val="auto"/>
                <w:sz w:val="21"/>
                <w:szCs w:val="21"/>
              </w:rPr>
              <w:t>奥美拉唑</w:t>
            </w:r>
          </w:p>
        </w:tc>
        <w:tc>
          <w:tcPr>
            <w:tcW w:w="7617" w:type="dxa"/>
            <w:tcBorders>
              <w:top w:val="single" w:color="auto" w:sz="4" w:space="0"/>
              <w:left w:val="nil"/>
              <w:bottom w:val="nil"/>
              <w:right w:val="nil"/>
            </w:tcBorders>
            <w:shd w:val="clear" w:color="auto" w:fill="auto"/>
            <w:vAlign w:val="bottom"/>
          </w:tcPr>
          <w:p>
            <w:pPr>
              <w:rPr>
                <w:rFonts w:eastAsia="宋体"/>
                <w:color w:val="auto"/>
                <w:sz w:val="21"/>
                <w:szCs w:val="21"/>
              </w:rPr>
            </w:pPr>
            <w:r>
              <w:rPr>
                <w:rFonts w:eastAsia="宋体"/>
                <w:color w:val="auto"/>
                <w:sz w:val="21"/>
                <w:szCs w:val="21"/>
              </w:rPr>
              <w:t>GERD</w:t>
            </w:r>
            <w:r>
              <w:rPr>
                <w:rFonts w:hint="eastAsia" w:eastAsia="宋体"/>
                <w:color w:val="auto"/>
                <w:sz w:val="21"/>
                <w:szCs w:val="21"/>
              </w:rPr>
              <w:t>患者用量</w:t>
            </w:r>
          </w:p>
        </w:tc>
      </w:tr>
      <w:tr>
        <w:tblPrEx>
          <w:tblLayout w:type="fixed"/>
          <w:tblCellMar>
            <w:top w:w="0" w:type="dxa"/>
            <w:left w:w="108" w:type="dxa"/>
            <w:bottom w:w="0" w:type="dxa"/>
            <w:right w:w="108" w:type="dxa"/>
          </w:tblCellMar>
        </w:tblPrEx>
        <w:trPr>
          <w:trHeight w:val="251" w:hRule="atLeast"/>
        </w:trPr>
        <w:tc>
          <w:tcPr>
            <w:tcW w:w="1332" w:type="dxa"/>
            <w:vMerge w:val="continue"/>
            <w:tcBorders>
              <w:left w:val="nil"/>
              <w:right w:val="nil"/>
            </w:tcBorders>
            <w:shd w:val="clear" w:color="auto" w:fill="auto"/>
            <w:vAlign w:val="bottom"/>
          </w:tcPr>
          <w:p>
            <w:pPr>
              <w:rPr>
                <w:rFonts w:eastAsia="宋体"/>
                <w:color w:val="auto"/>
                <w:sz w:val="21"/>
                <w:szCs w:val="21"/>
              </w:rPr>
            </w:pPr>
          </w:p>
        </w:tc>
        <w:tc>
          <w:tcPr>
            <w:tcW w:w="7617" w:type="dxa"/>
            <w:tcBorders>
              <w:top w:val="nil"/>
              <w:left w:val="nil"/>
              <w:bottom w:val="nil"/>
              <w:right w:val="nil"/>
            </w:tcBorders>
            <w:shd w:val="clear" w:color="auto" w:fill="auto"/>
            <w:vAlign w:val="bottom"/>
          </w:tcPr>
          <w:p>
            <w:pPr>
              <w:rPr>
                <w:rFonts w:eastAsia="宋体"/>
                <w:color w:val="auto"/>
                <w:sz w:val="21"/>
                <w:szCs w:val="21"/>
              </w:rPr>
            </w:pPr>
            <w:r>
              <w:rPr>
                <w:rFonts w:hint="eastAsia" w:eastAsia="宋体"/>
                <w:color w:val="auto"/>
                <w:sz w:val="21"/>
                <w:szCs w:val="21"/>
              </w:rPr>
              <w:t>0.6</w:t>
            </w:r>
            <w:r>
              <w:rPr>
                <w:rFonts w:eastAsia="宋体"/>
                <w:color w:val="auto"/>
                <w:sz w:val="21"/>
                <w:szCs w:val="21"/>
              </w:rPr>
              <w:t>~1.</w:t>
            </w:r>
            <w:r>
              <w:rPr>
                <w:rFonts w:hint="eastAsia" w:eastAsia="宋体"/>
                <w:color w:val="auto"/>
                <w:sz w:val="21"/>
                <w:szCs w:val="21"/>
              </w:rPr>
              <w:t>0</w:t>
            </w:r>
            <w:r>
              <w:rPr>
                <w:rFonts w:eastAsia="宋体"/>
                <w:color w:val="auto"/>
                <w:sz w:val="21"/>
                <w:szCs w:val="21"/>
              </w:rPr>
              <w:t xml:space="preserve"> mg/</w:t>
            </w:r>
            <w:r>
              <w:rPr>
                <w:rFonts w:hint="eastAsia" w:eastAsia="宋体"/>
                <w:color w:val="auto"/>
                <w:sz w:val="21"/>
                <w:szCs w:val="21"/>
              </w:rPr>
              <w:t>（</w:t>
            </w:r>
            <w:r>
              <w:rPr>
                <w:rFonts w:eastAsia="宋体"/>
                <w:color w:val="auto"/>
                <w:sz w:val="21"/>
                <w:szCs w:val="21"/>
              </w:rPr>
              <w:t>kg</w:t>
            </w:r>
            <w:r>
              <w:rPr>
                <w:rFonts w:hint="eastAsia" w:eastAsia="宋体"/>
                <w:color w:val="auto"/>
                <w:sz w:val="21"/>
                <w:szCs w:val="21"/>
              </w:rPr>
              <w:t>.d），每天</w:t>
            </w:r>
            <w:r>
              <w:rPr>
                <w:rFonts w:eastAsia="宋体"/>
                <w:color w:val="auto"/>
                <w:sz w:val="21"/>
                <w:szCs w:val="21"/>
              </w:rPr>
              <w:t>1</w:t>
            </w:r>
            <w:r>
              <w:rPr>
                <w:rFonts w:hint="eastAsia" w:eastAsia="宋体"/>
                <w:color w:val="auto"/>
                <w:sz w:val="21"/>
                <w:szCs w:val="21"/>
              </w:rPr>
              <w:t>次，最大剂量40</w:t>
            </w:r>
            <w:r>
              <w:rPr>
                <w:rFonts w:eastAsia="宋体"/>
                <w:color w:val="auto"/>
                <w:sz w:val="21"/>
                <w:szCs w:val="21"/>
              </w:rPr>
              <w:t xml:space="preserve"> </w:t>
            </w:r>
            <w:r>
              <w:rPr>
                <w:rFonts w:hint="eastAsia" w:eastAsia="宋体"/>
                <w:color w:val="auto"/>
                <w:sz w:val="21"/>
                <w:szCs w:val="21"/>
              </w:rPr>
              <w:t>mg/d，晨起空腹服用，疗程8~12周</w:t>
            </w:r>
          </w:p>
        </w:tc>
      </w:tr>
      <w:tr>
        <w:tblPrEx>
          <w:tblLayout w:type="fixed"/>
          <w:tblCellMar>
            <w:top w:w="0" w:type="dxa"/>
            <w:left w:w="108" w:type="dxa"/>
            <w:bottom w:w="0" w:type="dxa"/>
            <w:right w:w="108" w:type="dxa"/>
          </w:tblCellMar>
        </w:tblPrEx>
        <w:trPr>
          <w:trHeight w:val="251" w:hRule="atLeast"/>
        </w:trPr>
        <w:tc>
          <w:tcPr>
            <w:tcW w:w="1332" w:type="dxa"/>
            <w:vMerge w:val="continue"/>
            <w:tcBorders>
              <w:left w:val="nil"/>
              <w:right w:val="nil"/>
            </w:tcBorders>
            <w:shd w:val="clear" w:color="auto" w:fill="auto"/>
            <w:vAlign w:val="bottom"/>
          </w:tcPr>
          <w:p>
            <w:pPr>
              <w:rPr>
                <w:rFonts w:eastAsia="宋体"/>
                <w:color w:val="auto"/>
                <w:sz w:val="21"/>
                <w:szCs w:val="21"/>
              </w:rPr>
            </w:pPr>
          </w:p>
        </w:tc>
        <w:tc>
          <w:tcPr>
            <w:tcW w:w="7617" w:type="dxa"/>
            <w:tcBorders>
              <w:top w:val="nil"/>
              <w:left w:val="nil"/>
              <w:right w:val="nil"/>
            </w:tcBorders>
            <w:shd w:val="clear" w:color="auto" w:fill="auto"/>
            <w:vAlign w:val="bottom"/>
          </w:tcPr>
          <w:p>
            <w:pPr>
              <w:rPr>
                <w:rFonts w:eastAsia="宋体"/>
                <w:color w:val="auto"/>
                <w:sz w:val="21"/>
                <w:szCs w:val="21"/>
              </w:rPr>
            </w:pPr>
            <w:r>
              <w:rPr>
                <w:rFonts w:hint="eastAsia" w:eastAsia="宋体"/>
                <w:color w:val="auto"/>
                <w:sz w:val="21"/>
                <w:szCs w:val="21"/>
              </w:rPr>
              <w:t>糜烂性食管炎用量</w:t>
            </w:r>
          </w:p>
        </w:tc>
      </w:tr>
      <w:tr>
        <w:tblPrEx>
          <w:tblLayout w:type="fixed"/>
        </w:tblPrEx>
        <w:trPr>
          <w:trHeight w:val="307" w:hRule="atLeast"/>
        </w:trPr>
        <w:tc>
          <w:tcPr>
            <w:tcW w:w="1332" w:type="dxa"/>
            <w:vMerge w:val="continue"/>
            <w:tcBorders>
              <w:left w:val="nil"/>
              <w:bottom w:val="single" w:color="auto" w:sz="12" w:space="0"/>
              <w:right w:val="nil"/>
            </w:tcBorders>
            <w:shd w:val="clear" w:color="auto" w:fill="auto"/>
            <w:vAlign w:val="bottom"/>
          </w:tcPr>
          <w:p>
            <w:pPr>
              <w:rPr>
                <w:rFonts w:eastAsia="宋体"/>
                <w:color w:val="auto"/>
                <w:sz w:val="21"/>
                <w:szCs w:val="21"/>
              </w:rPr>
            </w:pPr>
          </w:p>
        </w:tc>
        <w:tc>
          <w:tcPr>
            <w:tcW w:w="7617" w:type="dxa"/>
            <w:tcBorders>
              <w:top w:val="nil"/>
              <w:left w:val="nil"/>
              <w:bottom w:val="single" w:color="auto" w:sz="12" w:space="0"/>
              <w:right w:val="nil"/>
            </w:tcBorders>
            <w:shd w:val="clear" w:color="auto" w:fill="auto"/>
            <w:vAlign w:val="bottom"/>
          </w:tcPr>
          <w:p>
            <w:pPr>
              <w:rPr>
                <w:rFonts w:eastAsia="宋体"/>
                <w:color w:val="auto"/>
                <w:sz w:val="21"/>
                <w:szCs w:val="21"/>
              </w:rPr>
            </w:pPr>
            <w:r>
              <w:rPr>
                <w:rFonts w:eastAsia="宋体"/>
                <w:color w:val="auto"/>
                <w:sz w:val="21"/>
                <w:szCs w:val="21"/>
              </w:rPr>
              <w:t>0.</w:t>
            </w:r>
            <w:r>
              <w:rPr>
                <w:rFonts w:hint="eastAsia" w:eastAsia="宋体"/>
                <w:color w:val="auto"/>
                <w:sz w:val="21"/>
                <w:szCs w:val="21"/>
              </w:rPr>
              <w:t>6</w:t>
            </w:r>
            <w:r>
              <w:rPr>
                <w:rFonts w:eastAsia="宋体"/>
                <w:color w:val="auto"/>
                <w:sz w:val="21"/>
                <w:szCs w:val="21"/>
              </w:rPr>
              <w:t>~</w:t>
            </w:r>
            <w:r>
              <w:rPr>
                <w:rFonts w:hint="eastAsia" w:eastAsia="宋体"/>
                <w:color w:val="auto"/>
                <w:sz w:val="21"/>
                <w:szCs w:val="21"/>
              </w:rPr>
              <w:t>1.0</w:t>
            </w:r>
            <w:r>
              <w:rPr>
                <w:rFonts w:eastAsia="宋体"/>
                <w:color w:val="auto"/>
                <w:sz w:val="21"/>
                <w:szCs w:val="21"/>
              </w:rPr>
              <w:t xml:space="preserve"> mg/</w:t>
            </w:r>
            <w:r>
              <w:rPr>
                <w:rFonts w:hint="eastAsia" w:eastAsia="宋体"/>
                <w:color w:val="auto"/>
                <w:sz w:val="21"/>
                <w:szCs w:val="21"/>
              </w:rPr>
              <w:t>（</w:t>
            </w:r>
            <w:r>
              <w:rPr>
                <w:rFonts w:eastAsia="宋体"/>
                <w:color w:val="auto"/>
                <w:sz w:val="21"/>
                <w:szCs w:val="21"/>
              </w:rPr>
              <w:t>kg·d</w:t>
            </w:r>
            <w:r>
              <w:rPr>
                <w:rFonts w:hint="eastAsia" w:eastAsia="宋体"/>
                <w:color w:val="auto"/>
                <w:sz w:val="21"/>
                <w:szCs w:val="21"/>
              </w:rPr>
              <w:t>），每天1次，最大剂量4</w:t>
            </w:r>
            <w:r>
              <w:rPr>
                <w:rFonts w:eastAsia="宋体"/>
                <w:color w:val="auto"/>
                <w:sz w:val="21"/>
                <w:szCs w:val="21"/>
              </w:rPr>
              <w:t>0 mg/d</w:t>
            </w:r>
            <w:r>
              <w:rPr>
                <w:rFonts w:hint="eastAsia" w:eastAsia="宋体"/>
                <w:color w:val="auto"/>
                <w:sz w:val="21"/>
                <w:szCs w:val="21"/>
              </w:rPr>
              <w:t>，晨起空腹服用，疗程</w:t>
            </w:r>
            <w:r>
              <w:rPr>
                <w:rFonts w:eastAsia="宋体"/>
                <w:color w:val="auto"/>
                <w:sz w:val="21"/>
                <w:szCs w:val="21"/>
              </w:rPr>
              <w:t>3</w:t>
            </w:r>
            <w:r>
              <w:rPr>
                <w:rFonts w:hint="eastAsia" w:eastAsia="宋体"/>
                <w:color w:val="auto"/>
                <w:sz w:val="21"/>
                <w:szCs w:val="21"/>
              </w:rPr>
              <w:t>-6个月</w:t>
            </w:r>
          </w:p>
        </w:tc>
      </w:tr>
    </w:tbl>
    <w:p>
      <w:pPr>
        <w:rPr>
          <w:rFonts w:eastAsia="宋体"/>
          <w:color w:val="auto"/>
        </w:rPr>
      </w:pPr>
      <w:bookmarkStart w:id="41" w:name="_Ref522543450"/>
    </w:p>
    <w:p>
      <w:pPr>
        <w:pStyle w:val="4"/>
        <w:numPr>
          <w:ilvl w:val="0"/>
          <w:numId w:val="27"/>
        </w:numPr>
        <w:spacing w:line="600" w:lineRule="exact"/>
        <w:ind w:firstLine="643"/>
        <w:rPr>
          <w:b w:val="0"/>
          <w:bCs w:val="0"/>
          <w:color w:val="auto"/>
          <w:highlight w:val="none"/>
        </w:rPr>
      </w:pPr>
      <w:bookmarkStart w:id="42" w:name="_Ref522797182"/>
      <w:bookmarkStart w:id="43" w:name="_Toc535269746"/>
      <w:r>
        <w:rPr>
          <w:rFonts w:hint="eastAsia"/>
          <w:b w:val="0"/>
          <w:bCs w:val="0"/>
          <w:color w:val="auto"/>
          <w:highlight w:val="none"/>
        </w:rPr>
        <w:t>幽门螺杆菌根除</w:t>
      </w:r>
      <w:bookmarkEnd w:id="41"/>
      <w:bookmarkEnd w:id="42"/>
      <w:bookmarkEnd w:id="43"/>
    </w:p>
    <w:p>
      <w:pPr>
        <w:spacing w:line="600" w:lineRule="exact"/>
        <w:ind w:firstLine="640" w:firstLineChars="200"/>
        <w:rPr>
          <w:color w:val="auto"/>
        </w:rPr>
      </w:pPr>
      <w:r>
        <w:rPr>
          <w:rFonts w:hint="eastAsia"/>
          <w:color w:val="auto"/>
        </w:rPr>
        <w:t>幽门螺杆菌（</w:t>
      </w:r>
      <w:r>
        <w:rPr>
          <w:i/>
          <w:color w:val="auto"/>
        </w:rPr>
        <w:t>H.pylori</w:t>
      </w:r>
      <w:r>
        <w:rPr>
          <w:rFonts w:hint="eastAsia"/>
          <w:color w:val="auto"/>
        </w:rPr>
        <w:t>）是革兰氏阴性、微需氧的细菌，生存于胃部及十二指肠的各区域内。可分泌过氧化物歧化酶和过氧化氢酶，保护其不受中性粒细胞的杀伤，其富含尿素酶，通过尿素酶水解尿素产生氨，以抵抗胃酸的杀灭作用。</w:t>
      </w:r>
      <w:r>
        <w:rPr>
          <w:i/>
          <w:color w:val="auto"/>
        </w:rPr>
        <w:t>H.pylori</w:t>
      </w:r>
      <w:r>
        <w:rPr>
          <w:rFonts w:hint="eastAsia"/>
          <w:color w:val="auto"/>
        </w:rPr>
        <w:t>感染可引起胃黏膜轻微的慢性炎症、胃和十二指肠溃疡和胃癌，超过</w:t>
      </w:r>
      <w:r>
        <w:rPr>
          <w:color w:val="auto"/>
        </w:rPr>
        <w:t>80%</w:t>
      </w:r>
      <w:r>
        <w:rPr>
          <w:rFonts w:hint="eastAsia"/>
          <w:color w:val="auto"/>
        </w:rPr>
        <w:t>的携带者无症状。</w:t>
      </w:r>
    </w:p>
    <w:p>
      <w:pPr>
        <w:spacing w:line="600" w:lineRule="exact"/>
        <w:ind w:firstLine="480"/>
        <w:rPr>
          <w:color w:val="auto"/>
        </w:rPr>
      </w:pPr>
      <w:r>
        <w:rPr>
          <w:rFonts w:hint="eastAsia"/>
          <w:color w:val="auto"/>
        </w:rPr>
        <w:t>【治疗原则】</w:t>
      </w:r>
    </w:p>
    <w:p>
      <w:pPr>
        <w:pStyle w:val="17"/>
        <w:keepNext w:val="0"/>
        <w:keepLines w:val="0"/>
        <w:pageBreakBefore w:val="0"/>
        <w:widowControl/>
        <w:numPr>
          <w:ilvl w:val="0"/>
          <w:numId w:val="32"/>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不建议</w:t>
      </w:r>
      <w:r>
        <w:rPr>
          <w:rFonts w:ascii="Times New Roman" w:hAnsi="Times New Roman" w:eastAsia="仿宋" w:cstheme="minorBidi"/>
          <w:color w:val="auto"/>
          <w:kern w:val="2"/>
          <w:sz w:val="32"/>
          <w:szCs w:val="22"/>
        </w:rPr>
        <w:t>14</w:t>
      </w:r>
      <w:r>
        <w:rPr>
          <w:rFonts w:hint="eastAsia" w:ascii="Times New Roman" w:hAnsi="Times New Roman" w:eastAsia="仿宋" w:cstheme="minorBidi"/>
          <w:color w:val="auto"/>
          <w:kern w:val="2"/>
          <w:sz w:val="32"/>
          <w:szCs w:val="22"/>
        </w:rPr>
        <w:t>岁以下者常规检测</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2"/>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根除方案可参考《第五次全国幽门螺杆菌感染处理共识报告》。</w:t>
      </w:r>
    </w:p>
    <w:p>
      <w:pPr>
        <w:pStyle w:val="17"/>
        <w:keepNext w:val="0"/>
        <w:keepLines w:val="0"/>
        <w:pageBreakBefore w:val="0"/>
        <w:widowControl/>
        <w:numPr>
          <w:ilvl w:val="0"/>
          <w:numId w:val="32"/>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儿童根除</w:t>
      </w:r>
      <w:r>
        <w:rPr>
          <w:rFonts w:ascii="Times New Roman" w:hAnsi="Times New Roman" w:eastAsia="仿宋" w:cstheme="minorBidi"/>
          <w:i/>
          <w:color w:val="auto"/>
          <w:kern w:val="2"/>
          <w:sz w:val="32"/>
          <w:szCs w:val="22"/>
        </w:rPr>
        <w:t>H.pylori</w:t>
      </w:r>
      <w:r>
        <w:rPr>
          <w:rFonts w:hint="eastAsia" w:ascii="Times New Roman" w:hAnsi="Times New Roman" w:eastAsia="仿宋" w:cstheme="minorBidi"/>
          <w:color w:val="auto"/>
          <w:kern w:val="2"/>
          <w:sz w:val="32"/>
          <w:szCs w:val="22"/>
        </w:rPr>
        <w:t>的原则：消化性溃疡、胃黏膜相关淋巴组织（</w:t>
      </w:r>
      <w:r>
        <w:rPr>
          <w:rFonts w:ascii="Times New Roman" w:hAnsi="Times New Roman" w:eastAsia="仿宋" w:cstheme="minorBidi"/>
          <w:color w:val="auto"/>
          <w:kern w:val="2"/>
          <w:sz w:val="32"/>
          <w:szCs w:val="22"/>
        </w:rPr>
        <w:t>Mucosa Associated Lymphoid Tissue</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MALT</w:t>
      </w:r>
      <w:r>
        <w:rPr>
          <w:rFonts w:hint="eastAsia" w:ascii="Times New Roman" w:hAnsi="Times New Roman" w:eastAsia="仿宋" w:cstheme="minorBidi"/>
          <w:color w:val="auto"/>
          <w:kern w:val="2"/>
          <w:sz w:val="32"/>
          <w:szCs w:val="22"/>
        </w:rPr>
        <w:t>）淋巴瘤必须根治。以下情况可考虑根治：</w:t>
      </w:r>
      <w:r>
        <w:rPr>
          <w:rFonts w:ascii="Times New Roman" w:hAnsi="Times New Roman" w:eastAsia="仿宋" w:cstheme="minorBidi"/>
          <w:color w:val="auto"/>
          <w:kern w:val="2"/>
          <w:sz w:val="32"/>
          <w:szCs w:val="22"/>
        </w:rPr>
        <w:t>（1）</w:t>
      </w:r>
      <w:r>
        <w:rPr>
          <w:rFonts w:hint="eastAsia" w:ascii="Times New Roman" w:hAnsi="Times New Roman" w:eastAsia="仿宋" w:cstheme="minorBidi"/>
          <w:color w:val="auto"/>
          <w:kern w:val="2"/>
          <w:sz w:val="32"/>
          <w:szCs w:val="22"/>
        </w:rPr>
        <w:t>慢性胃炎；</w:t>
      </w:r>
      <w:r>
        <w:rPr>
          <w:rFonts w:ascii="Times New Roman" w:hAnsi="Times New Roman" w:eastAsia="仿宋" w:cstheme="minorBidi"/>
          <w:color w:val="auto"/>
          <w:kern w:val="2"/>
          <w:sz w:val="32"/>
          <w:szCs w:val="22"/>
        </w:rPr>
        <w:t>（2）</w:t>
      </w:r>
      <w:r>
        <w:rPr>
          <w:rFonts w:hint="eastAsia" w:ascii="Times New Roman" w:hAnsi="Times New Roman" w:eastAsia="仿宋" w:cstheme="minorBidi"/>
          <w:color w:val="auto"/>
          <w:kern w:val="2"/>
          <w:sz w:val="32"/>
          <w:szCs w:val="22"/>
        </w:rPr>
        <w:t>胃癌家族史；</w:t>
      </w:r>
      <w:r>
        <w:rPr>
          <w:rFonts w:ascii="Times New Roman" w:hAnsi="Times New Roman" w:eastAsia="仿宋" w:cstheme="minorBidi"/>
          <w:color w:val="auto"/>
          <w:kern w:val="2"/>
          <w:sz w:val="32"/>
          <w:szCs w:val="22"/>
        </w:rPr>
        <w:t>（3）</w:t>
      </w:r>
      <w:r>
        <w:rPr>
          <w:rFonts w:hint="eastAsia" w:ascii="Times New Roman" w:hAnsi="Times New Roman" w:eastAsia="仿宋" w:cstheme="minorBidi"/>
          <w:color w:val="auto"/>
          <w:kern w:val="2"/>
          <w:sz w:val="32"/>
          <w:szCs w:val="22"/>
        </w:rPr>
        <w:t>不明原因的难治性缺铁性贫血；</w:t>
      </w:r>
      <w:r>
        <w:rPr>
          <w:rFonts w:ascii="Times New Roman" w:hAnsi="Times New Roman" w:eastAsia="仿宋" w:cstheme="minorBidi"/>
          <w:color w:val="auto"/>
          <w:kern w:val="2"/>
          <w:sz w:val="32"/>
          <w:szCs w:val="22"/>
        </w:rPr>
        <w:t>（4）</w:t>
      </w:r>
      <w:r>
        <w:rPr>
          <w:rFonts w:hint="eastAsia" w:ascii="Times New Roman" w:hAnsi="Times New Roman" w:eastAsia="仿宋" w:cstheme="minorBidi"/>
          <w:color w:val="auto"/>
          <w:kern w:val="2"/>
          <w:sz w:val="32"/>
          <w:szCs w:val="22"/>
        </w:rPr>
        <w:t>计划长期服用</w:t>
      </w:r>
      <w:r>
        <w:rPr>
          <w:rFonts w:ascii="Times New Roman" w:hAnsi="Times New Roman" w:eastAsia="仿宋" w:cstheme="minorBidi"/>
          <w:color w:val="auto"/>
          <w:kern w:val="2"/>
          <w:sz w:val="32"/>
          <w:szCs w:val="22"/>
        </w:rPr>
        <w:t>NSAIDs</w:t>
      </w:r>
      <w:r>
        <w:rPr>
          <w:rFonts w:hint="eastAsia" w:ascii="Times New Roman" w:hAnsi="Times New Roman" w:eastAsia="仿宋" w:cstheme="minorBidi"/>
          <w:color w:val="auto"/>
          <w:kern w:val="2"/>
          <w:sz w:val="32"/>
          <w:szCs w:val="22"/>
        </w:rPr>
        <w:t>（包括低剂量阿司匹林）。</w:t>
      </w:r>
    </w:p>
    <w:p>
      <w:pPr>
        <w:pStyle w:val="17"/>
        <w:keepNext w:val="0"/>
        <w:keepLines w:val="0"/>
        <w:pageBreakBefore w:val="0"/>
        <w:widowControl/>
        <w:numPr>
          <w:ilvl w:val="0"/>
          <w:numId w:val="32"/>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方案的选择应该权衡疗效、费用、潜在不良反应和药物可获得性，制定个体化治疗方案。</w:t>
      </w:r>
    </w:p>
    <w:p>
      <w:pPr>
        <w:pStyle w:val="17"/>
        <w:keepNext w:val="0"/>
        <w:keepLines w:val="0"/>
        <w:pageBreakBefore w:val="0"/>
        <w:widowControl/>
        <w:numPr>
          <w:ilvl w:val="0"/>
          <w:numId w:val="32"/>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如合并有消化道其他症状或疾病，应继续接受相关治疗。</w:t>
      </w:r>
    </w:p>
    <w:p>
      <w:pPr>
        <w:spacing w:line="600" w:lineRule="exact"/>
        <w:ind w:firstLine="480"/>
        <w:rPr>
          <w:color w:val="auto"/>
        </w:rPr>
      </w:pPr>
      <w:r>
        <w:rPr>
          <w:rFonts w:hint="eastAsia"/>
          <w:color w:val="auto"/>
        </w:rPr>
        <w:t>【质子泵抑制剂的应用】</w:t>
      </w:r>
    </w:p>
    <w:p>
      <w:pPr>
        <w:pStyle w:val="17"/>
        <w:keepNext w:val="0"/>
        <w:keepLines w:val="0"/>
        <w:pageBreakBefore w:val="0"/>
        <w:widowControl/>
        <w:numPr>
          <w:ilvl w:val="0"/>
          <w:numId w:val="33"/>
        </w:numPr>
        <w:kinsoku w:val="0"/>
        <w:wordWrap/>
        <w:overflowPunct w:val="0"/>
        <w:topLinePunct w:val="0"/>
        <w:autoSpaceDE/>
        <w:autoSpaceDN/>
        <w:bidi w:val="0"/>
        <w:adjustRightInd/>
        <w:snapToGrid/>
        <w:spacing w:before="0" w:beforeAutospacing="0" w:afterAutospacing="0" w:line="600" w:lineRule="exact"/>
        <w:ind w:firstLine="616" w:firstLineChars="200"/>
        <w:jc w:val="both"/>
        <w:textAlignment w:val="baseline"/>
        <w:outlineLvl w:val="9"/>
        <w:rPr>
          <w:rFonts w:ascii="Times New Roman" w:hAnsi="Times New Roman" w:eastAsia="仿宋" w:cstheme="minorBidi"/>
          <w:color w:val="auto"/>
          <w:spacing w:val="-6"/>
          <w:kern w:val="2"/>
          <w:sz w:val="32"/>
          <w:szCs w:val="22"/>
        </w:rPr>
      </w:pPr>
      <w:r>
        <w:rPr>
          <w:rFonts w:hint="eastAsia" w:ascii="Times New Roman" w:hAnsi="Times New Roman" w:eastAsia="仿宋" w:cstheme="minorBidi"/>
          <w:color w:val="auto"/>
          <w:spacing w:val="-6"/>
          <w:kern w:val="2"/>
          <w:sz w:val="32"/>
          <w:szCs w:val="22"/>
        </w:rPr>
        <w:t>标准剂量</w:t>
      </w:r>
      <w:r>
        <w:rPr>
          <w:rFonts w:hint="eastAsia" w:ascii="Times New Roman" w:hAnsi="Times New Roman" w:eastAsia="仿宋" w:cstheme="minorBidi"/>
          <w:color w:val="auto"/>
          <w:spacing w:val="-6"/>
          <w:kern w:val="2"/>
          <w:sz w:val="32"/>
          <w:szCs w:val="22"/>
          <w:lang w:eastAsia="zh-CN"/>
        </w:rPr>
        <w:t>质子泵抑制剂</w:t>
      </w:r>
      <w:r>
        <w:rPr>
          <w:rFonts w:hint="eastAsia" w:ascii="Times New Roman" w:hAnsi="Times New Roman" w:eastAsia="仿宋" w:cstheme="minorBidi"/>
          <w:color w:val="auto"/>
          <w:spacing w:val="-6"/>
          <w:kern w:val="2"/>
          <w:sz w:val="32"/>
          <w:szCs w:val="22"/>
        </w:rPr>
        <w:t>每天</w:t>
      </w:r>
      <w:r>
        <w:rPr>
          <w:rFonts w:hint="default" w:ascii="Times New Roman" w:hAnsi="Times New Roman" w:eastAsia="仿宋" w:cstheme="minorBidi"/>
          <w:color w:val="auto"/>
          <w:spacing w:val="-6"/>
          <w:kern w:val="2"/>
          <w:sz w:val="32"/>
          <w:szCs w:val="22"/>
        </w:rPr>
        <w:t>2</w:t>
      </w:r>
      <w:r>
        <w:rPr>
          <w:rFonts w:hint="eastAsia" w:ascii="Times New Roman" w:hAnsi="Times New Roman" w:eastAsia="仿宋" w:cstheme="minorBidi"/>
          <w:color w:val="auto"/>
          <w:spacing w:val="-6"/>
          <w:kern w:val="2"/>
          <w:sz w:val="32"/>
          <w:szCs w:val="22"/>
        </w:rPr>
        <w:t>次，餐前</w:t>
      </w:r>
      <w:r>
        <w:rPr>
          <w:rFonts w:ascii="Times New Roman" w:hAnsi="Times New Roman" w:eastAsia="仿宋" w:cstheme="minorBidi"/>
          <w:color w:val="auto"/>
          <w:spacing w:val="-6"/>
          <w:kern w:val="2"/>
          <w:sz w:val="32"/>
          <w:szCs w:val="22"/>
        </w:rPr>
        <w:t>0.5 h</w:t>
      </w:r>
      <w:r>
        <w:rPr>
          <w:rFonts w:hint="eastAsia" w:ascii="Times New Roman" w:hAnsi="Times New Roman" w:eastAsia="仿宋" w:cstheme="minorBidi"/>
          <w:color w:val="auto"/>
          <w:spacing w:val="-6"/>
          <w:kern w:val="2"/>
          <w:sz w:val="32"/>
          <w:szCs w:val="22"/>
        </w:rPr>
        <w:t>口服。</w:t>
      </w:r>
    </w:p>
    <w:p>
      <w:pPr>
        <w:pStyle w:val="17"/>
        <w:keepNext w:val="0"/>
        <w:keepLines w:val="0"/>
        <w:pageBreakBefore w:val="0"/>
        <w:widowControl/>
        <w:numPr>
          <w:ilvl w:val="0"/>
          <w:numId w:val="33"/>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儿童用药：奥美拉唑，剂量为</w:t>
      </w:r>
      <w:r>
        <w:rPr>
          <w:rFonts w:ascii="Times New Roman" w:hAnsi="Times New Roman" w:eastAsia="仿宋" w:cstheme="minorBidi"/>
          <w:color w:val="auto"/>
          <w:kern w:val="2"/>
          <w:sz w:val="32"/>
          <w:szCs w:val="22"/>
        </w:rPr>
        <w:t>0.6~1.0 mg/</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kg</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d</w:t>
      </w:r>
      <w:r>
        <w:rPr>
          <w:rFonts w:hint="eastAsia" w:ascii="Times New Roman" w:hAnsi="Times New Roman" w:eastAsia="仿宋" w:cstheme="minorBidi"/>
          <w:color w:val="auto"/>
          <w:kern w:val="2"/>
          <w:sz w:val="32"/>
          <w:szCs w:val="22"/>
        </w:rPr>
        <w:t>），分</w:t>
      </w:r>
      <w:r>
        <w:rPr>
          <w:rFonts w:ascii="Times New Roman" w:hAnsi="Times New Roman" w:eastAsia="仿宋" w:cstheme="minorBidi"/>
          <w:color w:val="auto"/>
          <w:kern w:val="2"/>
          <w:sz w:val="32"/>
          <w:szCs w:val="22"/>
        </w:rPr>
        <w:t>2</w:t>
      </w:r>
      <w:r>
        <w:rPr>
          <w:rFonts w:hint="eastAsia" w:ascii="Times New Roman" w:hAnsi="Times New Roman" w:eastAsia="仿宋" w:cstheme="minorBidi"/>
          <w:color w:val="auto"/>
          <w:kern w:val="2"/>
          <w:sz w:val="32"/>
          <w:szCs w:val="22"/>
        </w:rPr>
        <w:t>次餐前口服。</w:t>
      </w:r>
    </w:p>
    <w:p>
      <w:pPr>
        <w:pStyle w:val="4"/>
        <w:numPr>
          <w:ilvl w:val="0"/>
          <w:numId w:val="27"/>
        </w:numPr>
        <w:spacing w:line="600" w:lineRule="exact"/>
        <w:ind w:firstLine="643"/>
        <w:rPr>
          <w:b w:val="0"/>
          <w:bCs w:val="0"/>
          <w:color w:val="auto"/>
        </w:rPr>
      </w:pPr>
      <w:bookmarkStart w:id="44" w:name="_Toc527405133"/>
      <w:bookmarkEnd w:id="44"/>
      <w:bookmarkStart w:id="45" w:name="_Toc527405143"/>
      <w:bookmarkEnd w:id="45"/>
      <w:bookmarkStart w:id="46" w:name="_Toc527405162"/>
      <w:bookmarkEnd w:id="46"/>
      <w:bookmarkStart w:id="47" w:name="_Toc527405134"/>
      <w:bookmarkEnd w:id="47"/>
      <w:bookmarkStart w:id="48" w:name="_Toc527405131"/>
      <w:bookmarkEnd w:id="48"/>
      <w:bookmarkStart w:id="49" w:name="_Toc527405128"/>
      <w:bookmarkEnd w:id="49"/>
      <w:bookmarkStart w:id="50" w:name="_Toc527405138"/>
      <w:bookmarkEnd w:id="50"/>
      <w:bookmarkStart w:id="51" w:name="_Toc527405141"/>
      <w:bookmarkEnd w:id="51"/>
      <w:bookmarkStart w:id="52" w:name="_Toc527405129"/>
      <w:bookmarkEnd w:id="52"/>
      <w:bookmarkStart w:id="53" w:name="_Toc527405142"/>
      <w:bookmarkEnd w:id="53"/>
      <w:bookmarkStart w:id="54" w:name="_Toc527405163"/>
      <w:bookmarkEnd w:id="54"/>
      <w:bookmarkStart w:id="55" w:name="_Toc527405139"/>
      <w:bookmarkEnd w:id="55"/>
      <w:bookmarkStart w:id="56" w:name="_Toc527405140"/>
      <w:bookmarkEnd w:id="56"/>
      <w:bookmarkStart w:id="57" w:name="_Toc527405132"/>
      <w:bookmarkEnd w:id="57"/>
      <w:bookmarkStart w:id="58" w:name="_Toc527405127"/>
      <w:bookmarkEnd w:id="58"/>
      <w:bookmarkStart w:id="59" w:name="_Toc527405135"/>
      <w:bookmarkEnd w:id="59"/>
      <w:bookmarkStart w:id="60" w:name="_Toc527405136"/>
      <w:bookmarkEnd w:id="60"/>
      <w:bookmarkStart w:id="61" w:name="_Toc527405144"/>
      <w:bookmarkEnd w:id="61"/>
      <w:bookmarkStart w:id="62" w:name="_Toc527405130"/>
      <w:bookmarkEnd w:id="62"/>
      <w:bookmarkStart w:id="63" w:name="_Toc527405137"/>
      <w:bookmarkEnd w:id="63"/>
      <w:bookmarkStart w:id="64" w:name="_Toc535269747"/>
      <w:bookmarkStart w:id="65" w:name="_Ref522398417"/>
      <w:bookmarkStart w:id="66" w:name="_Ref522399143"/>
      <w:r>
        <w:rPr>
          <w:rFonts w:hint="eastAsia"/>
          <w:b w:val="0"/>
          <w:bCs w:val="0"/>
          <w:color w:val="auto"/>
        </w:rPr>
        <w:t>急性非静脉曲张性上消化道出血</w:t>
      </w:r>
      <w:bookmarkEnd w:id="64"/>
      <w:bookmarkEnd w:id="65"/>
      <w:bookmarkEnd w:id="66"/>
    </w:p>
    <w:p>
      <w:pPr>
        <w:spacing w:line="600" w:lineRule="exact"/>
        <w:ind w:firstLine="640" w:firstLineChars="200"/>
        <w:rPr>
          <w:color w:val="auto"/>
        </w:rPr>
      </w:pPr>
      <w:r>
        <w:rPr>
          <w:rFonts w:hint="eastAsia"/>
          <w:color w:val="auto"/>
        </w:rPr>
        <w:t>急性非静脉曲张性上消化道出血（</w:t>
      </w:r>
      <w:r>
        <w:rPr>
          <w:color w:val="auto"/>
        </w:rPr>
        <w:t>Acute Nonvariceal Upper Gastrointestinal Bleeding</w:t>
      </w:r>
      <w:r>
        <w:rPr>
          <w:rFonts w:hint="eastAsia"/>
          <w:color w:val="auto"/>
        </w:rPr>
        <w:t>，</w:t>
      </w:r>
      <w:r>
        <w:rPr>
          <w:color w:val="auto"/>
        </w:rPr>
        <w:t>ANVUGIB</w:t>
      </w:r>
      <w:r>
        <w:rPr>
          <w:rFonts w:hint="eastAsia"/>
          <w:color w:val="auto"/>
        </w:rPr>
        <w:t>）是指屈氏韧带以上消化道非静脉曲张性疾患引起的出血，也包括胰管或胆管的出血、胃空肠吻合术后吻合口附近疾患引起的出血和内镜治疗后黏膜溃疡并发出血。内镜治疗包括内镜下黏膜切除术</w:t>
      </w:r>
      <w:r>
        <w:rPr>
          <w:color w:val="auto"/>
        </w:rPr>
        <w:t>（Endoscopic Mucosal Resection</w:t>
      </w:r>
      <w:r>
        <w:rPr>
          <w:rFonts w:hint="eastAsia"/>
          <w:color w:val="auto"/>
        </w:rPr>
        <w:t>，</w:t>
      </w:r>
      <w:r>
        <w:rPr>
          <w:color w:val="auto"/>
        </w:rPr>
        <w:t>EMR）</w:t>
      </w:r>
      <w:r>
        <w:rPr>
          <w:rFonts w:hint="eastAsia"/>
          <w:color w:val="auto"/>
        </w:rPr>
        <w:t>和内镜黏膜下剥离术</w:t>
      </w:r>
      <w:r>
        <w:rPr>
          <w:color w:val="auto"/>
        </w:rPr>
        <w:t>（Endoscopic Submucosal Dissection</w:t>
      </w:r>
      <w:r>
        <w:rPr>
          <w:rFonts w:hint="eastAsia"/>
          <w:color w:val="auto"/>
        </w:rPr>
        <w:t>，</w:t>
      </w:r>
      <w:r>
        <w:rPr>
          <w:color w:val="auto"/>
        </w:rPr>
        <w:t>ESD）</w:t>
      </w:r>
      <w:r>
        <w:rPr>
          <w:rFonts w:hint="eastAsia"/>
          <w:color w:val="auto"/>
        </w:rPr>
        <w:t>以及其他各种可以引起消化道出血的内镜操作。</w:t>
      </w:r>
    </w:p>
    <w:p>
      <w:pPr>
        <w:spacing w:line="600" w:lineRule="exact"/>
        <w:ind w:firstLine="480"/>
        <w:rPr>
          <w:color w:val="auto"/>
        </w:rPr>
      </w:pPr>
      <w:r>
        <w:rPr>
          <w:rFonts w:hint="eastAsia"/>
          <w:color w:val="auto"/>
        </w:rPr>
        <w:t>【治疗原则】</w:t>
      </w:r>
    </w:p>
    <w:p>
      <w:pPr>
        <w:pStyle w:val="17"/>
        <w:keepNext w:val="0"/>
        <w:keepLines w:val="0"/>
        <w:pageBreakBefore w:val="0"/>
        <w:widowControl/>
        <w:numPr>
          <w:ilvl w:val="0"/>
          <w:numId w:val="34"/>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主要包括抑酸（迅速提高胃内</w:t>
      </w:r>
      <w:r>
        <w:rPr>
          <w:rFonts w:ascii="Times New Roman" w:hAnsi="Times New Roman" w:eastAsia="仿宋" w:cstheme="minorBidi"/>
          <w:color w:val="auto"/>
          <w:kern w:val="2"/>
          <w:sz w:val="32"/>
          <w:szCs w:val="22"/>
        </w:rPr>
        <w:t>pH</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6</w:t>
      </w:r>
      <w:r>
        <w:rPr>
          <w:rFonts w:hint="eastAsia" w:ascii="Times New Roman" w:hAnsi="Times New Roman" w:eastAsia="仿宋" w:cstheme="minorBidi"/>
          <w:color w:val="auto"/>
          <w:kern w:val="2"/>
          <w:sz w:val="32"/>
          <w:szCs w:val="22"/>
        </w:rPr>
        <w:t>）、止血和液体复苏等支持治疗。</w:t>
      </w:r>
    </w:p>
    <w:p>
      <w:pPr>
        <w:pStyle w:val="17"/>
        <w:keepNext w:val="0"/>
        <w:keepLines w:val="0"/>
        <w:pageBreakBefore w:val="0"/>
        <w:widowControl/>
        <w:numPr>
          <w:ilvl w:val="0"/>
          <w:numId w:val="34"/>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急诊内镜下诊疗。</w:t>
      </w:r>
    </w:p>
    <w:p>
      <w:pPr>
        <w:pStyle w:val="17"/>
        <w:keepNext w:val="0"/>
        <w:keepLines w:val="0"/>
        <w:pageBreakBefore w:val="0"/>
        <w:widowControl/>
        <w:numPr>
          <w:ilvl w:val="0"/>
          <w:numId w:val="34"/>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消化道溃疡再出血的长期预防见</w:t>
      </w:r>
      <w:r>
        <w:rPr>
          <w:color w:val="auto"/>
        </w:rPr>
        <w:fldChar w:fldCharType="begin"/>
      </w:r>
      <w:r>
        <w:rPr>
          <w:color w:val="auto"/>
        </w:rPr>
        <w:instrText xml:space="preserve"> REF _Ref522267463 \h  \* MERGEFORMAT </w:instrText>
      </w:r>
      <w:r>
        <w:rPr>
          <w:color w:val="auto"/>
        </w:rPr>
        <w:fldChar w:fldCharType="separate"/>
      </w:r>
      <w:r>
        <w:rPr>
          <w:rFonts w:hint="eastAsia" w:ascii="Times New Roman" w:hAnsi="Times New Roman" w:eastAsia="仿宋" w:cstheme="minorBidi"/>
          <w:color w:val="auto"/>
          <w:kern w:val="2"/>
          <w:sz w:val="32"/>
          <w:szCs w:val="22"/>
        </w:rPr>
        <w:t>图</w:t>
      </w:r>
      <w:r>
        <w:rPr>
          <w:rFonts w:ascii="Times New Roman" w:hAnsi="Times New Roman" w:eastAsia="仿宋" w:cstheme="minorBidi"/>
          <w:color w:val="auto"/>
          <w:kern w:val="2"/>
          <w:sz w:val="32"/>
          <w:szCs w:val="22"/>
        </w:rPr>
        <w:t>4- 1</w:t>
      </w:r>
      <w:r>
        <w:rPr>
          <w:color w:val="auto"/>
        </w:rPr>
        <w:fldChar w:fldCharType="end"/>
      </w:r>
      <w:r>
        <w:rPr>
          <w:rFonts w:hint="eastAsia" w:ascii="Times New Roman" w:hAnsi="Times New Roman" w:eastAsia="仿宋" w:cstheme="minorBidi"/>
          <w:color w:val="auto"/>
          <w:kern w:val="2"/>
          <w:sz w:val="32"/>
          <w:szCs w:val="22"/>
        </w:rPr>
        <w:t>。</w:t>
      </w:r>
    </w:p>
    <w:p>
      <w:pPr>
        <w:pStyle w:val="17"/>
        <w:numPr>
          <w:ilvl w:val="-1"/>
          <w:numId w:val="0"/>
        </w:numPr>
        <w:kinsoku w:val="0"/>
        <w:overflowPunct w:val="0"/>
        <w:spacing w:before="0" w:beforeAutospacing="0" w:afterAutospacing="0" w:line="600" w:lineRule="exact"/>
        <w:ind w:left="480" w:firstLine="0"/>
        <w:textAlignment w:val="baseline"/>
        <w:rPr>
          <w:rFonts w:ascii="Times New Roman" w:hAnsi="Times New Roman" w:eastAsia="仿宋" w:cstheme="minorBidi"/>
          <w:color w:val="auto"/>
          <w:kern w:val="2"/>
          <w:sz w:val="32"/>
          <w:szCs w:val="22"/>
        </w:rPr>
      </w:pPr>
    </w:p>
    <w:p>
      <w:pPr>
        <w:pStyle w:val="17"/>
        <w:numPr>
          <w:ilvl w:val="-1"/>
          <w:numId w:val="0"/>
        </w:numPr>
        <w:kinsoku w:val="0"/>
        <w:overflowPunct w:val="0"/>
        <w:spacing w:before="0" w:beforeAutospacing="0"/>
        <w:ind w:left="480" w:firstLine="0"/>
        <w:textAlignment w:val="baseline"/>
        <w:rPr>
          <w:rFonts w:hint="eastAsia" w:ascii="Times New Roman" w:hAnsi="Times New Roman" w:eastAsia="仿宋" w:cstheme="minorBidi"/>
          <w:color w:val="auto"/>
          <w:kern w:val="2"/>
          <w:sz w:val="32"/>
          <w:szCs w:val="22"/>
          <w:lang w:eastAsia="zh-CN"/>
        </w:rPr>
      </w:pPr>
    </w:p>
    <w:p>
      <w:pPr>
        <w:pStyle w:val="17"/>
        <w:numPr>
          <w:ilvl w:val="-1"/>
          <w:numId w:val="0"/>
        </w:numPr>
        <w:kinsoku w:val="0"/>
        <w:overflowPunct w:val="0"/>
        <w:spacing w:before="0" w:beforeAutospacing="0" w:line="60" w:lineRule="atLeast"/>
        <w:ind w:left="0" w:firstLine="0"/>
        <w:textAlignment w:val="baseline"/>
        <w:rPr>
          <w:rFonts w:hint="eastAsia" w:ascii="Times New Roman" w:hAnsi="Times New Roman" w:eastAsia="仿宋" w:cstheme="minorBidi"/>
          <w:color w:val="auto"/>
          <w:kern w:val="2"/>
          <w:sz w:val="32"/>
          <w:szCs w:val="22"/>
          <w:lang w:eastAsia="zh-CN"/>
        </w:rPr>
      </w:pPr>
      <w:r>
        <w:rPr>
          <w:rFonts w:hint="eastAsia" w:ascii="Times New Roman" w:hAnsi="Times New Roman" w:eastAsia="仿宋" w:cstheme="minorBidi"/>
          <w:color w:val="auto"/>
          <w:kern w:val="2"/>
          <w:sz w:val="32"/>
          <w:szCs w:val="22"/>
          <w:lang w:eastAsia="zh-CN"/>
        </w:rPr>
        <w:drawing>
          <wp:anchor distT="0" distB="0" distL="114300" distR="114300" simplePos="0" relativeHeight="251661312" behindDoc="0" locked="0" layoutInCell="1" allowOverlap="1">
            <wp:simplePos x="0" y="0"/>
            <wp:positionH relativeFrom="column">
              <wp:posOffset>304800</wp:posOffset>
            </wp:positionH>
            <wp:positionV relativeFrom="paragraph">
              <wp:posOffset>104140</wp:posOffset>
            </wp:positionV>
            <wp:extent cx="5270500" cy="1675765"/>
            <wp:effectExtent l="0" t="0" r="6350" b="635"/>
            <wp:wrapTopAndBottom/>
            <wp:docPr id="1" name="图片 1" descr="微信图片_2020112006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20062646"/>
                    <pic:cNvPicPr>
                      <a:picLocks noChangeAspect="1"/>
                    </pic:cNvPicPr>
                  </pic:nvPicPr>
                  <pic:blipFill>
                    <a:blip r:embed="rId8"/>
                    <a:stretch>
                      <a:fillRect/>
                    </a:stretch>
                  </pic:blipFill>
                  <pic:spPr>
                    <a:xfrm>
                      <a:off x="0" y="0"/>
                      <a:ext cx="5270500" cy="1675765"/>
                    </a:xfrm>
                    <a:prstGeom prst="rect">
                      <a:avLst/>
                    </a:prstGeom>
                  </pic:spPr>
                </pic:pic>
              </a:graphicData>
            </a:graphic>
          </wp:anchor>
        </w:drawing>
      </w:r>
    </w:p>
    <w:p>
      <w:pPr>
        <w:jc w:val="center"/>
        <w:rPr>
          <w:rFonts w:ascii="Times New Roman" w:hAnsi="Times New Roman" w:eastAsia="宋体"/>
          <w:b w:val="0"/>
          <w:color w:val="auto"/>
          <w:sz w:val="24"/>
        </w:rPr>
      </w:pPr>
      <w:bookmarkStart w:id="67" w:name="_Ref522267463"/>
      <w:r>
        <w:rPr>
          <w:rFonts w:hint="eastAsia" w:ascii="Times New Roman" w:hAnsi="Times New Roman" w:eastAsia="宋体"/>
          <w:b w:val="0"/>
          <w:color w:val="auto"/>
          <w:sz w:val="24"/>
        </w:rPr>
        <w:t>图</w:t>
      </w:r>
      <w:r>
        <w:rPr>
          <w:rFonts w:ascii="Times New Roman" w:hAnsi="Times New Roman" w:eastAsia="宋体"/>
          <w:b w:val="0"/>
          <w:color w:val="auto"/>
          <w:sz w:val="24"/>
        </w:rPr>
        <w:t xml:space="preserve">4- </w:t>
      </w:r>
      <w:r>
        <w:rPr>
          <w:rFonts w:ascii="Times New Roman" w:hAnsi="Times New Roman" w:eastAsia="宋体"/>
          <w:b w:val="0"/>
          <w:color w:val="auto"/>
          <w:sz w:val="24"/>
        </w:rPr>
        <w:fldChar w:fldCharType="begin"/>
      </w:r>
      <w:r>
        <w:rPr>
          <w:rFonts w:ascii="Times New Roman" w:hAnsi="Times New Roman" w:eastAsia="宋体"/>
          <w:b w:val="0"/>
          <w:color w:val="auto"/>
          <w:sz w:val="24"/>
        </w:rPr>
        <w:instrText xml:space="preserve"> SEQ </w:instrText>
      </w:r>
      <w:r>
        <w:rPr>
          <w:rFonts w:hint="eastAsia" w:ascii="Times New Roman" w:hAnsi="Times New Roman" w:eastAsia="宋体"/>
          <w:b w:val="0"/>
          <w:color w:val="auto"/>
          <w:sz w:val="24"/>
        </w:rPr>
        <w:instrText xml:space="preserve">图</w:instrText>
      </w:r>
      <w:r>
        <w:rPr>
          <w:rFonts w:ascii="Times New Roman" w:hAnsi="Times New Roman" w:eastAsia="宋体"/>
          <w:b w:val="0"/>
          <w:color w:val="auto"/>
          <w:sz w:val="24"/>
        </w:rPr>
        <w:instrText xml:space="preserve">4- \* ARABIC </w:instrText>
      </w:r>
      <w:r>
        <w:rPr>
          <w:rFonts w:ascii="Times New Roman" w:hAnsi="Times New Roman" w:eastAsia="宋体"/>
          <w:b w:val="0"/>
          <w:color w:val="auto"/>
          <w:sz w:val="24"/>
        </w:rPr>
        <w:fldChar w:fldCharType="separate"/>
      </w:r>
      <w:r>
        <w:rPr>
          <w:rFonts w:ascii="Times New Roman" w:hAnsi="Times New Roman" w:eastAsia="宋体"/>
          <w:b w:val="0"/>
          <w:color w:val="auto"/>
          <w:sz w:val="24"/>
        </w:rPr>
        <w:t>1</w:t>
      </w:r>
      <w:r>
        <w:rPr>
          <w:rFonts w:ascii="Times New Roman" w:hAnsi="Times New Roman" w:eastAsia="宋体"/>
          <w:b w:val="0"/>
          <w:color w:val="auto"/>
          <w:sz w:val="24"/>
        </w:rPr>
        <w:fldChar w:fldCharType="end"/>
      </w:r>
      <w:bookmarkEnd w:id="67"/>
      <w:r>
        <w:rPr>
          <w:rFonts w:hint="eastAsia" w:ascii="Times New Roman" w:hAnsi="Times New Roman" w:eastAsia="宋体"/>
          <w:b w:val="0"/>
          <w:color w:val="auto"/>
          <w:sz w:val="24"/>
        </w:rPr>
        <w:t>消化道溃疡再出血的长期预防</w:t>
      </w:r>
    </w:p>
    <w:p>
      <w:pPr>
        <w:spacing w:line="600" w:lineRule="exact"/>
        <w:ind w:firstLine="482"/>
        <w:rPr>
          <w:color w:val="auto"/>
        </w:rPr>
      </w:pPr>
      <w:r>
        <w:rPr>
          <w:rFonts w:hint="eastAsia"/>
          <w:color w:val="auto"/>
        </w:rPr>
        <w:t>【质子泵抑制剂的应用】</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用于上消化道出血的治疗方案及剂量调整见表</w:t>
      </w:r>
      <w:r>
        <w:rPr>
          <w:rFonts w:ascii="Times New Roman" w:hAnsi="Times New Roman" w:eastAsia="仿宋" w:cstheme="minorBidi"/>
          <w:color w:val="auto"/>
          <w:kern w:val="2"/>
          <w:sz w:val="32"/>
          <w:szCs w:val="22"/>
        </w:rPr>
        <w:t>4- 3</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上消化道活动性出血停止、可以进食等为静脉用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的疗程的参考依据，考虑停药或口服</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序贯治疗。</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静脉用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如需延长疗程用药，应向上级医生汇报请示并将用药原因在病历中备注。</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近贲门食管部位、胃部疾病内镜的手术或操作应视手术所致病变的严重程度决定是否使用静脉</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，如胃肠道穿孔、间质瘤手术、</w:t>
      </w:r>
      <w:r>
        <w:rPr>
          <w:rFonts w:ascii="Times New Roman" w:hAnsi="Times New Roman" w:eastAsia="仿宋" w:cstheme="minorBidi"/>
          <w:color w:val="auto"/>
          <w:kern w:val="2"/>
          <w:sz w:val="32"/>
          <w:szCs w:val="22"/>
        </w:rPr>
        <w:t>ESD</w:t>
      </w:r>
      <w:r>
        <w:rPr>
          <w:rFonts w:hint="eastAsia" w:ascii="Times New Roman" w:hAnsi="Times New Roman" w:eastAsia="仿宋" w:cstheme="minorBidi"/>
          <w:color w:val="auto"/>
          <w:kern w:val="2"/>
          <w:sz w:val="32"/>
          <w:szCs w:val="22"/>
        </w:rPr>
        <w:t>等溃疡创面较深较大，需要使用注射用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预防出血和治疗溃疡；普通胃镜下活检、无消化道出血表现无须使用注射用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小肠、大肠下消化道出血，排除无胃黏膜应激性病变，无须使用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5"/>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针对临床特殊病例，如胃泌素瘤患者，临床医生可个体化进行</w:t>
      </w:r>
      <w:bookmarkStart w:id="68" w:name="_Ref522278447"/>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剂量调整。</w:t>
      </w:r>
    </w:p>
    <w:p>
      <w:pPr>
        <w:widowControl/>
        <w:spacing w:after="240"/>
        <w:ind w:left="360"/>
        <w:jc w:val="center"/>
        <w:rPr>
          <w:rFonts w:eastAsia="宋体" w:cs="宋体"/>
          <w:color w:val="auto"/>
          <w:kern w:val="0"/>
          <w:sz w:val="24"/>
          <w:szCs w:val="24"/>
        </w:rPr>
      </w:pPr>
      <w:r>
        <w:rPr>
          <w:rFonts w:hint="eastAsia" w:eastAsia="宋体" w:cs="宋体"/>
          <w:color w:val="auto"/>
          <w:kern w:val="0"/>
          <w:sz w:val="24"/>
          <w:szCs w:val="24"/>
        </w:rPr>
        <w:t>表</w:t>
      </w:r>
      <w:r>
        <w:rPr>
          <w:rFonts w:eastAsia="宋体" w:cs="宋体"/>
          <w:color w:val="auto"/>
          <w:kern w:val="0"/>
          <w:sz w:val="24"/>
          <w:szCs w:val="24"/>
        </w:rPr>
        <w:t xml:space="preserve">4- </w:t>
      </w:r>
      <w:r>
        <w:rPr>
          <w:rFonts w:eastAsia="宋体" w:cs="宋体"/>
          <w:color w:val="auto"/>
          <w:kern w:val="0"/>
          <w:sz w:val="24"/>
          <w:szCs w:val="24"/>
        </w:rPr>
        <w:fldChar w:fldCharType="begin"/>
      </w:r>
      <w:r>
        <w:rPr>
          <w:rFonts w:eastAsia="宋体" w:cs="宋体"/>
          <w:color w:val="auto"/>
          <w:kern w:val="0"/>
          <w:sz w:val="24"/>
          <w:szCs w:val="24"/>
        </w:rPr>
        <w:instrText xml:space="preserve"> SEQ </w:instrText>
      </w:r>
      <w:r>
        <w:rPr>
          <w:rFonts w:hint="eastAsia" w:eastAsia="宋体" w:cs="宋体"/>
          <w:color w:val="auto"/>
          <w:kern w:val="0"/>
          <w:sz w:val="24"/>
          <w:szCs w:val="24"/>
        </w:rPr>
        <w:instrText xml:space="preserve">表</w:instrText>
      </w:r>
      <w:r>
        <w:rPr>
          <w:rFonts w:eastAsia="宋体" w:cs="宋体"/>
          <w:color w:val="auto"/>
          <w:kern w:val="0"/>
          <w:sz w:val="24"/>
          <w:szCs w:val="24"/>
        </w:rPr>
        <w:instrText xml:space="preserve">4- \* ARABIC </w:instrText>
      </w:r>
      <w:r>
        <w:rPr>
          <w:rFonts w:eastAsia="宋体" w:cs="宋体"/>
          <w:color w:val="auto"/>
          <w:kern w:val="0"/>
          <w:sz w:val="24"/>
          <w:szCs w:val="24"/>
        </w:rPr>
        <w:fldChar w:fldCharType="separate"/>
      </w:r>
      <w:r>
        <w:rPr>
          <w:rFonts w:eastAsia="宋体" w:cs="宋体"/>
          <w:color w:val="auto"/>
          <w:kern w:val="0"/>
          <w:sz w:val="24"/>
          <w:szCs w:val="24"/>
        </w:rPr>
        <w:t>3</w:t>
      </w:r>
      <w:r>
        <w:rPr>
          <w:rFonts w:eastAsia="宋体" w:cs="宋体"/>
          <w:color w:val="auto"/>
          <w:kern w:val="0"/>
          <w:sz w:val="24"/>
          <w:szCs w:val="24"/>
        </w:rPr>
        <w:fldChar w:fldCharType="end"/>
      </w:r>
      <w:r>
        <w:rPr>
          <w:rFonts w:eastAsia="宋体" w:cs="宋体"/>
          <w:color w:val="auto"/>
          <w:kern w:val="0"/>
          <w:sz w:val="24"/>
          <w:szCs w:val="24"/>
        </w:rPr>
        <w:t xml:space="preserve"> </w:t>
      </w:r>
      <w:r>
        <w:rPr>
          <w:rFonts w:hint="eastAsia" w:eastAsia="宋体" w:cs="宋体"/>
          <w:color w:val="auto"/>
          <w:kern w:val="0"/>
          <w:sz w:val="24"/>
          <w:szCs w:val="24"/>
          <w:lang w:eastAsia="zh-CN"/>
        </w:rPr>
        <w:t>质子泵抑制剂</w:t>
      </w:r>
      <w:r>
        <w:rPr>
          <w:rFonts w:hint="eastAsia" w:eastAsia="宋体" w:cs="宋体"/>
          <w:color w:val="auto"/>
          <w:kern w:val="0"/>
          <w:sz w:val="24"/>
          <w:szCs w:val="24"/>
        </w:rPr>
        <w:t>用于上消化道出血的治疗方案</w:t>
      </w:r>
    </w:p>
    <w:tbl>
      <w:tblPr>
        <w:tblStyle w:val="24"/>
        <w:tblW w:w="9587" w:type="dxa"/>
        <w:jc w:val="center"/>
        <w:tblInd w:w="0" w:type="dxa"/>
        <w:tblLayout w:type="fixed"/>
        <w:tblCellMar>
          <w:top w:w="0" w:type="dxa"/>
          <w:left w:w="108" w:type="dxa"/>
          <w:bottom w:w="0" w:type="dxa"/>
          <w:right w:w="108" w:type="dxa"/>
        </w:tblCellMar>
      </w:tblPr>
      <w:tblGrid>
        <w:gridCol w:w="1602"/>
        <w:gridCol w:w="1064"/>
        <w:gridCol w:w="1198"/>
        <w:gridCol w:w="2590"/>
        <w:gridCol w:w="1294"/>
        <w:gridCol w:w="1839"/>
      </w:tblGrid>
      <w:tr>
        <w:tblPrEx>
          <w:tblLayout w:type="fixed"/>
          <w:tblCellMar>
            <w:top w:w="0" w:type="dxa"/>
            <w:left w:w="108" w:type="dxa"/>
            <w:bottom w:w="0" w:type="dxa"/>
            <w:right w:w="108" w:type="dxa"/>
          </w:tblCellMar>
        </w:tblPrEx>
        <w:trPr>
          <w:trHeight w:val="451" w:hRule="atLeast"/>
          <w:jc w:val="center"/>
        </w:trPr>
        <w:tc>
          <w:tcPr>
            <w:tcW w:w="1602"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疾病种类及分级</w:t>
            </w:r>
          </w:p>
        </w:tc>
        <w:tc>
          <w:tcPr>
            <w:tcW w:w="1064"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药物种类及剂型</w:t>
            </w:r>
          </w:p>
        </w:tc>
        <w:tc>
          <w:tcPr>
            <w:tcW w:w="1198"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用药时机</w:t>
            </w:r>
          </w:p>
        </w:tc>
        <w:tc>
          <w:tcPr>
            <w:tcW w:w="2590"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用药剂量及疗程</w:t>
            </w:r>
          </w:p>
        </w:tc>
        <w:tc>
          <w:tcPr>
            <w:tcW w:w="1294"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序贯用药</w:t>
            </w:r>
          </w:p>
        </w:tc>
        <w:tc>
          <w:tcPr>
            <w:tcW w:w="1839" w:type="dxa"/>
            <w:tcBorders>
              <w:top w:val="single" w:color="auto" w:sz="12" w:space="0"/>
              <w:left w:val="nil"/>
              <w:bottom w:val="single" w:color="auto" w:sz="4" w:space="0"/>
              <w:right w:val="nil"/>
            </w:tcBorders>
            <w:shd w:val="clear" w:color="auto" w:fill="auto"/>
          </w:tcPr>
          <w:p>
            <w:pPr>
              <w:widowControl/>
              <w:spacing w:line="240" w:lineRule="auto"/>
              <w:rPr>
                <w:rFonts w:eastAsia="宋体" w:cs="宋体"/>
                <w:bCs/>
                <w:color w:val="auto"/>
                <w:kern w:val="0"/>
                <w:sz w:val="21"/>
                <w:szCs w:val="21"/>
              </w:rPr>
            </w:pPr>
            <w:r>
              <w:rPr>
                <w:rFonts w:hint="eastAsia" w:eastAsia="宋体" w:cs="宋体"/>
                <w:bCs/>
                <w:color w:val="auto"/>
                <w:kern w:val="0"/>
                <w:sz w:val="21"/>
                <w:szCs w:val="21"/>
              </w:rPr>
              <w:t>序贯剂量及疗程</w:t>
            </w:r>
          </w:p>
        </w:tc>
      </w:tr>
      <w:tr>
        <w:tblPrEx>
          <w:tblLayout w:type="fixed"/>
          <w:tblCellMar>
            <w:top w:w="0" w:type="dxa"/>
            <w:left w:w="108" w:type="dxa"/>
            <w:bottom w:w="0" w:type="dxa"/>
            <w:right w:w="108" w:type="dxa"/>
          </w:tblCellMar>
        </w:tblPrEx>
        <w:trPr>
          <w:trHeight w:val="1094" w:hRule="atLeast"/>
          <w:jc w:val="center"/>
        </w:trPr>
        <w:tc>
          <w:tcPr>
            <w:tcW w:w="1602"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上消化道出血高危</w:t>
            </w:r>
            <w:r>
              <w:rPr>
                <w:rFonts w:eastAsia="宋体" w:cs="宋体"/>
                <w:color w:val="auto"/>
                <w:kern w:val="0"/>
                <w:sz w:val="21"/>
                <w:szCs w:val="21"/>
                <w:vertAlign w:val="superscript"/>
              </w:rPr>
              <w:t>a</w:t>
            </w:r>
          </w:p>
        </w:tc>
        <w:tc>
          <w:tcPr>
            <w:tcW w:w="1064" w:type="dxa"/>
            <w:tcBorders>
              <w:top w:val="nil"/>
              <w:left w:val="nil"/>
              <w:bottom w:val="nil"/>
              <w:right w:val="nil"/>
            </w:tcBorders>
            <w:shd w:val="clear" w:color="auto" w:fill="auto"/>
          </w:tcPr>
          <w:p>
            <w:pPr>
              <w:widowControl/>
              <w:spacing w:line="240" w:lineRule="auto"/>
              <w:rPr>
                <w:rFonts w:hint="eastAsia" w:eastAsia="宋体" w:cs="宋体"/>
                <w:color w:val="auto"/>
                <w:kern w:val="0"/>
                <w:sz w:val="21"/>
                <w:szCs w:val="21"/>
                <w:lang w:eastAsia="zh-CN"/>
              </w:rPr>
            </w:pPr>
            <w:r>
              <w:rPr>
                <w:rFonts w:hint="eastAsia" w:eastAsia="宋体" w:cs="宋体"/>
                <w:color w:val="auto"/>
                <w:kern w:val="0"/>
                <w:sz w:val="21"/>
                <w:szCs w:val="21"/>
                <w:lang w:eastAsia="zh-CN"/>
              </w:rPr>
              <w:t>质子泵抑制剂</w:t>
            </w:r>
          </w:p>
          <w:p>
            <w:pPr>
              <w:widowControl/>
              <w:spacing w:line="240" w:lineRule="auto"/>
              <w:rPr>
                <w:rFonts w:eastAsia="宋体" w:cs="宋体"/>
                <w:color w:val="auto"/>
                <w:kern w:val="0"/>
                <w:sz w:val="21"/>
                <w:szCs w:val="21"/>
              </w:rPr>
            </w:pPr>
            <w:r>
              <w:rPr>
                <w:rFonts w:hint="eastAsia" w:eastAsia="宋体" w:cs="宋体"/>
                <w:color w:val="auto"/>
                <w:kern w:val="0"/>
                <w:sz w:val="21"/>
                <w:szCs w:val="21"/>
              </w:rPr>
              <w:t>注射剂</w:t>
            </w:r>
          </w:p>
        </w:tc>
        <w:tc>
          <w:tcPr>
            <w:tcW w:w="1198"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出血发生后尽早应用</w:t>
            </w:r>
          </w:p>
        </w:tc>
        <w:tc>
          <w:tcPr>
            <w:tcW w:w="2590"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olor w:val="auto"/>
                <w:sz w:val="21"/>
              </w:rPr>
              <w:t>大剂量</w:t>
            </w:r>
            <w:r>
              <w:rPr>
                <w:rFonts w:hint="eastAsia" w:eastAsia="宋体"/>
                <w:color w:val="auto"/>
                <w:sz w:val="21"/>
                <w:lang w:eastAsia="zh-CN"/>
              </w:rPr>
              <w:t>质子泵抑制剂</w:t>
            </w:r>
            <w:r>
              <w:rPr>
                <w:rFonts w:hint="eastAsia" w:eastAsia="宋体"/>
                <w:color w:val="auto"/>
                <w:sz w:val="21"/>
              </w:rPr>
              <w:t>（如艾司奥美拉唑</w:t>
            </w:r>
            <w:r>
              <w:rPr>
                <w:rFonts w:eastAsia="宋体" w:cs="宋体"/>
                <w:color w:val="auto"/>
                <w:kern w:val="0"/>
                <w:sz w:val="21"/>
                <w:szCs w:val="21"/>
              </w:rPr>
              <w:t>80 mg</w:t>
            </w:r>
            <w:r>
              <w:rPr>
                <w:rFonts w:hint="eastAsia" w:eastAsia="宋体" w:cs="宋体"/>
                <w:color w:val="auto"/>
                <w:kern w:val="0"/>
                <w:sz w:val="21"/>
                <w:szCs w:val="21"/>
              </w:rPr>
              <w:t>静脉注射</w:t>
            </w:r>
            <w:r>
              <w:rPr>
                <w:rFonts w:eastAsia="宋体" w:cs="宋体"/>
                <w:color w:val="auto"/>
                <w:kern w:val="0"/>
                <w:sz w:val="21"/>
                <w:szCs w:val="21"/>
              </w:rPr>
              <w:t>30 min+8 mg/h</w:t>
            </w:r>
            <w:r>
              <w:rPr>
                <w:rFonts w:hint="eastAsia" w:eastAsia="宋体" w:cs="宋体"/>
                <w:color w:val="auto"/>
                <w:kern w:val="0"/>
                <w:sz w:val="21"/>
                <w:szCs w:val="21"/>
              </w:rPr>
              <w:t>持续输注</w:t>
            </w:r>
            <w:r>
              <w:rPr>
                <w:rFonts w:eastAsia="宋体" w:cs="宋体"/>
                <w:color w:val="auto"/>
                <w:kern w:val="0"/>
                <w:sz w:val="21"/>
                <w:szCs w:val="21"/>
              </w:rPr>
              <w:t>71.5 h</w:t>
            </w:r>
            <w:r>
              <w:rPr>
                <w:rFonts w:hint="eastAsia" w:eastAsia="宋体" w:cs="宋体"/>
                <w:color w:val="auto"/>
                <w:kern w:val="0"/>
                <w:sz w:val="21"/>
                <w:szCs w:val="21"/>
              </w:rPr>
              <w:t>），</w:t>
            </w:r>
            <w:r>
              <w:rPr>
                <w:rFonts w:hint="eastAsia" w:eastAsia="宋体"/>
                <w:color w:val="auto"/>
                <w:sz w:val="21"/>
              </w:rPr>
              <w:t>可适当延长大剂量</w:t>
            </w:r>
            <w:r>
              <w:rPr>
                <w:rFonts w:hint="eastAsia" w:eastAsia="宋体"/>
                <w:color w:val="auto"/>
                <w:sz w:val="21"/>
                <w:lang w:val="en-US" w:eastAsia="zh-CN"/>
              </w:rPr>
              <w:t>质子泵抑制剂</w:t>
            </w:r>
            <w:r>
              <w:rPr>
                <w:rFonts w:hint="eastAsia" w:eastAsia="宋体"/>
                <w:color w:val="auto"/>
                <w:sz w:val="21"/>
              </w:rPr>
              <w:t>疗程，</w:t>
            </w:r>
            <w:r>
              <w:rPr>
                <w:rFonts w:hint="eastAsia" w:eastAsia="宋体" w:cs="宋体"/>
                <w:color w:val="auto"/>
                <w:kern w:val="0"/>
                <w:sz w:val="21"/>
                <w:szCs w:val="21"/>
              </w:rPr>
              <w:t>之后标准剂量</w:t>
            </w:r>
            <w:r>
              <w:rPr>
                <w:rFonts w:eastAsia="宋体" w:cs="宋体"/>
                <w:color w:val="auto"/>
                <w:kern w:val="0"/>
                <w:sz w:val="21"/>
                <w:szCs w:val="21"/>
              </w:rPr>
              <w:t>40 mg</w:t>
            </w:r>
            <w:r>
              <w:rPr>
                <w:rFonts w:hint="eastAsia" w:eastAsia="宋体" w:cs="宋体"/>
                <w:color w:val="auto"/>
                <w:kern w:val="0"/>
                <w:sz w:val="21"/>
                <w:szCs w:val="21"/>
              </w:rPr>
              <w:t>静脉输注，</w:t>
            </w:r>
            <w:r>
              <w:rPr>
                <w:rFonts w:eastAsia="宋体" w:cs="宋体"/>
                <w:color w:val="auto"/>
                <w:kern w:val="0"/>
                <w:sz w:val="21"/>
                <w:szCs w:val="21"/>
              </w:rPr>
              <w:t>2</w:t>
            </w:r>
            <w:r>
              <w:rPr>
                <w:rFonts w:hint="eastAsia" w:eastAsia="宋体" w:cs="宋体"/>
                <w:color w:val="auto"/>
                <w:kern w:val="0"/>
                <w:sz w:val="21"/>
                <w:szCs w:val="21"/>
              </w:rPr>
              <w:t>次</w:t>
            </w:r>
            <w:r>
              <w:rPr>
                <w:rFonts w:eastAsia="宋体" w:cs="宋体"/>
                <w:color w:val="auto"/>
                <w:kern w:val="0"/>
                <w:sz w:val="21"/>
                <w:szCs w:val="21"/>
              </w:rPr>
              <w:t>/d</w:t>
            </w:r>
            <w:r>
              <w:rPr>
                <w:rFonts w:hint="eastAsia" w:eastAsia="宋体" w:cs="宋体"/>
                <w:color w:val="auto"/>
                <w:kern w:val="0"/>
                <w:sz w:val="21"/>
                <w:szCs w:val="21"/>
              </w:rPr>
              <w:t>，</w:t>
            </w:r>
            <w:r>
              <w:rPr>
                <w:rFonts w:eastAsia="宋体" w:cs="宋体"/>
                <w:color w:val="auto"/>
                <w:kern w:val="0"/>
                <w:sz w:val="21"/>
                <w:szCs w:val="21"/>
              </w:rPr>
              <w:t>3~5d</w:t>
            </w:r>
          </w:p>
        </w:tc>
        <w:tc>
          <w:tcPr>
            <w:tcW w:w="1294"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lang w:eastAsia="zh-CN"/>
              </w:rPr>
              <w:t>质子泵抑制剂</w:t>
            </w:r>
            <w:r>
              <w:rPr>
                <w:rFonts w:hint="eastAsia" w:eastAsia="宋体" w:cs="宋体"/>
                <w:color w:val="auto"/>
                <w:kern w:val="0"/>
                <w:sz w:val="21"/>
                <w:szCs w:val="21"/>
              </w:rPr>
              <w:t>片剂</w:t>
            </w:r>
          </w:p>
        </w:tc>
        <w:tc>
          <w:tcPr>
            <w:tcW w:w="1839"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口服标准剂量</w:t>
            </w:r>
            <w:r>
              <w:rPr>
                <w:rFonts w:hint="eastAsia" w:eastAsia="宋体" w:cs="宋体"/>
                <w:color w:val="auto"/>
                <w:kern w:val="0"/>
                <w:sz w:val="21"/>
                <w:szCs w:val="21"/>
                <w:lang w:eastAsia="zh-CN"/>
              </w:rPr>
              <w:t>质子泵抑制剂</w:t>
            </w:r>
            <w:r>
              <w:rPr>
                <w:rFonts w:hint="eastAsia" w:eastAsia="宋体" w:cs="宋体"/>
                <w:color w:val="auto"/>
                <w:kern w:val="0"/>
                <w:sz w:val="21"/>
                <w:szCs w:val="21"/>
              </w:rPr>
              <w:t>，</w:t>
            </w:r>
            <w:r>
              <w:rPr>
                <w:rFonts w:eastAsia="宋体" w:cs="宋体"/>
                <w:color w:val="auto"/>
                <w:kern w:val="0"/>
                <w:sz w:val="21"/>
                <w:szCs w:val="21"/>
              </w:rPr>
              <w:t>1</w:t>
            </w:r>
            <w:r>
              <w:rPr>
                <w:rFonts w:hint="eastAsia" w:eastAsia="宋体" w:cs="宋体"/>
                <w:color w:val="auto"/>
                <w:kern w:val="0"/>
                <w:sz w:val="21"/>
                <w:szCs w:val="21"/>
              </w:rPr>
              <w:t>次</w:t>
            </w:r>
            <w:r>
              <w:rPr>
                <w:rFonts w:eastAsia="宋体" w:cs="宋体"/>
                <w:color w:val="auto"/>
                <w:kern w:val="0"/>
                <w:sz w:val="21"/>
                <w:szCs w:val="21"/>
              </w:rPr>
              <w:t>/d</w:t>
            </w:r>
            <w:r>
              <w:rPr>
                <w:rFonts w:hint="eastAsia" w:eastAsia="宋体" w:cs="宋体"/>
                <w:color w:val="auto"/>
                <w:kern w:val="0"/>
                <w:sz w:val="21"/>
                <w:szCs w:val="21"/>
              </w:rPr>
              <w:t>，疗程</w:t>
            </w:r>
            <w:r>
              <w:rPr>
                <w:rFonts w:eastAsia="宋体" w:cs="宋体"/>
                <w:color w:val="auto"/>
                <w:kern w:val="0"/>
                <w:sz w:val="21"/>
                <w:szCs w:val="21"/>
              </w:rPr>
              <w:t>4~8</w:t>
            </w:r>
            <w:r>
              <w:rPr>
                <w:rFonts w:hint="eastAsia" w:eastAsia="宋体" w:cs="宋体"/>
                <w:color w:val="auto"/>
                <w:kern w:val="0"/>
                <w:sz w:val="21"/>
                <w:szCs w:val="21"/>
              </w:rPr>
              <w:t>周至溃疡愈合</w:t>
            </w:r>
          </w:p>
        </w:tc>
      </w:tr>
      <w:tr>
        <w:tblPrEx>
          <w:tblLayout w:type="fixed"/>
          <w:tblCellMar>
            <w:top w:w="0" w:type="dxa"/>
            <w:left w:w="108" w:type="dxa"/>
            <w:bottom w:w="0" w:type="dxa"/>
            <w:right w:w="108" w:type="dxa"/>
          </w:tblCellMar>
        </w:tblPrEx>
        <w:trPr>
          <w:trHeight w:val="855" w:hRule="atLeast"/>
          <w:jc w:val="center"/>
        </w:trPr>
        <w:tc>
          <w:tcPr>
            <w:tcW w:w="1602"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上消化道出血低危</w:t>
            </w:r>
          </w:p>
          <w:p>
            <w:pPr>
              <w:widowControl/>
              <w:spacing w:line="240" w:lineRule="auto"/>
              <w:rPr>
                <w:rFonts w:eastAsia="宋体" w:cs="宋体"/>
                <w:color w:val="auto"/>
                <w:kern w:val="0"/>
                <w:sz w:val="21"/>
                <w:szCs w:val="21"/>
              </w:rPr>
            </w:pPr>
            <w:r>
              <w:rPr>
                <w:rFonts w:eastAsia="宋体" w:cs="Arial"/>
                <w:bCs/>
                <w:color w:val="auto"/>
                <w:kern w:val="24"/>
                <w:sz w:val="21"/>
                <w:szCs w:val="40"/>
              </w:rPr>
              <w:t>Forrest</w:t>
            </w:r>
            <w:r>
              <w:rPr>
                <w:rFonts w:eastAsia="宋体" w:cs="宋体"/>
                <w:color w:val="auto"/>
                <w:kern w:val="0"/>
                <w:sz w:val="21"/>
                <w:szCs w:val="21"/>
              </w:rPr>
              <w:t>IIc-III</w:t>
            </w:r>
          </w:p>
        </w:tc>
        <w:tc>
          <w:tcPr>
            <w:tcW w:w="1064" w:type="dxa"/>
            <w:tcBorders>
              <w:top w:val="nil"/>
              <w:left w:val="nil"/>
              <w:bottom w:val="nil"/>
              <w:right w:val="nil"/>
            </w:tcBorders>
            <w:shd w:val="clear" w:color="auto" w:fill="auto"/>
          </w:tcPr>
          <w:p>
            <w:pPr>
              <w:widowControl/>
              <w:spacing w:line="240" w:lineRule="auto"/>
              <w:rPr>
                <w:rFonts w:hint="eastAsia" w:eastAsia="宋体" w:cs="宋体"/>
                <w:color w:val="auto"/>
                <w:kern w:val="0"/>
                <w:sz w:val="21"/>
                <w:szCs w:val="21"/>
                <w:lang w:eastAsia="zh-CN"/>
              </w:rPr>
            </w:pPr>
            <w:r>
              <w:rPr>
                <w:rFonts w:hint="eastAsia" w:eastAsia="宋体" w:cs="宋体"/>
                <w:color w:val="auto"/>
                <w:kern w:val="0"/>
                <w:sz w:val="21"/>
                <w:szCs w:val="21"/>
                <w:lang w:eastAsia="zh-CN"/>
              </w:rPr>
              <w:t>质子泵抑制剂</w:t>
            </w:r>
          </w:p>
          <w:p>
            <w:pPr>
              <w:widowControl/>
              <w:spacing w:line="240" w:lineRule="auto"/>
              <w:rPr>
                <w:rFonts w:eastAsia="宋体" w:cs="宋体"/>
                <w:color w:val="auto"/>
                <w:kern w:val="0"/>
                <w:sz w:val="21"/>
                <w:szCs w:val="21"/>
              </w:rPr>
            </w:pPr>
            <w:r>
              <w:rPr>
                <w:rFonts w:hint="eastAsia" w:eastAsia="宋体" w:cs="宋体"/>
                <w:color w:val="auto"/>
                <w:kern w:val="0"/>
                <w:sz w:val="21"/>
                <w:szCs w:val="21"/>
              </w:rPr>
              <w:t>注射剂</w:t>
            </w:r>
          </w:p>
        </w:tc>
        <w:tc>
          <w:tcPr>
            <w:tcW w:w="1198"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出血发生后尽早应用</w:t>
            </w:r>
          </w:p>
        </w:tc>
        <w:tc>
          <w:tcPr>
            <w:tcW w:w="2590"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标准剂量</w:t>
            </w:r>
            <w:r>
              <w:rPr>
                <w:rFonts w:eastAsia="宋体" w:cs="宋体"/>
                <w:color w:val="auto"/>
                <w:kern w:val="0"/>
                <w:sz w:val="21"/>
                <w:szCs w:val="21"/>
              </w:rPr>
              <w:t>40 mg</w:t>
            </w:r>
            <w:r>
              <w:rPr>
                <w:rFonts w:hint="eastAsia" w:eastAsia="宋体" w:cs="宋体"/>
                <w:color w:val="auto"/>
                <w:kern w:val="0"/>
                <w:sz w:val="21"/>
                <w:szCs w:val="21"/>
                <w:vertAlign w:val="superscript"/>
              </w:rPr>
              <w:t>d</w:t>
            </w:r>
            <w:r>
              <w:rPr>
                <w:rFonts w:hint="eastAsia" w:eastAsia="宋体" w:cs="宋体"/>
                <w:color w:val="auto"/>
                <w:kern w:val="0"/>
                <w:sz w:val="21"/>
                <w:szCs w:val="21"/>
              </w:rPr>
              <w:t>静脉输注，</w:t>
            </w:r>
            <w:r>
              <w:rPr>
                <w:rFonts w:eastAsia="宋体" w:cs="宋体"/>
                <w:color w:val="auto"/>
                <w:kern w:val="0"/>
                <w:sz w:val="21"/>
                <w:szCs w:val="21"/>
              </w:rPr>
              <w:t>2</w:t>
            </w:r>
            <w:r>
              <w:rPr>
                <w:rFonts w:hint="eastAsia" w:eastAsia="宋体" w:cs="宋体"/>
                <w:color w:val="auto"/>
                <w:kern w:val="0"/>
                <w:sz w:val="21"/>
                <w:szCs w:val="21"/>
              </w:rPr>
              <w:t>次</w:t>
            </w:r>
            <w:r>
              <w:rPr>
                <w:rFonts w:eastAsia="宋体" w:cs="宋体"/>
                <w:color w:val="auto"/>
                <w:kern w:val="0"/>
                <w:sz w:val="21"/>
                <w:szCs w:val="21"/>
              </w:rPr>
              <w:t>/d</w:t>
            </w:r>
          </w:p>
        </w:tc>
        <w:tc>
          <w:tcPr>
            <w:tcW w:w="1294"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lang w:eastAsia="zh-CN"/>
              </w:rPr>
              <w:t>质子泵抑制剂</w:t>
            </w:r>
            <w:r>
              <w:rPr>
                <w:rFonts w:hint="eastAsia" w:eastAsia="宋体" w:cs="宋体"/>
                <w:color w:val="auto"/>
                <w:kern w:val="0"/>
                <w:sz w:val="21"/>
                <w:szCs w:val="21"/>
              </w:rPr>
              <w:t>片剂</w:t>
            </w:r>
          </w:p>
        </w:tc>
        <w:tc>
          <w:tcPr>
            <w:tcW w:w="1839"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口服标准剂量</w:t>
            </w:r>
            <w:r>
              <w:rPr>
                <w:rFonts w:hint="eastAsia" w:eastAsia="宋体" w:cs="宋体"/>
                <w:color w:val="auto"/>
                <w:kern w:val="0"/>
                <w:sz w:val="21"/>
                <w:szCs w:val="21"/>
                <w:lang w:eastAsia="zh-CN"/>
              </w:rPr>
              <w:t>质子泵抑制剂</w:t>
            </w:r>
            <w:r>
              <w:rPr>
                <w:rFonts w:hint="eastAsia" w:eastAsia="宋体" w:cs="宋体"/>
                <w:color w:val="auto"/>
                <w:kern w:val="0"/>
                <w:sz w:val="21"/>
                <w:szCs w:val="21"/>
              </w:rPr>
              <w:t>，</w:t>
            </w:r>
            <w:r>
              <w:rPr>
                <w:rFonts w:eastAsia="宋体" w:cs="宋体"/>
                <w:color w:val="auto"/>
                <w:kern w:val="0"/>
                <w:sz w:val="21"/>
                <w:szCs w:val="21"/>
              </w:rPr>
              <w:t>1</w:t>
            </w:r>
            <w:r>
              <w:rPr>
                <w:rFonts w:hint="eastAsia" w:eastAsia="宋体" w:cs="宋体"/>
                <w:color w:val="auto"/>
                <w:kern w:val="0"/>
                <w:sz w:val="21"/>
                <w:szCs w:val="21"/>
              </w:rPr>
              <w:t>次</w:t>
            </w:r>
            <w:r>
              <w:rPr>
                <w:rFonts w:eastAsia="宋体" w:cs="宋体"/>
                <w:color w:val="auto"/>
                <w:kern w:val="0"/>
                <w:sz w:val="21"/>
                <w:szCs w:val="21"/>
              </w:rPr>
              <w:t>/d</w:t>
            </w:r>
            <w:r>
              <w:rPr>
                <w:rFonts w:hint="eastAsia" w:eastAsia="宋体" w:cs="宋体"/>
                <w:color w:val="auto"/>
                <w:kern w:val="0"/>
                <w:sz w:val="21"/>
                <w:szCs w:val="21"/>
              </w:rPr>
              <w:t>，疗程</w:t>
            </w:r>
            <w:r>
              <w:rPr>
                <w:rFonts w:eastAsia="宋体" w:cs="宋体"/>
                <w:color w:val="auto"/>
                <w:kern w:val="0"/>
                <w:sz w:val="21"/>
                <w:szCs w:val="21"/>
              </w:rPr>
              <w:t>4~8</w:t>
            </w:r>
            <w:r>
              <w:rPr>
                <w:rFonts w:hint="eastAsia" w:eastAsia="宋体" w:cs="宋体"/>
                <w:color w:val="auto"/>
                <w:kern w:val="0"/>
                <w:sz w:val="21"/>
                <w:szCs w:val="21"/>
              </w:rPr>
              <w:t>周至溃疡愈合</w:t>
            </w:r>
          </w:p>
        </w:tc>
      </w:tr>
      <w:tr>
        <w:tblPrEx>
          <w:tblLayout w:type="fixed"/>
          <w:tblCellMar>
            <w:top w:w="0" w:type="dxa"/>
            <w:left w:w="108" w:type="dxa"/>
            <w:bottom w:w="0" w:type="dxa"/>
            <w:right w:w="108" w:type="dxa"/>
          </w:tblCellMar>
        </w:tblPrEx>
        <w:trPr>
          <w:trHeight w:val="1212" w:hRule="atLeast"/>
          <w:jc w:val="center"/>
        </w:trPr>
        <w:tc>
          <w:tcPr>
            <w:tcW w:w="1602"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胃</w:t>
            </w:r>
            <w:bookmarkStart w:id="69" w:name="OLE_LINK3"/>
            <w:bookmarkStart w:id="70" w:name="OLE_LINK4"/>
            <w:r>
              <w:rPr>
                <w:rFonts w:eastAsia="宋体" w:cs="宋体"/>
                <w:color w:val="auto"/>
                <w:kern w:val="0"/>
                <w:sz w:val="21"/>
                <w:szCs w:val="21"/>
              </w:rPr>
              <w:t>EMR</w:t>
            </w:r>
            <w:r>
              <w:rPr>
                <w:rFonts w:hint="eastAsia" w:eastAsia="宋体" w:cs="宋体"/>
                <w:color w:val="auto"/>
                <w:kern w:val="0"/>
                <w:sz w:val="21"/>
                <w:szCs w:val="21"/>
              </w:rPr>
              <w:t>、</w:t>
            </w:r>
            <w:bookmarkEnd w:id="69"/>
            <w:bookmarkEnd w:id="70"/>
            <w:r>
              <w:rPr>
                <w:rFonts w:eastAsia="宋体" w:cs="宋体"/>
                <w:color w:val="auto"/>
                <w:kern w:val="0"/>
                <w:sz w:val="21"/>
                <w:szCs w:val="21"/>
              </w:rPr>
              <w:t>ESD</w:t>
            </w:r>
            <w:r>
              <w:rPr>
                <w:rFonts w:hint="eastAsia" w:eastAsia="宋体" w:cs="宋体"/>
                <w:color w:val="auto"/>
                <w:kern w:val="0"/>
                <w:sz w:val="21"/>
                <w:szCs w:val="21"/>
              </w:rPr>
              <w:t>术后预防出血和促进人工溃疡愈合</w:t>
            </w:r>
            <w:r>
              <w:rPr>
                <w:rFonts w:eastAsia="宋体" w:cs="宋体"/>
                <w:color w:val="auto"/>
                <w:kern w:val="0"/>
                <w:sz w:val="21"/>
                <w:szCs w:val="21"/>
                <w:vertAlign w:val="superscript"/>
              </w:rPr>
              <w:t>b</w:t>
            </w:r>
          </w:p>
        </w:tc>
        <w:tc>
          <w:tcPr>
            <w:tcW w:w="1064" w:type="dxa"/>
            <w:tcBorders>
              <w:top w:val="nil"/>
              <w:left w:val="nil"/>
              <w:bottom w:val="nil"/>
              <w:right w:val="nil"/>
            </w:tcBorders>
            <w:shd w:val="clear" w:color="auto" w:fill="auto"/>
          </w:tcPr>
          <w:p>
            <w:pPr>
              <w:widowControl/>
              <w:spacing w:line="240" w:lineRule="auto"/>
              <w:rPr>
                <w:rFonts w:hint="eastAsia" w:eastAsia="宋体" w:cs="宋体"/>
                <w:color w:val="auto"/>
                <w:kern w:val="0"/>
                <w:sz w:val="21"/>
                <w:szCs w:val="21"/>
                <w:lang w:eastAsia="zh-CN"/>
              </w:rPr>
            </w:pPr>
            <w:r>
              <w:rPr>
                <w:rFonts w:hint="eastAsia" w:eastAsia="宋体" w:cs="宋体"/>
                <w:color w:val="auto"/>
                <w:kern w:val="0"/>
                <w:sz w:val="21"/>
                <w:szCs w:val="21"/>
                <w:lang w:eastAsia="zh-CN"/>
              </w:rPr>
              <w:t>质子泵抑制剂</w:t>
            </w:r>
          </w:p>
          <w:p>
            <w:pPr>
              <w:widowControl/>
              <w:spacing w:line="240" w:lineRule="auto"/>
              <w:rPr>
                <w:rFonts w:eastAsia="宋体" w:cs="宋体"/>
                <w:color w:val="auto"/>
                <w:kern w:val="0"/>
                <w:sz w:val="21"/>
                <w:szCs w:val="21"/>
              </w:rPr>
            </w:pPr>
            <w:r>
              <w:rPr>
                <w:rFonts w:hint="eastAsia" w:eastAsia="宋体" w:cs="宋体"/>
                <w:color w:val="auto"/>
                <w:kern w:val="0"/>
                <w:sz w:val="21"/>
                <w:szCs w:val="21"/>
              </w:rPr>
              <w:t>注射剂</w:t>
            </w:r>
          </w:p>
        </w:tc>
        <w:tc>
          <w:tcPr>
            <w:tcW w:w="1198" w:type="dxa"/>
            <w:tcBorders>
              <w:top w:val="nil"/>
              <w:left w:val="nil"/>
              <w:bottom w:val="nil"/>
              <w:right w:val="nil"/>
            </w:tcBorders>
            <w:shd w:val="clear" w:color="auto" w:fill="auto"/>
          </w:tcPr>
          <w:p>
            <w:pPr>
              <w:widowControl/>
              <w:spacing w:line="240" w:lineRule="auto"/>
              <w:rPr>
                <w:rFonts w:hint="eastAsia" w:eastAsia="宋体" w:cs="宋体"/>
                <w:color w:val="auto"/>
                <w:kern w:val="0"/>
                <w:sz w:val="21"/>
                <w:szCs w:val="21"/>
                <w:lang w:eastAsia="zh-CN"/>
              </w:rPr>
            </w:pPr>
            <w:r>
              <w:rPr>
                <w:rFonts w:hint="eastAsia" w:eastAsia="宋体" w:cs="宋体"/>
                <w:color w:val="auto"/>
                <w:kern w:val="0"/>
                <w:sz w:val="21"/>
                <w:szCs w:val="21"/>
              </w:rPr>
              <w:t>手术当天起静脉</w:t>
            </w:r>
            <w:r>
              <w:rPr>
                <w:rFonts w:hint="eastAsia" w:eastAsia="宋体" w:cs="宋体"/>
                <w:color w:val="auto"/>
                <w:kern w:val="0"/>
                <w:sz w:val="21"/>
                <w:szCs w:val="21"/>
                <w:lang w:eastAsia="zh-CN"/>
              </w:rPr>
              <w:t>质子泵抑制剂</w:t>
            </w:r>
          </w:p>
        </w:tc>
        <w:tc>
          <w:tcPr>
            <w:tcW w:w="2590"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标准剂量</w:t>
            </w:r>
            <w:r>
              <w:rPr>
                <w:rFonts w:eastAsia="宋体" w:cs="宋体"/>
                <w:color w:val="auto"/>
                <w:kern w:val="0"/>
                <w:sz w:val="21"/>
                <w:szCs w:val="21"/>
              </w:rPr>
              <w:t>40 mg</w:t>
            </w:r>
            <w:r>
              <w:rPr>
                <w:rFonts w:hint="eastAsia" w:eastAsia="宋体" w:cs="宋体"/>
                <w:color w:val="auto"/>
                <w:kern w:val="0"/>
                <w:sz w:val="21"/>
                <w:szCs w:val="21"/>
              </w:rPr>
              <w:t>，静脉输注，</w:t>
            </w:r>
            <w:r>
              <w:rPr>
                <w:rFonts w:eastAsia="宋体" w:cs="宋体"/>
                <w:color w:val="auto"/>
                <w:kern w:val="0"/>
                <w:sz w:val="21"/>
                <w:szCs w:val="21"/>
              </w:rPr>
              <w:t>2</w:t>
            </w:r>
            <w:r>
              <w:rPr>
                <w:rFonts w:hint="eastAsia" w:eastAsia="宋体" w:cs="宋体"/>
                <w:color w:val="auto"/>
                <w:kern w:val="0"/>
                <w:sz w:val="21"/>
                <w:szCs w:val="21"/>
              </w:rPr>
              <w:t>次</w:t>
            </w:r>
            <w:r>
              <w:rPr>
                <w:rFonts w:eastAsia="宋体" w:cs="宋体"/>
                <w:color w:val="auto"/>
                <w:kern w:val="0"/>
                <w:sz w:val="21"/>
                <w:szCs w:val="21"/>
              </w:rPr>
              <w:t>/d</w:t>
            </w:r>
            <w:r>
              <w:rPr>
                <w:rFonts w:hint="eastAsia" w:eastAsia="宋体" w:cs="宋体"/>
                <w:color w:val="auto"/>
                <w:kern w:val="0"/>
                <w:sz w:val="21"/>
                <w:szCs w:val="21"/>
              </w:rPr>
              <w:t>，</w:t>
            </w:r>
            <w:r>
              <w:rPr>
                <w:rFonts w:eastAsia="宋体" w:cs="宋体"/>
                <w:color w:val="auto"/>
                <w:kern w:val="0"/>
                <w:sz w:val="21"/>
                <w:szCs w:val="21"/>
              </w:rPr>
              <w:t>2</w:t>
            </w:r>
            <w:r>
              <w:rPr>
                <w:rFonts w:hint="eastAsia" w:eastAsia="宋体" w:cs="宋体"/>
                <w:color w:val="auto"/>
                <w:kern w:val="0"/>
                <w:sz w:val="21"/>
                <w:szCs w:val="21"/>
              </w:rPr>
              <w:t>~</w:t>
            </w:r>
            <w:r>
              <w:rPr>
                <w:rFonts w:eastAsia="宋体" w:cs="宋体"/>
                <w:color w:val="auto"/>
                <w:kern w:val="0"/>
                <w:sz w:val="21"/>
                <w:szCs w:val="21"/>
              </w:rPr>
              <w:t>3 d</w:t>
            </w:r>
          </w:p>
        </w:tc>
        <w:tc>
          <w:tcPr>
            <w:tcW w:w="1294"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lang w:eastAsia="zh-CN"/>
              </w:rPr>
              <w:t>质子泵抑制剂</w:t>
            </w:r>
            <w:r>
              <w:rPr>
                <w:rFonts w:hint="eastAsia" w:eastAsia="宋体" w:cs="宋体"/>
                <w:color w:val="auto"/>
                <w:kern w:val="0"/>
                <w:sz w:val="21"/>
                <w:szCs w:val="21"/>
              </w:rPr>
              <w:t>片剂</w:t>
            </w:r>
          </w:p>
        </w:tc>
        <w:tc>
          <w:tcPr>
            <w:tcW w:w="1839" w:type="dxa"/>
            <w:tcBorders>
              <w:top w:val="nil"/>
              <w:left w:val="nil"/>
              <w:bottom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口服标准剂量</w:t>
            </w:r>
            <w:r>
              <w:rPr>
                <w:rFonts w:hint="eastAsia" w:eastAsia="宋体" w:cs="宋体"/>
                <w:color w:val="auto"/>
                <w:kern w:val="0"/>
                <w:sz w:val="21"/>
                <w:szCs w:val="21"/>
                <w:lang w:eastAsia="zh-CN"/>
              </w:rPr>
              <w:t>质子泵抑制剂</w:t>
            </w:r>
            <w:r>
              <w:rPr>
                <w:rFonts w:hint="eastAsia" w:eastAsia="宋体" w:cs="宋体"/>
                <w:color w:val="auto"/>
                <w:kern w:val="0"/>
                <w:sz w:val="21"/>
                <w:szCs w:val="21"/>
              </w:rPr>
              <w:t>，</w:t>
            </w:r>
            <w:r>
              <w:rPr>
                <w:rFonts w:eastAsia="宋体" w:cs="宋体"/>
                <w:color w:val="auto"/>
                <w:kern w:val="0"/>
                <w:sz w:val="21"/>
                <w:szCs w:val="21"/>
              </w:rPr>
              <w:t>1</w:t>
            </w:r>
            <w:r>
              <w:rPr>
                <w:rFonts w:hint="eastAsia" w:eastAsia="宋体" w:cs="宋体"/>
                <w:color w:val="auto"/>
                <w:kern w:val="0"/>
                <w:sz w:val="21"/>
                <w:szCs w:val="21"/>
              </w:rPr>
              <w:t>次</w:t>
            </w:r>
            <w:r>
              <w:rPr>
                <w:rFonts w:eastAsia="宋体" w:cs="宋体"/>
                <w:color w:val="auto"/>
                <w:kern w:val="0"/>
                <w:sz w:val="21"/>
                <w:szCs w:val="21"/>
              </w:rPr>
              <w:t>/d</w:t>
            </w:r>
            <w:r>
              <w:rPr>
                <w:rFonts w:hint="eastAsia" w:eastAsia="宋体" w:cs="宋体"/>
                <w:color w:val="auto"/>
                <w:kern w:val="0"/>
                <w:sz w:val="21"/>
                <w:szCs w:val="21"/>
              </w:rPr>
              <w:t>，疗程</w:t>
            </w:r>
            <w:r>
              <w:rPr>
                <w:rFonts w:eastAsia="宋体" w:cs="宋体"/>
                <w:color w:val="auto"/>
                <w:kern w:val="0"/>
                <w:sz w:val="21"/>
                <w:szCs w:val="21"/>
              </w:rPr>
              <w:t>4~8</w:t>
            </w:r>
            <w:r>
              <w:rPr>
                <w:rFonts w:hint="eastAsia" w:eastAsia="宋体" w:cs="宋体"/>
                <w:color w:val="auto"/>
                <w:kern w:val="0"/>
                <w:sz w:val="21"/>
                <w:szCs w:val="21"/>
              </w:rPr>
              <w:t>周至溃疡愈合</w:t>
            </w:r>
          </w:p>
        </w:tc>
      </w:tr>
      <w:tr>
        <w:tblPrEx>
          <w:tblLayout w:type="fixed"/>
        </w:tblPrEx>
        <w:trPr>
          <w:trHeight w:val="640" w:hRule="atLeast"/>
          <w:jc w:val="center"/>
        </w:trPr>
        <w:tc>
          <w:tcPr>
            <w:tcW w:w="1602" w:type="dxa"/>
            <w:tcBorders>
              <w:top w:val="nil"/>
              <w:left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胃</w:t>
            </w:r>
            <w:r>
              <w:rPr>
                <w:rFonts w:eastAsia="宋体" w:cs="宋体"/>
                <w:color w:val="auto"/>
                <w:kern w:val="0"/>
                <w:sz w:val="21"/>
                <w:szCs w:val="21"/>
              </w:rPr>
              <w:t>EMR</w:t>
            </w:r>
            <w:r>
              <w:rPr>
                <w:rFonts w:hint="eastAsia" w:eastAsia="宋体" w:cs="宋体"/>
                <w:color w:val="auto"/>
                <w:kern w:val="0"/>
                <w:sz w:val="21"/>
                <w:szCs w:val="21"/>
              </w:rPr>
              <w:t>、</w:t>
            </w:r>
            <w:r>
              <w:rPr>
                <w:rFonts w:eastAsia="宋体" w:cs="宋体"/>
                <w:color w:val="auto"/>
                <w:kern w:val="0"/>
                <w:sz w:val="21"/>
                <w:szCs w:val="21"/>
              </w:rPr>
              <w:t>ESD</w:t>
            </w:r>
            <w:r>
              <w:rPr>
                <w:rFonts w:hint="eastAsia" w:eastAsia="宋体" w:cs="宋体"/>
                <w:color w:val="auto"/>
                <w:kern w:val="0"/>
                <w:sz w:val="21"/>
                <w:szCs w:val="21"/>
              </w:rPr>
              <w:t>术后迟发性出血</w:t>
            </w:r>
            <w:r>
              <w:rPr>
                <w:rFonts w:eastAsia="宋体" w:cs="宋体"/>
                <w:color w:val="auto"/>
                <w:kern w:val="0"/>
                <w:sz w:val="21"/>
                <w:szCs w:val="21"/>
                <w:vertAlign w:val="superscript"/>
              </w:rPr>
              <w:t>c</w:t>
            </w:r>
          </w:p>
        </w:tc>
        <w:tc>
          <w:tcPr>
            <w:tcW w:w="1064" w:type="dxa"/>
            <w:tcBorders>
              <w:top w:val="nil"/>
              <w:left w:val="nil"/>
              <w:right w:val="nil"/>
            </w:tcBorders>
            <w:shd w:val="clear" w:color="auto" w:fill="auto"/>
          </w:tcPr>
          <w:p>
            <w:pPr>
              <w:widowControl/>
              <w:spacing w:line="240" w:lineRule="auto"/>
              <w:rPr>
                <w:rFonts w:hint="eastAsia" w:eastAsia="宋体" w:cs="宋体"/>
                <w:color w:val="auto"/>
                <w:kern w:val="0"/>
                <w:sz w:val="21"/>
                <w:szCs w:val="21"/>
                <w:lang w:eastAsia="zh-CN"/>
              </w:rPr>
            </w:pPr>
            <w:r>
              <w:rPr>
                <w:rFonts w:hint="eastAsia" w:eastAsia="宋体" w:cs="宋体"/>
                <w:color w:val="auto"/>
                <w:kern w:val="0"/>
                <w:sz w:val="21"/>
                <w:szCs w:val="21"/>
                <w:lang w:eastAsia="zh-CN"/>
              </w:rPr>
              <w:t>质子泵抑制剂</w:t>
            </w:r>
          </w:p>
          <w:p>
            <w:pPr>
              <w:widowControl/>
              <w:spacing w:line="240" w:lineRule="auto"/>
              <w:rPr>
                <w:rFonts w:eastAsia="宋体" w:cs="宋体"/>
                <w:color w:val="auto"/>
                <w:kern w:val="0"/>
                <w:sz w:val="21"/>
                <w:szCs w:val="21"/>
              </w:rPr>
            </w:pPr>
            <w:r>
              <w:rPr>
                <w:rFonts w:hint="eastAsia" w:eastAsia="宋体" w:cs="宋体"/>
                <w:color w:val="auto"/>
                <w:kern w:val="0"/>
                <w:sz w:val="21"/>
                <w:szCs w:val="21"/>
              </w:rPr>
              <w:t>注射剂</w:t>
            </w:r>
          </w:p>
        </w:tc>
        <w:tc>
          <w:tcPr>
            <w:tcW w:w="1198" w:type="dxa"/>
            <w:tcBorders>
              <w:top w:val="nil"/>
              <w:left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出血发生后尽早应用</w:t>
            </w:r>
          </w:p>
        </w:tc>
        <w:tc>
          <w:tcPr>
            <w:tcW w:w="2590" w:type="dxa"/>
            <w:tcBorders>
              <w:top w:val="nil"/>
              <w:left w:val="nil"/>
              <w:right w:val="nil"/>
            </w:tcBorders>
            <w:shd w:val="clear" w:color="auto" w:fill="auto"/>
          </w:tcPr>
          <w:p>
            <w:pPr>
              <w:widowControl/>
              <w:spacing w:line="240" w:lineRule="auto"/>
              <w:rPr>
                <w:rFonts w:eastAsia="宋体" w:cs="宋体"/>
                <w:color w:val="auto"/>
                <w:kern w:val="0"/>
                <w:sz w:val="21"/>
                <w:szCs w:val="21"/>
              </w:rPr>
            </w:pPr>
            <w:r>
              <w:rPr>
                <w:rFonts w:eastAsia="宋体" w:cs="宋体"/>
                <w:color w:val="auto"/>
                <w:kern w:val="0"/>
                <w:sz w:val="21"/>
                <w:szCs w:val="21"/>
              </w:rPr>
              <w:t>80 mg</w:t>
            </w:r>
            <w:r>
              <w:rPr>
                <w:rFonts w:hint="eastAsia" w:eastAsia="宋体" w:cs="宋体"/>
                <w:color w:val="auto"/>
                <w:kern w:val="0"/>
                <w:sz w:val="21"/>
                <w:szCs w:val="21"/>
              </w:rPr>
              <w:t>静脉注射</w:t>
            </w:r>
            <w:r>
              <w:rPr>
                <w:rFonts w:eastAsia="宋体" w:cs="宋体"/>
                <w:color w:val="auto"/>
                <w:kern w:val="0"/>
                <w:sz w:val="21"/>
                <w:szCs w:val="21"/>
              </w:rPr>
              <w:t>30 min+8 mg/h</w:t>
            </w:r>
            <w:r>
              <w:rPr>
                <w:rFonts w:hint="eastAsia" w:eastAsia="宋体" w:cs="宋体"/>
                <w:color w:val="auto"/>
                <w:kern w:val="0"/>
                <w:sz w:val="21"/>
                <w:szCs w:val="21"/>
              </w:rPr>
              <w:t>持续输注</w:t>
            </w:r>
            <w:r>
              <w:rPr>
                <w:rFonts w:eastAsia="宋体" w:cs="宋体"/>
                <w:color w:val="auto"/>
                <w:kern w:val="0"/>
                <w:sz w:val="21"/>
                <w:szCs w:val="21"/>
              </w:rPr>
              <w:t>71.5 h或</w:t>
            </w:r>
            <w:r>
              <w:rPr>
                <w:rFonts w:hint="eastAsia" w:eastAsia="宋体" w:cs="宋体"/>
                <w:color w:val="auto"/>
                <w:kern w:val="0"/>
                <w:sz w:val="21"/>
                <w:szCs w:val="21"/>
              </w:rPr>
              <w:t>标准剂量</w:t>
            </w:r>
            <w:r>
              <w:rPr>
                <w:rFonts w:eastAsia="宋体" w:cs="宋体"/>
                <w:color w:val="auto"/>
                <w:kern w:val="0"/>
                <w:sz w:val="21"/>
                <w:szCs w:val="21"/>
              </w:rPr>
              <w:t>40 mg</w:t>
            </w:r>
            <w:r>
              <w:rPr>
                <w:rFonts w:hint="eastAsia" w:eastAsia="宋体" w:cs="宋体"/>
                <w:color w:val="auto"/>
                <w:kern w:val="0"/>
                <w:sz w:val="21"/>
                <w:szCs w:val="21"/>
              </w:rPr>
              <w:t>静脉输注，</w:t>
            </w:r>
            <w:r>
              <w:rPr>
                <w:rFonts w:eastAsia="宋体" w:cs="宋体"/>
                <w:color w:val="auto"/>
                <w:kern w:val="0"/>
                <w:sz w:val="21"/>
                <w:szCs w:val="21"/>
              </w:rPr>
              <w:t>2</w:t>
            </w:r>
            <w:r>
              <w:rPr>
                <w:rFonts w:hint="eastAsia" w:eastAsia="宋体" w:cs="宋体"/>
                <w:color w:val="auto"/>
                <w:kern w:val="0"/>
                <w:sz w:val="21"/>
                <w:szCs w:val="21"/>
              </w:rPr>
              <w:t>次</w:t>
            </w:r>
            <w:r>
              <w:rPr>
                <w:rFonts w:eastAsia="宋体" w:cs="宋体"/>
                <w:color w:val="auto"/>
                <w:kern w:val="0"/>
                <w:sz w:val="21"/>
                <w:szCs w:val="21"/>
              </w:rPr>
              <w:t xml:space="preserve">/d </w:t>
            </w:r>
          </w:p>
        </w:tc>
        <w:tc>
          <w:tcPr>
            <w:tcW w:w="1294" w:type="dxa"/>
            <w:tcBorders>
              <w:top w:val="nil"/>
              <w:left w:val="nil"/>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lang w:eastAsia="zh-CN"/>
              </w:rPr>
              <w:t>质子泵抑制剂</w:t>
            </w:r>
            <w:r>
              <w:rPr>
                <w:rFonts w:hint="eastAsia" w:eastAsia="宋体" w:cs="宋体"/>
                <w:color w:val="auto"/>
                <w:kern w:val="0"/>
                <w:sz w:val="21"/>
                <w:szCs w:val="21"/>
              </w:rPr>
              <w:t>片剂</w:t>
            </w:r>
          </w:p>
        </w:tc>
        <w:tc>
          <w:tcPr>
            <w:tcW w:w="1839" w:type="dxa"/>
            <w:tcBorders>
              <w:top w:val="nil"/>
              <w:left w:val="nil"/>
              <w:right w:val="nil"/>
            </w:tcBorders>
            <w:shd w:val="clear" w:color="auto" w:fill="auto"/>
          </w:tcPr>
          <w:p>
            <w:pPr>
              <w:widowControl/>
              <w:spacing w:line="240" w:lineRule="auto"/>
              <w:rPr>
                <w:rFonts w:eastAsia="宋体" w:cs="宋体"/>
                <w:color w:val="auto"/>
                <w:kern w:val="0"/>
                <w:sz w:val="21"/>
                <w:szCs w:val="21"/>
              </w:rPr>
            </w:pPr>
          </w:p>
        </w:tc>
      </w:tr>
      <w:tr>
        <w:tblPrEx>
          <w:tblLayout w:type="fixed"/>
          <w:tblCellMar>
            <w:top w:w="0" w:type="dxa"/>
            <w:left w:w="108" w:type="dxa"/>
            <w:bottom w:w="0" w:type="dxa"/>
            <w:right w:w="108" w:type="dxa"/>
          </w:tblCellMar>
        </w:tblPrEx>
        <w:trPr>
          <w:trHeight w:val="427" w:hRule="atLeast"/>
          <w:jc w:val="center"/>
        </w:trPr>
        <w:tc>
          <w:tcPr>
            <w:tcW w:w="1602"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lang w:eastAsia="zh-CN"/>
              </w:rPr>
              <w:t>质子泵抑制剂</w:t>
            </w:r>
            <w:r>
              <w:rPr>
                <w:rFonts w:hint="eastAsia" w:eastAsia="宋体" w:cs="宋体"/>
                <w:color w:val="auto"/>
                <w:kern w:val="0"/>
                <w:sz w:val="21"/>
                <w:szCs w:val="21"/>
              </w:rPr>
              <w:t>不可及</w:t>
            </w:r>
          </w:p>
        </w:tc>
        <w:tc>
          <w:tcPr>
            <w:tcW w:w="1064"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r>
              <w:rPr>
                <w:rFonts w:eastAsia="宋体" w:cs="宋体"/>
                <w:color w:val="auto"/>
                <w:kern w:val="0"/>
                <w:sz w:val="21"/>
                <w:szCs w:val="21"/>
              </w:rPr>
              <w:t>H</w:t>
            </w:r>
            <w:r>
              <w:rPr>
                <w:rFonts w:eastAsia="宋体" w:cs="宋体"/>
                <w:color w:val="auto"/>
                <w:kern w:val="0"/>
                <w:sz w:val="21"/>
                <w:szCs w:val="21"/>
                <w:vertAlign w:val="subscript"/>
              </w:rPr>
              <w:t>2</w:t>
            </w:r>
            <w:r>
              <w:rPr>
                <w:rFonts w:eastAsia="宋体" w:cs="宋体"/>
                <w:color w:val="auto"/>
                <w:kern w:val="0"/>
                <w:sz w:val="21"/>
                <w:szCs w:val="21"/>
              </w:rPr>
              <w:t>RA</w:t>
            </w:r>
          </w:p>
          <w:p>
            <w:pPr>
              <w:widowControl/>
              <w:spacing w:line="240" w:lineRule="auto"/>
              <w:rPr>
                <w:rFonts w:eastAsia="宋体" w:cs="宋体"/>
                <w:color w:val="auto"/>
                <w:kern w:val="0"/>
                <w:sz w:val="21"/>
                <w:szCs w:val="21"/>
              </w:rPr>
            </w:pPr>
            <w:r>
              <w:rPr>
                <w:rFonts w:hint="eastAsia" w:eastAsia="宋体" w:cs="宋体"/>
                <w:color w:val="auto"/>
                <w:kern w:val="0"/>
                <w:sz w:val="21"/>
                <w:szCs w:val="21"/>
              </w:rPr>
              <w:t>注射剂</w:t>
            </w:r>
          </w:p>
        </w:tc>
        <w:tc>
          <w:tcPr>
            <w:tcW w:w="1198"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出血后尽早应用</w:t>
            </w:r>
          </w:p>
        </w:tc>
        <w:tc>
          <w:tcPr>
            <w:tcW w:w="2590"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r>
              <w:rPr>
                <w:rFonts w:hint="eastAsia" w:eastAsia="宋体" w:cs="宋体"/>
                <w:color w:val="auto"/>
                <w:kern w:val="0"/>
                <w:sz w:val="21"/>
                <w:szCs w:val="21"/>
              </w:rPr>
              <w:t>如法莫替丁</w:t>
            </w:r>
            <w:r>
              <w:rPr>
                <w:rFonts w:eastAsia="宋体" w:cs="宋体"/>
                <w:color w:val="auto"/>
                <w:kern w:val="0"/>
                <w:sz w:val="21"/>
                <w:szCs w:val="21"/>
              </w:rPr>
              <w:t>80 mg/d</w:t>
            </w:r>
            <w:r>
              <w:rPr>
                <w:rFonts w:hint="eastAsia" w:eastAsia="宋体" w:cs="宋体"/>
                <w:color w:val="auto"/>
                <w:kern w:val="0"/>
                <w:sz w:val="21"/>
                <w:szCs w:val="21"/>
              </w:rPr>
              <w:t>，静脉输注，</w:t>
            </w:r>
            <w:r>
              <w:rPr>
                <w:rFonts w:eastAsia="宋体" w:cs="宋体"/>
                <w:color w:val="auto"/>
                <w:kern w:val="0"/>
                <w:sz w:val="21"/>
                <w:szCs w:val="21"/>
              </w:rPr>
              <w:t>5</w:t>
            </w:r>
            <w:r>
              <w:rPr>
                <w:rFonts w:hint="eastAsia" w:eastAsia="宋体" w:cs="宋体"/>
                <w:color w:val="auto"/>
                <w:kern w:val="0"/>
                <w:sz w:val="21"/>
                <w:szCs w:val="21"/>
              </w:rPr>
              <w:t>~</w:t>
            </w:r>
            <w:r>
              <w:rPr>
                <w:rFonts w:eastAsia="宋体" w:cs="宋体"/>
                <w:color w:val="auto"/>
                <w:kern w:val="0"/>
                <w:sz w:val="21"/>
                <w:szCs w:val="21"/>
              </w:rPr>
              <w:t>7</w:t>
            </w:r>
            <w:r>
              <w:rPr>
                <w:rFonts w:hint="eastAsia" w:eastAsia="宋体" w:cs="宋体"/>
                <w:color w:val="auto"/>
                <w:kern w:val="0"/>
                <w:sz w:val="21"/>
                <w:szCs w:val="21"/>
              </w:rPr>
              <w:t>天</w:t>
            </w:r>
          </w:p>
        </w:tc>
        <w:tc>
          <w:tcPr>
            <w:tcW w:w="1294"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p>
        </w:tc>
        <w:tc>
          <w:tcPr>
            <w:tcW w:w="1839" w:type="dxa"/>
            <w:tcBorders>
              <w:top w:val="nil"/>
              <w:left w:val="nil"/>
              <w:bottom w:val="single" w:color="auto" w:sz="12" w:space="0"/>
              <w:right w:val="nil"/>
            </w:tcBorders>
            <w:shd w:val="clear" w:color="auto" w:fill="auto"/>
          </w:tcPr>
          <w:p>
            <w:pPr>
              <w:widowControl/>
              <w:spacing w:line="240" w:lineRule="auto"/>
              <w:rPr>
                <w:rFonts w:eastAsia="宋体" w:cs="宋体"/>
                <w:color w:val="auto"/>
                <w:kern w:val="0"/>
                <w:sz w:val="21"/>
                <w:szCs w:val="21"/>
              </w:rPr>
            </w:pPr>
          </w:p>
        </w:tc>
      </w:tr>
      <w:bookmarkEnd w:id="68"/>
    </w:tbl>
    <w:p>
      <w:pPr>
        <w:shd w:val="clear" w:color="auto" w:fill="FFFFFF"/>
        <w:spacing w:line="0" w:lineRule="atLeast"/>
        <w:rPr>
          <w:rFonts w:eastAsia="宋体"/>
          <w:color w:val="auto"/>
          <w:sz w:val="21"/>
        </w:rPr>
      </w:pPr>
    </w:p>
    <w:p>
      <w:pPr>
        <w:shd w:val="clear" w:color="auto" w:fill="FFFFFF"/>
        <w:spacing w:line="0" w:lineRule="atLeast"/>
        <w:rPr>
          <w:rFonts w:eastAsia="宋体"/>
          <w:color w:val="auto"/>
          <w:sz w:val="21"/>
        </w:rPr>
      </w:pPr>
      <w:r>
        <w:rPr>
          <w:rFonts w:hint="eastAsia" w:eastAsia="宋体"/>
          <w:color w:val="auto"/>
          <w:sz w:val="21"/>
        </w:rPr>
        <w:t>备注：</w:t>
      </w:r>
    </w:p>
    <w:p>
      <w:pPr>
        <w:pStyle w:val="26"/>
        <w:numPr>
          <w:ilvl w:val="0"/>
          <w:numId w:val="36"/>
        </w:numPr>
        <w:shd w:val="clear" w:color="auto" w:fill="FFFFFF"/>
        <w:spacing w:line="240" w:lineRule="auto"/>
        <w:ind w:firstLineChars="0"/>
        <w:jc w:val="both"/>
        <w:rPr>
          <w:rFonts w:ascii="Times New Roman" w:hAnsi="Times New Roman" w:cs="Arial"/>
          <w:bCs/>
          <w:color w:val="auto"/>
          <w:kern w:val="24"/>
          <w:sz w:val="21"/>
        </w:rPr>
      </w:pPr>
      <w:r>
        <w:rPr>
          <w:rFonts w:hint="eastAsia" w:ascii="Times New Roman" w:hAnsi="Times New Roman" w:cs="Arial"/>
          <w:bCs/>
          <w:color w:val="auto"/>
          <w:kern w:val="24"/>
          <w:sz w:val="21"/>
        </w:rPr>
        <w:t>上消化道出血高危患者（内镜止血治疗后的高危患者，如</w:t>
      </w:r>
      <w:r>
        <w:rPr>
          <w:rFonts w:ascii="Times New Roman" w:hAnsi="Times New Roman" w:cs="Arial"/>
          <w:bCs/>
          <w:color w:val="auto"/>
          <w:kern w:val="24"/>
          <w:sz w:val="21"/>
        </w:rPr>
        <w:t xml:space="preserve">Forrest </w:t>
      </w:r>
      <w:r>
        <w:rPr>
          <w:rFonts w:hint="eastAsia" w:ascii="Times New Roman" w:hAnsi="Times New Roman" w:cs="Arial"/>
          <w:bCs/>
          <w:color w:val="auto"/>
          <w:kern w:val="24"/>
          <w:sz w:val="21"/>
        </w:rPr>
        <w:t>分级</w:t>
      </w:r>
      <w:r>
        <w:rPr>
          <w:rFonts w:ascii="Times New Roman" w:hAnsi="Times New Roman" w:cs="Arial"/>
          <w:bCs/>
          <w:color w:val="auto"/>
          <w:kern w:val="24"/>
          <w:sz w:val="21"/>
        </w:rPr>
        <w:t>Ia-IIb</w:t>
      </w:r>
      <w:r>
        <w:rPr>
          <w:rFonts w:hint="eastAsia" w:ascii="Times New Roman" w:hAnsi="Times New Roman" w:cs="Arial"/>
          <w:bCs/>
          <w:color w:val="auto"/>
          <w:kern w:val="24"/>
          <w:sz w:val="21"/>
        </w:rPr>
        <w:t>级</w:t>
      </w:r>
      <w:r>
        <w:rPr>
          <w:rFonts w:ascii="MS Gothic" w:hAnsi="MS Gothic" w:cs="MS Gothic"/>
          <w:bCs/>
          <w:color w:val="auto"/>
          <w:kern w:val="24"/>
          <w:sz w:val="21"/>
        </w:rPr>
        <w:t>､</w:t>
      </w:r>
      <w:r>
        <w:rPr>
          <w:rFonts w:hint="eastAsia" w:ascii="Times New Roman" w:hAnsi="Times New Roman" w:cs="Arial"/>
          <w:bCs/>
          <w:color w:val="auto"/>
          <w:kern w:val="24"/>
          <w:sz w:val="21"/>
        </w:rPr>
        <w:t>内镜止血困难或内镜止血效果不确定者</w:t>
      </w:r>
      <w:r>
        <w:rPr>
          <w:rFonts w:ascii="MS Gothic" w:hAnsi="MS Gothic" w:cs="MS Gothic"/>
          <w:bCs/>
          <w:color w:val="auto"/>
          <w:kern w:val="24"/>
          <w:sz w:val="21"/>
        </w:rPr>
        <w:t>､</w:t>
      </w:r>
      <w:r>
        <w:rPr>
          <w:rFonts w:hint="eastAsia" w:ascii="Times New Roman" w:hAnsi="Times New Roman" w:cs="Arial"/>
          <w:bCs/>
          <w:color w:val="auto"/>
          <w:kern w:val="24"/>
          <w:sz w:val="21"/>
        </w:rPr>
        <w:t>合并服用抗血小板药物或</w:t>
      </w:r>
      <w:r>
        <w:rPr>
          <w:rFonts w:ascii="Times New Roman" w:hAnsi="Times New Roman" w:cs="Arial"/>
          <w:bCs/>
          <w:color w:val="auto"/>
          <w:kern w:val="24"/>
          <w:sz w:val="21"/>
        </w:rPr>
        <w:t xml:space="preserve">NSAIDs </w:t>
      </w:r>
      <w:r>
        <w:rPr>
          <w:rFonts w:hint="eastAsia" w:ascii="Times New Roman" w:hAnsi="Times New Roman" w:cs="Arial"/>
          <w:bCs/>
          <w:color w:val="auto"/>
          <w:kern w:val="24"/>
          <w:sz w:val="21"/>
        </w:rPr>
        <w:t>者）。</w:t>
      </w:r>
    </w:p>
    <w:p>
      <w:pPr>
        <w:pStyle w:val="26"/>
        <w:numPr>
          <w:ilvl w:val="0"/>
          <w:numId w:val="36"/>
        </w:numPr>
        <w:shd w:val="clear" w:color="auto" w:fill="FFFFFF"/>
        <w:spacing w:line="240" w:lineRule="auto"/>
        <w:ind w:firstLineChars="0"/>
        <w:jc w:val="both"/>
        <w:rPr>
          <w:rFonts w:ascii="Times New Roman" w:hAnsi="Times New Roman" w:cs="Arial"/>
          <w:bCs/>
          <w:color w:val="auto"/>
          <w:kern w:val="24"/>
          <w:sz w:val="21"/>
        </w:rPr>
      </w:pPr>
      <w:r>
        <w:rPr>
          <w:rFonts w:hint="eastAsia" w:ascii="Times New Roman" w:hAnsi="Times New Roman" w:cs="Arial"/>
          <w:bCs/>
          <w:color w:val="auto"/>
          <w:kern w:val="24"/>
          <w:sz w:val="21"/>
        </w:rPr>
        <w:t>胃</w:t>
      </w:r>
      <w:r>
        <w:rPr>
          <w:rFonts w:ascii="Times New Roman" w:hAnsi="Times New Roman" w:cs="Arial"/>
          <w:bCs/>
          <w:color w:val="auto"/>
          <w:kern w:val="24"/>
          <w:sz w:val="21"/>
        </w:rPr>
        <w:t>ESD</w:t>
      </w:r>
      <w:r>
        <w:rPr>
          <w:rFonts w:hint="eastAsia" w:ascii="Times New Roman" w:hAnsi="Times New Roman" w:cs="Arial"/>
          <w:bCs/>
          <w:color w:val="auto"/>
          <w:kern w:val="24"/>
          <w:sz w:val="21"/>
        </w:rPr>
        <w:t>人工溃疡延迟愈合的危险因素：人工溃疡范围大、术中反复电凝止血、凝血功能异常、糖尿病患者等，可酌情增加</w:t>
      </w:r>
      <w:r>
        <w:rPr>
          <w:rFonts w:hint="eastAsia" w:ascii="Times New Roman" w:hAnsi="Times New Roman" w:cs="Arial"/>
          <w:bCs/>
          <w:color w:val="auto"/>
          <w:kern w:val="24"/>
          <w:sz w:val="21"/>
          <w:lang w:eastAsia="zh-CN"/>
        </w:rPr>
        <w:t>质子泵抑制剂</w:t>
      </w:r>
      <w:r>
        <w:rPr>
          <w:rFonts w:hint="eastAsia" w:ascii="Times New Roman" w:hAnsi="Times New Roman" w:cs="Arial"/>
          <w:bCs/>
          <w:color w:val="auto"/>
          <w:kern w:val="24"/>
          <w:sz w:val="21"/>
        </w:rPr>
        <w:t>用量、延长疗程或加用胃黏膜保护剂。</w:t>
      </w:r>
    </w:p>
    <w:p>
      <w:pPr>
        <w:pStyle w:val="26"/>
        <w:numPr>
          <w:ilvl w:val="0"/>
          <w:numId w:val="36"/>
        </w:numPr>
        <w:shd w:val="clear" w:color="auto" w:fill="FFFFFF"/>
        <w:spacing w:line="240" w:lineRule="auto"/>
        <w:ind w:firstLineChars="0"/>
        <w:jc w:val="both"/>
        <w:rPr>
          <w:rFonts w:ascii="Times New Roman" w:hAnsi="Times New Roman" w:cs="Arial"/>
          <w:bCs/>
          <w:color w:val="auto"/>
          <w:kern w:val="24"/>
          <w:sz w:val="21"/>
        </w:rPr>
      </w:pPr>
      <w:r>
        <w:rPr>
          <w:rFonts w:hint="eastAsia" w:ascii="Times New Roman" w:hAnsi="Times New Roman" w:cs="Arial"/>
          <w:bCs/>
          <w:color w:val="auto"/>
          <w:kern w:val="24"/>
          <w:sz w:val="21"/>
        </w:rPr>
        <w:t>胃</w:t>
      </w:r>
      <w:r>
        <w:rPr>
          <w:rFonts w:ascii="Times New Roman" w:hAnsi="Times New Roman" w:cs="Arial"/>
          <w:bCs/>
          <w:color w:val="auto"/>
          <w:kern w:val="24"/>
          <w:sz w:val="21"/>
        </w:rPr>
        <w:t>ESD</w:t>
      </w:r>
      <w:r>
        <w:rPr>
          <w:rFonts w:hint="eastAsia" w:ascii="Times New Roman" w:hAnsi="Times New Roman" w:cs="Arial"/>
          <w:bCs/>
          <w:color w:val="auto"/>
          <w:kern w:val="24"/>
          <w:sz w:val="21"/>
        </w:rPr>
        <w:t>术后迟发出血的危险因素：操作时间长、剥离范围大、病变位于胃中下</w:t>
      </w:r>
      <w:r>
        <w:rPr>
          <w:rFonts w:ascii="Times New Roman" w:hAnsi="Times New Roman" w:cs="Arial"/>
          <w:bCs/>
          <w:color w:val="auto"/>
          <w:kern w:val="24"/>
          <w:sz w:val="21"/>
        </w:rPr>
        <w:t>2/3</w:t>
      </w:r>
      <w:r>
        <w:rPr>
          <w:rFonts w:hint="eastAsia" w:ascii="Times New Roman" w:hAnsi="Times New Roman" w:cs="Arial"/>
          <w:bCs/>
          <w:color w:val="auto"/>
          <w:kern w:val="24"/>
          <w:sz w:val="21"/>
        </w:rPr>
        <w:t>、使用与胃损伤</w:t>
      </w:r>
      <w:r>
        <w:rPr>
          <w:rFonts w:ascii="Times New Roman" w:hAnsi="Times New Roman" w:cs="Arial"/>
          <w:bCs/>
          <w:color w:val="auto"/>
          <w:kern w:val="24"/>
          <w:sz w:val="21"/>
        </w:rPr>
        <w:t>/</w:t>
      </w:r>
      <w:r>
        <w:rPr>
          <w:rFonts w:hint="eastAsia" w:ascii="Times New Roman" w:hAnsi="Times New Roman" w:cs="Arial"/>
          <w:bCs/>
          <w:color w:val="auto"/>
          <w:kern w:val="24"/>
          <w:sz w:val="21"/>
        </w:rPr>
        <w:t>出血潜在相关的药物等，建议采用</w:t>
      </w:r>
      <w:r>
        <w:rPr>
          <w:rFonts w:ascii="Times New Roman" w:hAnsi="Times New Roman" w:cs="Arial"/>
          <w:bCs/>
          <w:color w:val="auto"/>
          <w:kern w:val="24"/>
          <w:sz w:val="21"/>
        </w:rPr>
        <w:t>8</w:t>
      </w:r>
      <w:r>
        <w:rPr>
          <w:rFonts w:hint="eastAsia" w:ascii="Times New Roman" w:hAnsi="Times New Roman" w:cs="Arial"/>
          <w:bCs/>
          <w:color w:val="auto"/>
          <w:kern w:val="24"/>
          <w:sz w:val="21"/>
        </w:rPr>
        <w:t>周</w:t>
      </w:r>
      <w:r>
        <w:rPr>
          <w:rFonts w:hint="eastAsia" w:ascii="Times New Roman" w:hAnsi="Times New Roman" w:cs="Arial"/>
          <w:bCs/>
          <w:color w:val="auto"/>
          <w:kern w:val="24"/>
          <w:sz w:val="21"/>
          <w:lang w:eastAsia="zh-CN"/>
        </w:rPr>
        <w:t>质子泵抑制剂</w:t>
      </w:r>
      <w:r>
        <w:rPr>
          <w:rFonts w:hint="eastAsia" w:ascii="Times New Roman" w:hAnsi="Times New Roman" w:cs="Arial"/>
          <w:bCs/>
          <w:color w:val="auto"/>
          <w:kern w:val="24"/>
          <w:sz w:val="21"/>
        </w:rPr>
        <w:t>疗程。</w:t>
      </w:r>
    </w:p>
    <w:p>
      <w:pPr>
        <w:pStyle w:val="26"/>
        <w:numPr>
          <w:ilvl w:val="0"/>
          <w:numId w:val="36"/>
        </w:numPr>
        <w:shd w:val="clear" w:color="auto" w:fill="FFFFFF"/>
        <w:spacing w:line="240" w:lineRule="auto"/>
        <w:ind w:firstLineChars="0"/>
        <w:jc w:val="both"/>
        <w:rPr>
          <w:rFonts w:ascii="Times New Roman" w:hAnsi="Times New Roman" w:cs="Arial"/>
          <w:bCs/>
          <w:color w:val="auto"/>
          <w:kern w:val="24"/>
          <w:sz w:val="21"/>
        </w:rPr>
      </w:pPr>
      <w:r>
        <w:rPr>
          <w:rFonts w:hint="eastAsia" w:ascii="Times New Roman" w:hAnsi="Times New Roman" w:cs="Arial"/>
          <w:bCs/>
          <w:color w:val="auto"/>
          <w:kern w:val="24"/>
          <w:sz w:val="21"/>
          <w:lang w:eastAsia="zh-CN"/>
        </w:rPr>
        <w:t>质子泵抑制剂</w:t>
      </w:r>
      <w:r>
        <w:rPr>
          <w:rFonts w:hint="eastAsia" w:ascii="Times New Roman" w:hAnsi="Times New Roman" w:cs="Arial"/>
          <w:bCs/>
          <w:color w:val="auto"/>
          <w:kern w:val="24"/>
          <w:sz w:val="21"/>
        </w:rPr>
        <w:t>标准剂量推荐以奥美拉唑注射剂为例。</w:t>
      </w:r>
    </w:p>
    <w:p>
      <w:pPr>
        <w:shd w:val="clear" w:color="auto" w:fill="FFFFFF"/>
        <w:spacing w:line="0" w:lineRule="atLeast"/>
        <w:ind w:firstLine="640"/>
        <w:rPr>
          <w:rFonts w:eastAsia="宋体" w:cs="Arial"/>
          <w:bCs/>
          <w:color w:val="auto"/>
          <w:kern w:val="24"/>
          <w:szCs w:val="21"/>
        </w:rPr>
      </w:pPr>
    </w:p>
    <w:p>
      <w:pPr>
        <w:pStyle w:val="4"/>
        <w:numPr>
          <w:ilvl w:val="0"/>
          <w:numId w:val="27"/>
        </w:numPr>
        <w:spacing w:line="600" w:lineRule="exact"/>
        <w:ind w:firstLine="643"/>
        <w:rPr>
          <w:b w:val="0"/>
          <w:bCs w:val="0"/>
          <w:color w:val="auto"/>
          <w:highlight w:val="none"/>
        </w:rPr>
      </w:pPr>
      <w:bookmarkStart w:id="71" w:name="_Toc535269748"/>
      <w:r>
        <w:rPr>
          <w:rFonts w:hint="eastAsia"/>
          <w:b w:val="0"/>
          <w:bCs w:val="0"/>
          <w:color w:val="auto"/>
          <w:highlight w:val="none"/>
        </w:rPr>
        <w:t>应激性黏膜病变</w:t>
      </w:r>
      <w:bookmarkEnd w:id="71"/>
    </w:p>
    <w:p>
      <w:pPr>
        <w:pStyle w:val="1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应激性黏膜病变（</w:t>
      </w:r>
      <w:r>
        <w:rPr>
          <w:rFonts w:ascii="Times New Roman" w:hAnsi="Times New Roman" w:eastAsia="仿宋" w:cstheme="minorBidi"/>
          <w:color w:val="auto"/>
          <w:kern w:val="2"/>
          <w:sz w:val="32"/>
          <w:szCs w:val="22"/>
        </w:rPr>
        <w:t>Stress Related Mucosal Disease</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又称应激性溃疡、急性胃黏膜病变、急性糜烂性胃炎和急性出血性胃炎等，是指机体在各类严重创伤、危重疾病或严重心理疾病等应激状态下，发生的急性胃肠道黏膜糜烂、溃疡等病变，严重者可并发消化道出血、甚至穿孔，可使原有疾病的程度加重及恶化，增加病死率。</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在内镜下可表现为急性胃黏膜病变、急性糜烂性胃炎、急性出血性胃炎、消化道溃疡等。</w:t>
      </w:r>
    </w:p>
    <w:p>
      <w:pPr>
        <w:spacing w:line="600" w:lineRule="exact"/>
        <w:ind w:firstLine="480"/>
        <w:rPr>
          <w:color w:val="auto"/>
        </w:rPr>
      </w:pPr>
      <w:r>
        <w:rPr>
          <w:rFonts w:hint="eastAsia"/>
          <w:color w:val="auto"/>
        </w:rPr>
        <w:t>【治疗原则】</w:t>
      </w:r>
    </w:p>
    <w:p>
      <w:pPr>
        <w:pStyle w:val="17"/>
        <w:keepNext w:val="0"/>
        <w:keepLines w:val="0"/>
        <w:pageBreakBefore w:val="0"/>
        <w:widowControl/>
        <w:numPr>
          <w:ilvl w:val="0"/>
          <w:numId w:val="37"/>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尽量去除</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的危险因素，并采取措施减轻各种应激。</w:t>
      </w:r>
    </w:p>
    <w:p>
      <w:pPr>
        <w:pStyle w:val="17"/>
        <w:keepNext w:val="0"/>
        <w:keepLines w:val="0"/>
        <w:pageBreakBefore w:val="0"/>
        <w:widowControl/>
        <w:numPr>
          <w:ilvl w:val="0"/>
          <w:numId w:val="37"/>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对于有高危因素的患者，</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可用于预防</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的发生，药物预防的目标是控制胃内</w:t>
      </w:r>
      <w:r>
        <w:rPr>
          <w:rFonts w:ascii="Times New Roman" w:hAnsi="Times New Roman" w:eastAsia="仿宋" w:cstheme="minorBidi"/>
          <w:color w:val="auto"/>
          <w:kern w:val="2"/>
          <w:sz w:val="32"/>
          <w:szCs w:val="22"/>
        </w:rPr>
        <w:t>pH</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4</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7"/>
        </w:numPr>
        <w:kinsoku w:val="0"/>
        <w:wordWrap/>
        <w:overflowPunct w:val="0"/>
        <w:topLinePunct w:val="0"/>
        <w:autoSpaceDE/>
        <w:autoSpaceDN/>
        <w:bidi w:val="0"/>
        <w:adjustRightInd/>
        <w:snapToGrid/>
        <w:spacing w:before="0" w:beforeAutospacing="0" w:afterAutospacing="0" w:line="600" w:lineRule="exact"/>
        <w:ind w:firstLine="640" w:firstLineChars="200"/>
        <w:textAlignment w:val="baseline"/>
        <w:outlineLvl w:val="9"/>
        <w:rPr>
          <w:rFonts w:ascii="Times New Roman" w:hAnsi="Times New Roman" w:eastAsia="仿宋" w:cstheme="minorBidi"/>
          <w:color w:val="auto"/>
          <w:kern w:val="2"/>
          <w:sz w:val="32"/>
          <w:szCs w:val="22"/>
        </w:rPr>
      </w:pP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出血的治疗详见</w:t>
      </w:r>
      <w:r>
        <w:rPr>
          <w:rFonts w:ascii="Times New Roman" w:hAnsi="Times New Roman" w:eastAsia="仿宋" w:cstheme="minorBidi"/>
          <w:color w:val="auto"/>
          <w:kern w:val="2"/>
          <w:sz w:val="32"/>
          <w:szCs w:val="22"/>
        </w:rPr>
        <w:t>“</w:t>
      </w:r>
      <w:r>
        <w:rPr>
          <w:color w:val="auto"/>
        </w:rPr>
        <w:fldChar w:fldCharType="begin"/>
      </w:r>
      <w:r>
        <w:rPr>
          <w:color w:val="auto"/>
        </w:rPr>
        <w:instrText xml:space="preserve"> REF _Ref522398417 \h  \* MERGEFORMAT </w:instrText>
      </w:r>
      <w:r>
        <w:rPr>
          <w:color w:val="auto"/>
        </w:rPr>
        <w:fldChar w:fldCharType="separate"/>
      </w:r>
      <w:r>
        <w:rPr>
          <w:rFonts w:hint="eastAsia" w:ascii="Times New Roman" w:hAnsi="Times New Roman" w:eastAsia="仿宋" w:cstheme="minorBidi"/>
          <w:color w:val="auto"/>
          <w:kern w:val="2"/>
          <w:sz w:val="32"/>
          <w:szCs w:val="22"/>
        </w:rPr>
        <w:t>急性非静脉曲张性上消化道出血</w:t>
      </w:r>
      <w:r>
        <w:rPr>
          <w:color w:val="auto"/>
        </w:rPr>
        <w:fldChar w:fldCharType="end"/>
      </w:r>
      <w:r>
        <w:rPr>
          <w:rFonts w:ascii="Times New Roman" w:hAnsi="Times New Roman" w:eastAsia="仿宋" w:cstheme="minorBidi"/>
          <w:color w:val="auto"/>
          <w:kern w:val="2"/>
          <w:sz w:val="32"/>
          <w:szCs w:val="22"/>
        </w:rPr>
        <w:t>”</w:t>
      </w:r>
      <w:r>
        <w:rPr>
          <w:rFonts w:hint="eastAsia" w:ascii="Times New Roman" w:hAnsi="Times New Roman" w:eastAsia="仿宋" w:cstheme="minorBidi"/>
          <w:color w:val="auto"/>
          <w:kern w:val="2"/>
          <w:sz w:val="32"/>
          <w:szCs w:val="22"/>
        </w:rPr>
        <w:t>。</w:t>
      </w:r>
    </w:p>
    <w:p>
      <w:pPr>
        <w:spacing w:line="600" w:lineRule="exact"/>
        <w:ind w:firstLine="480"/>
        <w:rPr>
          <w:color w:val="auto"/>
        </w:rPr>
      </w:pPr>
      <w:r>
        <w:rPr>
          <w:rFonts w:hint="eastAsia"/>
          <w:color w:val="auto"/>
        </w:rPr>
        <w:t>【质子泵抑制剂的应用】</w:t>
      </w:r>
    </w:p>
    <w:p>
      <w:pPr>
        <w:pStyle w:val="17"/>
        <w:keepNext w:val="0"/>
        <w:keepLines w:val="0"/>
        <w:pageBreakBefore w:val="0"/>
        <w:widowControl/>
        <w:numPr>
          <w:ilvl w:val="0"/>
          <w:numId w:val="38"/>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对于严重创伤、重症患者，应在危险因素（见表</w:t>
      </w:r>
      <w:r>
        <w:rPr>
          <w:rFonts w:ascii="Times New Roman" w:hAnsi="Times New Roman" w:eastAsia="仿宋" w:cstheme="minorBidi"/>
          <w:color w:val="auto"/>
          <w:kern w:val="2"/>
          <w:sz w:val="32"/>
          <w:szCs w:val="22"/>
        </w:rPr>
        <w:t>4- 4</w:t>
      </w:r>
      <w:r>
        <w:rPr>
          <w:rFonts w:hint="eastAsia" w:ascii="Times New Roman" w:hAnsi="Times New Roman" w:eastAsia="仿宋" w:cstheme="minorBidi"/>
          <w:color w:val="auto"/>
          <w:kern w:val="2"/>
          <w:sz w:val="32"/>
          <w:szCs w:val="22"/>
        </w:rPr>
        <w:t>）出现后静脉注射或滴注，如奥美拉唑</w:t>
      </w:r>
      <w:r>
        <w:rPr>
          <w:rFonts w:ascii="Times New Roman" w:hAnsi="Times New Roman" w:eastAsia="仿宋" w:cstheme="minorBidi"/>
          <w:color w:val="auto"/>
          <w:kern w:val="2"/>
          <w:sz w:val="32"/>
          <w:szCs w:val="22"/>
        </w:rPr>
        <w:t>40 mg</w:t>
      </w:r>
      <w:r>
        <w:rPr>
          <w:rFonts w:hint="eastAsia" w:ascii="Times New Roman" w:hAnsi="Times New Roman" w:eastAsia="仿宋" w:cstheme="minorBidi"/>
          <w:color w:val="auto"/>
          <w:kern w:val="2"/>
          <w:sz w:val="32"/>
          <w:szCs w:val="22"/>
        </w:rPr>
        <w:t>，</w:t>
      </w:r>
      <w:r>
        <w:rPr>
          <w:rFonts w:ascii="Times New Roman" w:hAnsi="Times New Roman" w:eastAsia="仿宋" w:cstheme="minorBidi"/>
          <w:color w:val="auto"/>
          <w:kern w:val="2"/>
          <w:sz w:val="32"/>
          <w:szCs w:val="22"/>
        </w:rPr>
        <w:t>2</w:t>
      </w:r>
      <w:r>
        <w:rPr>
          <w:rFonts w:hint="eastAsia" w:ascii="Times New Roman" w:hAnsi="Times New Roman" w:eastAsia="仿宋" w:cstheme="minorBidi"/>
          <w:color w:val="auto"/>
          <w:kern w:val="2"/>
          <w:sz w:val="32"/>
          <w:szCs w:val="22"/>
        </w:rPr>
        <w:t>次</w:t>
      </w:r>
      <w:r>
        <w:rPr>
          <w:rFonts w:ascii="Times New Roman" w:hAnsi="Times New Roman" w:eastAsia="仿宋" w:cstheme="minorBidi"/>
          <w:color w:val="auto"/>
          <w:kern w:val="2"/>
          <w:sz w:val="32"/>
          <w:szCs w:val="22"/>
        </w:rPr>
        <w:t>/d</w:t>
      </w:r>
      <w:r>
        <w:rPr>
          <w:rFonts w:hint="eastAsia" w:ascii="Times New Roman" w:hAnsi="Times New Roman" w:eastAsia="仿宋" w:cstheme="minorBidi"/>
          <w:color w:val="auto"/>
          <w:kern w:val="2"/>
          <w:sz w:val="32"/>
          <w:szCs w:val="22"/>
        </w:rPr>
        <w:t>，至少连续</w:t>
      </w:r>
      <w:r>
        <w:rPr>
          <w:rFonts w:ascii="Times New Roman" w:hAnsi="Times New Roman" w:eastAsia="仿宋" w:cstheme="minorBidi"/>
          <w:color w:val="auto"/>
          <w:kern w:val="2"/>
          <w:sz w:val="32"/>
          <w:szCs w:val="22"/>
        </w:rPr>
        <w:t>3 d</w:t>
      </w:r>
      <w:r>
        <w:rPr>
          <w:rFonts w:hint="eastAsia" w:ascii="Times New Roman" w:hAnsi="Times New Roman" w:eastAsia="仿宋" w:cstheme="minorBidi"/>
          <w:color w:val="auto"/>
          <w:kern w:val="2"/>
          <w:sz w:val="32"/>
          <w:szCs w:val="22"/>
        </w:rPr>
        <w:t>，使胃内</w:t>
      </w:r>
      <w:r>
        <w:rPr>
          <w:rFonts w:ascii="Times New Roman" w:hAnsi="Times New Roman" w:eastAsia="仿宋" w:cstheme="minorBidi"/>
          <w:color w:val="auto"/>
          <w:kern w:val="2"/>
          <w:sz w:val="32"/>
          <w:szCs w:val="22"/>
        </w:rPr>
        <w:t>pH</w:t>
      </w:r>
      <w:r>
        <w:rPr>
          <w:rFonts w:hint="eastAsia" w:ascii="Times New Roman" w:hAnsi="Times New Roman" w:eastAsia="仿宋" w:cstheme="minorBidi"/>
          <w:color w:val="auto"/>
          <w:kern w:val="2"/>
          <w:sz w:val="32"/>
          <w:szCs w:val="22"/>
        </w:rPr>
        <w:t>迅速上升至</w:t>
      </w:r>
      <w:r>
        <w:rPr>
          <w:rFonts w:ascii="Times New Roman" w:hAnsi="Times New Roman" w:eastAsia="仿宋" w:cstheme="minorBidi"/>
          <w:color w:val="auto"/>
          <w:kern w:val="2"/>
          <w:sz w:val="32"/>
          <w:szCs w:val="22"/>
        </w:rPr>
        <w:t>4</w:t>
      </w:r>
      <w:r>
        <w:rPr>
          <w:rFonts w:hint="eastAsia" w:ascii="Times New Roman" w:hAnsi="Times New Roman" w:eastAsia="仿宋" w:cstheme="minorBidi"/>
          <w:color w:val="auto"/>
          <w:kern w:val="2"/>
          <w:sz w:val="32"/>
          <w:szCs w:val="22"/>
        </w:rPr>
        <w:t>以上。当患者病情稳定，可耐受肠内营养或已进食，临床症状开始好转，可逐渐停药。</w:t>
      </w:r>
    </w:p>
    <w:p>
      <w:pPr>
        <w:pStyle w:val="17"/>
        <w:keepNext w:val="0"/>
        <w:keepLines w:val="0"/>
        <w:pageBreakBefore w:val="0"/>
        <w:widowControl/>
        <w:numPr>
          <w:ilvl w:val="0"/>
          <w:numId w:val="38"/>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对拟做重大手术或兼具危险因素的择期手术患者，如果存在</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危险因素（见</w:t>
      </w:r>
      <w:r>
        <w:rPr>
          <w:color w:val="auto"/>
        </w:rPr>
        <w:fldChar w:fldCharType="begin"/>
      </w:r>
      <w:r>
        <w:rPr>
          <w:color w:val="auto"/>
        </w:rPr>
        <w:instrText xml:space="preserve"> REF _Ref522284961 \h  \* MERGEFORMAT </w:instrText>
      </w:r>
      <w:r>
        <w:rPr>
          <w:color w:val="auto"/>
        </w:rPr>
        <w:fldChar w:fldCharType="separate"/>
      </w:r>
      <w:r>
        <w:rPr>
          <w:rFonts w:hint="eastAsia" w:ascii="Times New Roman" w:hAnsi="Times New Roman" w:eastAsia="仿宋" w:cstheme="minorBidi"/>
          <w:color w:val="auto"/>
          <w:kern w:val="2"/>
          <w:sz w:val="32"/>
          <w:szCs w:val="22"/>
        </w:rPr>
        <w:t>表</w:t>
      </w:r>
      <w:r>
        <w:rPr>
          <w:rFonts w:ascii="Times New Roman" w:hAnsi="Times New Roman" w:eastAsia="仿宋" w:cstheme="minorBidi"/>
          <w:color w:val="auto"/>
          <w:kern w:val="2"/>
          <w:sz w:val="32"/>
          <w:szCs w:val="22"/>
        </w:rPr>
        <w:t>4- 4</w:t>
      </w:r>
      <w:r>
        <w:rPr>
          <w:color w:val="auto"/>
        </w:rPr>
        <w:fldChar w:fldCharType="end"/>
      </w:r>
      <w:r>
        <w:rPr>
          <w:rFonts w:hint="eastAsia" w:ascii="Times New Roman" w:hAnsi="Times New Roman" w:eastAsia="仿宋" w:cstheme="minorBidi"/>
          <w:color w:val="auto"/>
          <w:kern w:val="2"/>
          <w:sz w:val="32"/>
          <w:szCs w:val="22"/>
        </w:rPr>
        <w:t>），可在手术前口服或静脉应用抑酸药（</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或</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bscript"/>
        </w:rPr>
        <w:t>2</w:t>
      </w:r>
      <w:r>
        <w:rPr>
          <w:rFonts w:ascii="Times New Roman" w:hAnsi="Times New Roman" w:eastAsia="仿宋" w:cstheme="minorBidi"/>
          <w:color w:val="auto"/>
          <w:kern w:val="2"/>
          <w:sz w:val="32"/>
          <w:szCs w:val="22"/>
        </w:rPr>
        <w:t>RA</w:t>
      </w:r>
      <w:r>
        <w:rPr>
          <w:rFonts w:hint="eastAsia" w:ascii="Times New Roman" w:hAnsi="Times New Roman" w:eastAsia="仿宋" w:cstheme="minorBidi"/>
          <w:color w:val="auto"/>
          <w:kern w:val="2"/>
          <w:sz w:val="32"/>
          <w:szCs w:val="22"/>
        </w:rPr>
        <w:t>）以提高胃内p</w:t>
      </w:r>
      <w:r>
        <w:rPr>
          <w:rFonts w:ascii="Times New Roman" w:hAnsi="Times New Roman" w:eastAsia="仿宋" w:cstheme="minorBidi"/>
          <w:color w:val="auto"/>
          <w:kern w:val="2"/>
          <w:sz w:val="32"/>
          <w:szCs w:val="22"/>
        </w:rPr>
        <w:t>H值</w:t>
      </w:r>
      <w:r>
        <w:rPr>
          <w:rFonts w:hint="eastAsia" w:ascii="Times New Roman" w:hAnsi="Times New Roman" w:eastAsia="仿宋" w:cstheme="minorBidi"/>
          <w:color w:val="auto"/>
          <w:kern w:val="2"/>
          <w:sz w:val="32"/>
          <w:szCs w:val="22"/>
        </w:rPr>
        <w:t>，预防</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的发生。</w:t>
      </w:r>
    </w:p>
    <w:p>
      <w:pPr>
        <w:pStyle w:val="17"/>
        <w:keepNext w:val="0"/>
        <w:keepLines w:val="0"/>
        <w:pageBreakBefore w:val="0"/>
        <w:widowControl/>
        <w:numPr>
          <w:ilvl w:val="0"/>
          <w:numId w:val="38"/>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针对单纯具备一项潜在危险因素的患者，预防用药不推荐静脉用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38"/>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在所有预防用药过程中，应随时监测临床、胃肠道表现和实验室检查，有条件的患者，行内镜检查确认。如发生溃疡、出血、血色素降低、黑便等症状，随时调整用药方案，按照上消化道出血原则进行治疗。</w:t>
      </w:r>
    </w:p>
    <w:p>
      <w:pPr>
        <w:pStyle w:val="17"/>
        <w:numPr>
          <w:ilvl w:val="0"/>
          <w:numId w:val="0"/>
        </w:numPr>
        <w:kinsoku w:val="0"/>
        <w:overflowPunct w:val="0"/>
        <w:spacing w:before="0" w:beforeAutospacing="0" w:afterAutospacing="0" w:line="600" w:lineRule="exact"/>
        <w:ind w:firstLine="480"/>
        <w:textAlignment w:val="baseline"/>
        <w:rPr>
          <w:rFonts w:hint="eastAsia" w:ascii="Times New Roman" w:hAnsi="Times New Roman" w:eastAsia="仿宋" w:cstheme="minorBidi"/>
          <w:color w:val="auto"/>
          <w:kern w:val="2"/>
          <w:sz w:val="32"/>
          <w:szCs w:val="22"/>
        </w:rPr>
      </w:pPr>
    </w:p>
    <w:p>
      <w:pPr>
        <w:pStyle w:val="17"/>
        <w:numPr>
          <w:ilvl w:val="0"/>
          <w:numId w:val="0"/>
        </w:numPr>
        <w:kinsoku w:val="0"/>
        <w:overflowPunct w:val="0"/>
        <w:spacing w:before="0" w:beforeAutospacing="0" w:afterAutospacing="0" w:line="600" w:lineRule="exact"/>
        <w:ind w:firstLine="480"/>
        <w:textAlignment w:val="baseline"/>
        <w:rPr>
          <w:rFonts w:hint="eastAsia" w:ascii="Times New Roman" w:hAnsi="Times New Roman" w:eastAsia="仿宋" w:cstheme="minorBidi"/>
          <w:color w:val="auto"/>
          <w:kern w:val="2"/>
          <w:sz w:val="32"/>
          <w:szCs w:val="22"/>
        </w:rPr>
      </w:pPr>
    </w:p>
    <w:p>
      <w:pPr>
        <w:pStyle w:val="17"/>
        <w:numPr>
          <w:ilvl w:val="0"/>
          <w:numId w:val="0"/>
        </w:numPr>
        <w:kinsoku w:val="0"/>
        <w:overflowPunct w:val="0"/>
        <w:spacing w:before="0" w:beforeAutospacing="0" w:afterAutospacing="0" w:line="600" w:lineRule="exact"/>
        <w:ind w:firstLine="480"/>
        <w:textAlignment w:val="baseline"/>
        <w:rPr>
          <w:rFonts w:hint="eastAsia" w:ascii="Times New Roman" w:hAnsi="Times New Roman" w:eastAsia="仿宋" w:cstheme="minorBidi"/>
          <w:color w:val="auto"/>
          <w:kern w:val="2"/>
          <w:sz w:val="32"/>
          <w:szCs w:val="22"/>
        </w:rPr>
      </w:pPr>
    </w:p>
    <w:p>
      <w:pPr>
        <w:pStyle w:val="17"/>
        <w:numPr>
          <w:ilvl w:val="0"/>
          <w:numId w:val="0"/>
        </w:numPr>
        <w:kinsoku w:val="0"/>
        <w:overflowPunct w:val="0"/>
        <w:spacing w:before="0" w:beforeAutospacing="0" w:afterAutospacing="0" w:line="600" w:lineRule="exact"/>
        <w:ind w:firstLine="480"/>
        <w:textAlignment w:val="baseline"/>
        <w:rPr>
          <w:rFonts w:hint="eastAsia" w:ascii="Times New Roman" w:hAnsi="Times New Roman" w:eastAsia="仿宋" w:cstheme="minorBidi"/>
          <w:color w:val="auto"/>
          <w:kern w:val="2"/>
          <w:sz w:val="32"/>
          <w:szCs w:val="22"/>
        </w:rPr>
      </w:pPr>
    </w:p>
    <w:p>
      <w:pPr>
        <w:pStyle w:val="17"/>
        <w:numPr>
          <w:ilvl w:val="0"/>
          <w:numId w:val="0"/>
        </w:numPr>
        <w:kinsoku w:val="0"/>
        <w:overflowPunct w:val="0"/>
        <w:spacing w:before="0" w:beforeAutospacing="0" w:afterAutospacing="0" w:line="600" w:lineRule="exact"/>
        <w:textAlignment w:val="baseline"/>
        <w:rPr>
          <w:rFonts w:hint="eastAsia" w:ascii="Times New Roman" w:hAnsi="Times New Roman" w:eastAsia="仿宋" w:cstheme="minorBidi"/>
          <w:color w:val="auto"/>
          <w:kern w:val="2"/>
          <w:sz w:val="32"/>
          <w:szCs w:val="22"/>
        </w:rPr>
      </w:pPr>
    </w:p>
    <w:p>
      <w:pPr>
        <w:pStyle w:val="8"/>
        <w:spacing w:after="240"/>
        <w:ind w:firstLine="482"/>
        <w:jc w:val="center"/>
        <w:rPr>
          <w:rFonts w:ascii="Times New Roman" w:hAnsi="Times New Roman" w:eastAsia="宋体" w:cs="Arial"/>
          <w:b w:val="0"/>
          <w:bCs/>
          <w:color w:val="auto"/>
          <w:kern w:val="24"/>
          <w:szCs w:val="24"/>
        </w:rPr>
      </w:pPr>
      <w:bookmarkStart w:id="72" w:name="_Ref522284961"/>
      <w:r>
        <w:rPr>
          <w:rFonts w:hint="eastAsia" w:ascii="Times New Roman" w:hAnsi="Times New Roman" w:eastAsia="宋体"/>
          <w:b w:val="0"/>
          <w:color w:val="auto"/>
        </w:rPr>
        <w:t>表</w:t>
      </w:r>
      <w:r>
        <w:rPr>
          <w:rFonts w:ascii="Times New Roman" w:hAnsi="Times New Roman" w:eastAsia="宋体"/>
          <w:b w:val="0"/>
          <w:color w:val="auto"/>
        </w:rPr>
        <w:t xml:space="preserve">4- </w:t>
      </w:r>
      <w:r>
        <w:rPr>
          <w:rFonts w:ascii="Times New Roman" w:hAnsi="Times New Roman" w:eastAsia="宋体"/>
          <w:b w:val="0"/>
          <w:color w:val="auto"/>
        </w:rPr>
        <w:fldChar w:fldCharType="begin"/>
      </w:r>
      <w:r>
        <w:rPr>
          <w:rFonts w:ascii="Times New Roman" w:hAnsi="Times New Roman" w:eastAsia="宋体"/>
          <w:b w:val="0"/>
          <w:color w:val="auto"/>
        </w:rPr>
        <w:instrText xml:space="preserve"> SEQ </w:instrText>
      </w:r>
      <w:r>
        <w:rPr>
          <w:rFonts w:hint="eastAsia" w:ascii="Times New Roman" w:hAnsi="Times New Roman" w:eastAsia="宋体"/>
          <w:b w:val="0"/>
          <w:color w:val="auto"/>
        </w:rPr>
        <w:instrText xml:space="preserve">表</w:instrText>
      </w:r>
      <w:r>
        <w:rPr>
          <w:rFonts w:ascii="Times New Roman" w:hAnsi="Times New Roman" w:eastAsia="宋体"/>
          <w:b w:val="0"/>
          <w:color w:val="auto"/>
        </w:rPr>
        <w:instrText xml:space="preserve">4- \* ARABIC </w:instrText>
      </w:r>
      <w:r>
        <w:rPr>
          <w:rFonts w:ascii="Times New Roman" w:hAnsi="Times New Roman" w:eastAsia="宋体"/>
          <w:b w:val="0"/>
          <w:color w:val="auto"/>
        </w:rPr>
        <w:fldChar w:fldCharType="separate"/>
      </w:r>
      <w:r>
        <w:rPr>
          <w:rFonts w:ascii="Times New Roman" w:hAnsi="Times New Roman" w:eastAsia="宋体"/>
          <w:b w:val="0"/>
          <w:color w:val="auto"/>
        </w:rPr>
        <w:t>4</w:t>
      </w:r>
      <w:r>
        <w:rPr>
          <w:rFonts w:ascii="Times New Roman" w:hAnsi="Times New Roman" w:eastAsia="宋体"/>
          <w:b w:val="0"/>
          <w:color w:val="auto"/>
        </w:rPr>
        <w:fldChar w:fldCharType="end"/>
      </w:r>
      <w:bookmarkEnd w:id="72"/>
      <w:r>
        <w:rPr>
          <w:rFonts w:ascii="Times New Roman" w:hAnsi="Times New Roman" w:eastAsia="宋体"/>
          <w:b w:val="0"/>
          <w:color w:val="auto"/>
        </w:rPr>
        <w:t>预防SRMD的</w:t>
      </w:r>
      <w:r>
        <w:rPr>
          <w:rFonts w:hint="eastAsia" w:ascii="Times New Roman" w:hAnsi="Times New Roman" w:eastAsia="宋体"/>
          <w:b w:val="0"/>
          <w:color w:val="auto"/>
        </w:rPr>
        <w:t>药物使用指征</w:t>
      </w:r>
    </w:p>
    <w:tbl>
      <w:tblPr>
        <w:tblStyle w:val="25"/>
        <w:tblW w:w="8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0"/>
        <w:gridCol w:w="5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830" w:type="dxa"/>
            <w:tcBorders>
              <w:top w:val="single" w:color="auto" w:sz="12" w:space="0"/>
              <w:bottom w:val="single" w:color="auto" w:sz="4" w:space="0"/>
            </w:tcBorders>
          </w:tcPr>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分类</w:t>
            </w:r>
          </w:p>
        </w:tc>
        <w:tc>
          <w:tcPr>
            <w:tcW w:w="5998" w:type="dxa"/>
            <w:tcBorders>
              <w:top w:val="single" w:color="auto" w:sz="12" w:space="0"/>
              <w:bottom w:val="single" w:color="auto" w:sz="4" w:space="0"/>
            </w:tcBorders>
          </w:tcPr>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7" w:hRule="atLeast"/>
        </w:trPr>
        <w:tc>
          <w:tcPr>
            <w:tcW w:w="2830" w:type="dxa"/>
            <w:tcBorders>
              <w:top w:val="single" w:color="auto" w:sz="4" w:space="0"/>
            </w:tcBorders>
          </w:tcPr>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严重危险因素</w:t>
            </w:r>
          </w:p>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（具有一项可预防用药）</w:t>
            </w:r>
          </w:p>
        </w:tc>
        <w:tc>
          <w:tcPr>
            <w:tcW w:w="5998" w:type="dxa"/>
            <w:tcBorders>
              <w:top w:val="single" w:color="auto" w:sz="4" w:space="0"/>
            </w:tcBorders>
          </w:tcPr>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机械通气超过</w:t>
            </w:r>
            <w:r>
              <w:rPr>
                <w:rFonts w:ascii="Times New Roman" w:hAnsi="Times New Roman" w:cs="Arial"/>
                <w:bCs/>
                <w:color w:val="auto"/>
                <w:kern w:val="24"/>
                <w:sz w:val="21"/>
              </w:rPr>
              <w:t>48h</w:t>
            </w:r>
            <w:r>
              <w:rPr>
                <w:rFonts w:hint="eastAsia" w:ascii="Times New Roman" w:hAnsi="Times New Roman" w:cs="Arial"/>
                <w:bCs/>
                <w:color w:val="auto"/>
                <w:kern w:val="24"/>
                <w:sz w:val="21"/>
              </w:rPr>
              <w:t>或接受体外生命支持</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凝血机制障碍</w:t>
            </w:r>
            <w:r>
              <w:rPr>
                <w:rFonts w:ascii="Times New Roman" w:hAnsi="Times New Roman" w:cs="Arial"/>
                <w:bCs/>
                <w:color w:val="auto"/>
                <w:kern w:val="24"/>
                <w:sz w:val="21"/>
              </w:rPr>
              <w:t>[</w:t>
            </w:r>
            <w:r>
              <w:rPr>
                <w:rFonts w:hint="eastAsia" w:ascii="Times New Roman" w:hAnsi="Times New Roman" w:cs="Arial"/>
                <w:bCs/>
                <w:color w:val="auto"/>
                <w:kern w:val="24"/>
                <w:sz w:val="21"/>
              </w:rPr>
              <w:t>国际标准化比值（</w:t>
            </w:r>
            <w:r>
              <w:rPr>
                <w:rFonts w:ascii="Times New Roman" w:hAnsi="Times New Roman" w:cs="Arial"/>
                <w:bCs/>
                <w:color w:val="auto"/>
                <w:kern w:val="24"/>
                <w:sz w:val="21"/>
              </w:rPr>
              <w:t>INR</w:t>
            </w:r>
            <w:r>
              <w:rPr>
                <w:rFonts w:hint="eastAsia" w:ascii="Times New Roman" w:hAnsi="Times New Roman" w:cs="Arial"/>
                <w:bCs/>
                <w:color w:val="auto"/>
                <w:kern w:val="24"/>
                <w:sz w:val="21"/>
              </w:rPr>
              <w:t>）</w:t>
            </w:r>
            <w:r>
              <w:rPr>
                <w:rFonts w:ascii="Times New Roman" w:hAnsi="Times New Roman" w:cs="Arial"/>
                <w:bCs/>
                <w:color w:val="auto"/>
                <w:kern w:val="24"/>
                <w:sz w:val="21"/>
              </w:rPr>
              <w:t>&gt;1.5</w:t>
            </w:r>
            <w:r>
              <w:rPr>
                <w:rFonts w:hint="eastAsia" w:ascii="Times New Roman" w:hAnsi="Times New Roman" w:cs="Arial"/>
                <w:bCs/>
                <w:color w:val="auto"/>
                <w:kern w:val="24"/>
                <w:sz w:val="21"/>
              </w:rPr>
              <w:t>，血小板</w:t>
            </w:r>
            <w:r>
              <w:rPr>
                <w:rFonts w:ascii="Times New Roman" w:hAnsi="Times New Roman" w:cs="Arial"/>
                <w:bCs/>
                <w:color w:val="auto"/>
                <w:kern w:val="24"/>
                <w:sz w:val="21"/>
              </w:rPr>
              <w:t>&lt;50</w:t>
            </w:r>
            <w:r>
              <w:rPr>
                <w:rFonts w:hint="eastAsia" w:ascii="Times New Roman" w:hAnsi="Times New Roman" w:cs="Arial"/>
                <w:bCs/>
                <w:color w:val="auto"/>
                <w:kern w:val="24"/>
                <w:sz w:val="21"/>
              </w:rPr>
              <w:t>×</w:t>
            </w:r>
            <w:r>
              <w:rPr>
                <w:rFonts w:ascii="Times New Roman" w:hAnsi="Times New Roman" w:cs="Arial"/>
                <w:bCs/>
                <w:color w:val="auto"/>
                <w:kern w:val="24"/>
                <w:sz w:val="21"/>
              </w:rPr>
              <w:t>10</w:t>
            </w:r>
            <w:r>
              <w:rPr>
                <w:rFonts w:ascii="Times New Roman" w:hAnsi="Times New Roman" w:cs="Arial"/>
                <w:bCs/>
                <w:color w:val="auto"/>
                <w:kern w:val="24"/>
                <w:sz w:val="21"/>
                <w:vertAlign w:val="superscript"/>
              </w:rPr>
              <w:t>9</w:t>
            </w:r>
            <w:r>
              <w:rPr>
                <w:rFonts w:ascii="Times New Roman" w:hAnsi="Times New Roman" w:cs="Arial"/>
                <w:bCs/>
                <w:color w:val="auto"/>
                <w:kern w:val="24"/>
                <w:sz w:val="21"/>
              </w:rPr>
              <w:t>/L</w:t>
            </w:r>
            <w:r>
              <w:rPr>
                <w:rFonts w:hint="eastAsia" w:ascii="Times New Roman" w:hAnsi="Times New Roman" w:cs="Arial"/>
                <w:bCs/>
                <w:color w:val="auto"/>
                <w:kern w:val="24"/>
                <w:sz w:val="21"/>
              </w:rPr>
              <w:t>或部分凝血酶原时间</w:t>
            </w:r>
            <w:r>
              <w:rPr>
                <w:rFonts w:ascii="Times New Roman" w:hAnsi="Times New Roman" w:cs="Arial"/>
                <w:bCs/>
                <w:color w:val="auto"/>
                <w:kern w:val="24"/>
                <w:sz w:val="21"/>
              </w:rPr>
              <w:t>&gt;</w:t>
            </w:r>
            <w:r>
              <w:rPr>
                <w:rFonts w:hint="eastAsia" w:ascii="Times New Roman" w:hAnsi="Times New Roman" w:cs="Arial"/>
                <w:bCs/>
                <w:color w:val="auto"/>
                <w:kern w:val="24"/>
                <w:sz w:val="21"/>
              </w:rPr>
              <w:t>正常值</w:t>
            </w:r>
            <w:r>
              <w:rPr>
                <w:rFonts w:ascii="Times New Roman" w:hAnsi="Times New Roman" w:cs="Arial"/>
                <w:bCs/>
                <w:color w:val="auto"/>
                <w:kern w:val="24"/>
                <w:sz w:val="21"/>
              </w:rPr>
              <w:t>2</w:t>
            </w:r>
            <w:r>
              <w:rPr>
                <w:rFonts w:hint="eastAsia" w:ascii="Times New Roman" w:hAnsi="Times New Roman" w:cs="Arial"/>
                <w:bCs/>
                <w:color w:val="auto"/>
                <w:kern w:val="24"/>
                <w:sz w:val="21"/>
              </w:rPr>
              <w:t>倍</w:t>
            </w:r>
            <w:r>
              <w:rPr>
                <w:rFonts w:ascii="Times New Roman" w:hAnsi="Times New Roman" w:cs="Arial"/>
                <w:bCs/>
                <w:color w:val="auto"/>
                <w:kern w:val="24"/>
                <w:sz w:val="21"/>
              </w:rPr>
              <w:t>]</w:t>
            </w:r>
            <w:r>
              <w:rPr>
                <w:rFonts w:hint="eastAsia" w:ascii="Times New Roman" w:hAnsi="Times New Roman" w:cs="Arial"/>
                <w:bCs/>
                <w:color w:val="auto"/>
                <w:kern w:val="24"/>
                <w:sz w:val="21"/>
              </w:rPr>
              <w:t>或服用抗凝或抗血小板药物</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原有消化道溃疡或出血病史</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严重颅脑、颈脊髓外伤</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严重烧伤（烧伤面积</w:t>
            </w:r>
            <w:r>
              <w:rPr>
                <w:rFonts w:ascii="Times New Roman" w:hAnsi="Times New Roman" w:cs="Arial"/>
                <w:bCs/>
                <w:color w:val="auto"/>
                <w:kern w:val="24"/>
                <w:sz w:val="21"/>
              </w:rPr>
              <w:t>&gt;30%</w:t>
            </w:r>
            <w:r>
              <w:rPr>
                <w:rFonts w:hint="eastAsia" w:ascii="Times New Roman" w:hAnsi="Times New Roman" w:cs="Arial"/>
                <w:bCs/>
                <w:color w:val="auto"/>
                <w:kern w:val="24"/>
                <w:sz w:val="21"/>
              </w:rPr>
              <w:t>）</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严重创伤、多发伤</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各种困难、复杂的手术（手术时间＞3h）</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急性肾功能衰竭或接受肾脏替代治疗</w:t>
            </w:r>
          </w:p>
          <w:p>
            <w:pPr>
              <w:pStyle w:val="17"/>
              <w:numPr>
                <w:ilvl w:val="0"/>
                <w:numId w:val="39"/>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慢性肝脏疾病或急性肝功能衰竭</w:t>
            </w:r>
          </w:p>
          <w:p>
            <w:pPr>
              <w:pStyle w:val="17"/>
              <w:numPr>
                <w:ilvl w:val="0"/>
                <w:numId w:val="39"/>
              </w:numPr>
              <w:kinsoku w:val="0"/>
              <w:overflowPunct w:val="0"/>
              <w:spacing w:before="0" w:beforeAutospacing="0" w:after="0" w:afterAutospacing="0" w:line="240" w:lineRule="auto"/>
              <w:ind w:left="640" w:leftChars="0" w:hanging="640" w:firstLineChars="0"/>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急性呼吸窘迫综合征（</w:t>
            </w:r>
            <w:r>
              <w:rPr>
                <w:rFonts w:ascii="Times New Roman" w:hAnsi="Times New Roman" w:cs="Arial"/>
                <w:bCs/>
                <w:color w:val="auto"/>
                <w:kern w:val="24"/>
                <w:sz w:val="21"/>
              </w:rPr>
              <w:t>ARDS</w:t>
            </w:r>
            <w:r>
              <w:rPr>
                <w:rFonts w:hint="eastAsia" w:ascii="Times New Roman" w:hAnsi="Times New Roman" w:cs="Arial"/>
                <w:bCs/>
                <w:color w:val="auto"/>
                <w:kern w:val="24"/>
                <w:sz w:val="21"/>
              </w:rPr>
              <w:t>）</w:t>
            </w:r>
          </w:p>
          <w:p>
            <w:pPr>
              <w:pStyle w:val="17"/>
              <w:numPr>
                <w:ilvl w:val="0"/>
                <w:numId w:val="39"/>
              </w:numPr>
              <w:kinsoku w:val="0"/>
              <w:overflowPunct w:val="0"/>
              <w:spacing w:before="0" w:beforeAutospacing="0" w:after="0" w:afterAutospacing="0" w:line="240" w:lineRule="auto"/>
              <w:ind w:left="640" w:leftChars="0" w:hanging="640" w:firstLineChars="0"/>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休克或持续低血压</w:t>
            </w:r>
          </w:p>
          <w:p>
            <w:pPr>
              <w:pStyle w:val="17"/>
              <w:numPr>
                <w:ilvl w:val="0"/>
                <w:numId w:val="39"/>
              </w:numPr>
              <w:kinsoku w:val="0"/>
              <w:overflowPunct w:val="0"/>
              <w:spacing w:before="0" w:beforeAutospacing="0" w:after="0" w:afterAutospacing="0" w:line="240" w:lineRule="auto"/>
              <w:ind w:left="640" w:leftChars="0" w:hanging="640" w:firstLineChars="0"/>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脓毒症</w:t>
            </w:r>
          </w:p>
          <w:p>
            <w:pPr>
              <w:pStyle w:val="17"/>
              <w:numPr>
                <w:ilvl w:val="0"/>
                <w:numId w:val="39"/>
              </w:numPr>
              <w:kinsoku w:val="0"/>
              <w:overflowPunct w:val="0"/>
              <w:spacing w:before="0" w:beforeAutospacing="0" w:after="0" w:afterAutospacing="0" w:line="240" w:lineRule="auto"/>
              <w:ind w:left="640" w:leftChars="0" w:hanging="640" w:firstLineChars="0"/>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心脑血管意外</w:t>
            </w:r>
          </w:p>
          <w:p>
            <w:pPr>
              <w:pStyle w:val="26"/>
              <w:numPr>
                <w:ilvl w:val="0"/>
                <w:numId w:val="39"/>
              </w:numPr>
              <w:spacing w:line="240" w:lineRule="auto"/>
              <w:ind w:left="640" w:leftChars="0" w:hanging="640" w:firstLineChars="0"/>
              <w:rPr>
                <w:rFonts w:ascii="Times New Roman" w:hAnsi="Times New Roman" w:cs="Arial"/>
                <w:bCs/>
                <w:color w:val="auto"/>
                <w:kern w:val="24"/>
                <w:sz w:val="21"/>
              </w:rPr>
            </w:pPr>
            <w:r>
              <w:rPr>
                <w:rFonts w:hint="eastAsia" w:ascii="Times New Roman" w:hAnsi="Times New Roman" w:cs="Arial"/>
                <w:bCs/>
                <w:color w:val="auto"/>
                <w:kern w:val="24"/>
                <w:sz w:val="21"/>
              </w:rPr>
              <w:t>严重心理应激，如精神创伤等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trPr>
        <w:tc>
          <w:tcPr>
            <w:tcW w:w="2830" w:type="dxa"/>
            <w:tcBorders>
              <w:bottom w:val="single" w:color="auto" w:sz="12" w:space="0"/>
            </w:tcBorders>
          </w:tcPr>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潜在危险因素</w:t>
            </w:r>
          </w:p>
          <w:p>
            <w:pPr>
              <w:pStyle w:val="17"/>
              <w:kinsoku w:val="0"/>
              <w:overflowPunct w:val="0"/>
              <w:spacing w:before="0" w:beforeAutospacing="0" w:after="0" w:afterAutospacing="0" w:line="240" w:lineRule="auto"/>
              <w:jc w:val="both"/>
              <w:textAlignment w:val="baseline"/>
              <w:rPr>
                <w:rFonts w:ascii="Times New Roman" w:hAnsi="Times New Roman" w:cs="Arial"/>
                <w:bCs/>
                <w:color w:val="auto"/>
                <w:kern w:val="24"/>
                <w:sz w:val="21"/>
                <w:szCs w:val="21"/>
              </w:rPr>
            </w:pPr>
            <w:r>
              <w:rPr>
                <w:rFonts w:hint="eastAsia" w:ascii="Times New Roman" w:hAnsi="Times New Roman" w:cs="Arial"/>
                <w:bCs/>
                <w:color w:val="auto"/>
                <w:kern w:val="24"/>
                <w:sz w:val="21"/>
                <w:szCs w:val="21"/>
              </w:rPr>
              <w:t>（符合两项者可预防用药）</w:t>
            </w:r>
          </w:p>
        </w:tc>
        <w:tc>
          <w:tcPr>
            <w:tcW w:w="5998" w:type="dxa"/>
            <w:tcBorders>
              <w:bottom w:val="single" w:color="auto" w:sz="12" w:space="0"/>
            </w:tcBorders>
          </w:tcPr>
          <w:p>
            <w:pPr>
              <w:pStyle w:val="17"/>
              <w:numPr>
                <w:ilvl w:val="0"/>
                <w:numId w:val="40"/>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ascii="Times New Roman" w:hAnsi="Times New Roman" w:cs="Arial"/>
                <w:bCs/>
                <w:color w:val="auto"/>
                <w:kern w:val="24"/>
                <w:sz w:val="21"/>
              </w:rPr>
              <w:t>ICU</w:t>
            </w:r>
            <w:r>
              <w:rPr>
                <w:rFonts w:hint="eastAsia" w:ascii="Times New Roman" w:hAnsi="Times New Roman" w:cs="Arial"/>
                <w:bCs/>
                <w:color w:val="auto"/>
                <w:kern w:val="24"/>
                <w:sz w:val="21"/>
              </w:rPr>
              <w:t>住院时间＞</w:t>
            </w:r>
            <w:r>
              <w:rPr>
                <w:rFonts w:ascii="Times New Roman" w:hAnsi="Times New Roman" w:cs="Arial"/>
                <w:bCs/>
                <w:color w:val="auto"/>
                <w:kern w:val="24"/>
                <w:sz w:val="21"/>
              </w:rPr>
              <w:t>1</w:t>
            </w:r>
            <w:r>
              <w:rPr>
                <w:rFonts w:hint="eastAsia" w:ascii="Times New Roman" w:hAnsi="Times New Roman" w:cs="Arial"/>
                <w:bCs/>
                <w:color w:val="auto"/>
                <w:kern w:val="24"/>
                <w:sz w:val="21"/>
              </w:rPr>
              <w:t>周</w:t>
            </w:r>
          </w:p>
          <w:p>
            <w:pPr>
              <w:pStyle w:val="17"/>
              <w:numPr>
                <w:ilvl w:val="0"/>
                <w:numId w:val="40"/>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粪便隐血持续时间＞</w:t>
            </w:r>
            <w:r>
              <w:rPr>
                <w:rFonts w:ascii="Times New Roman" w:hAnsi="Times New Roman" w:cs="Arial"/>
                <w:bCs/>
                <w:color w:val="auto"/>
                <w:kern w:val="24"/>
                <w:sz w:val="21"/>
              </w:rPr>
              <w:t>3d</w:t>
            </w:r>
          </w:p>
          <w:p>
            <w:pPr>
              <w:pStyle w:val="17"/>
              <w:numPr>
                <w:ilvl w:val="0"/>
                <w:numId w:val="40"/>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大剂量使用糖皮质激素（剂量＞氢化可的松</w:t>
            </w:r>
            <w:r>
              <w:rPr>
                <w:rFonts w:ascii="Times New Roman" w:hAnsi="Times New Roman" w:cs="Arial"/>
                <w:bCs/>
                <w:color w:val="auto"/>
                <w:kern w:val="24"/>
                <w:sz w:val="21"/>
              </w:rPr>
              <w:t>250 mg/d或其他剂量相当的药物</w:t>
            </w:r>
            <w:r>
              <w:rPr>
                <w:rFonts w:hint="eastAsia" w:ascii="Times New Roman" w:hAnsi="Times New Roman" w:cs="Arial"/>
                <w:bCs/>
                <w:color w:val="auto"/>
                <w:kern w:val="24"/>
                <w:sz w:val="21"/>
              </w:rPr>
              <w:t>）</w:t>
            </w:r>
          </w:p>
          <w:p>
            <w:pPr>
              <w:pStyle w:val="17"/>
              <w:numPr>
                <w:ilvl w:val="0"/>
                <w:numId w:val="40"/>
              </w:numPr>
              <w:kinsoku w:val="0"/>
              <w:overflowPunct w:val="0"/>
              <w:spacing w:before="0" w:beforeAutospacing="0" w:after="0" w:afterAutospacing="0" w:line="240" w:lineRule="auto"/>
              <w:jc w:val="both"/>
              <w:textAlignment w:val="baseline"/>
              <w:rPr>
                <w:rFonts w:ascii="Times New Roman" w:hAnsi="Times New Roman" w:cs="Arial"/>
                <w:bCs/>
                <w:color w:val="auto"/>
                <w:kern w:val="24"/>
                <w:sz w:val="21"/>
              </w:rPr>
            </w:pPr>
            <w:r>
              <w:rPr>
                <w:rFonts w:hint="eastAsia" w:ascii="Times New Roman" w:hAnsi="Times New Roman" w:cs="Arial"/>
                <w:bCs/>
                <w:color w:val="auto"/>
                <w:kern w:val="24"/>
                <w:sz w:val="21"/>
              </w:rPr>
              <w:t>合并使用N</w:t>
            </w:r>
            <w:r>
              <w:rPr>
                <w:rFonts w:ascii="Times New Roman" w:hAnsi="Times New Roman" w:cs="Arial"/>
                <w:bCs/>
                <w:color w:val="auto"/>
                <w:kern w:val="24"/>
                <w:sz w:val="21"/>
              </w:rPr>
              <w:t>SAIDs</w:t>
            </w:r>
          </w:p>
        </w:tc>
      </w:tr>
    </w:tbl>
    <w:p>
      <w:pPr>
        <w:pStyle w:val="4"/>
        <w:numPr>
          <w:ilvl w:val="0"/>
          <w:numId w:val="27"/>
        </w:numPr>
        <w:ind w:firstLine="643"/>
        <w:rPr>
          <w:b w:val="0"/>
          <w:bCs w:val="0"/>
          <w:color w:val="auto"/>
          <w:highlight w:val="none"/>
        </w:rPr>
      </w:pPr>
      <w:bookmarkStart w:id="73" w:name="_Toc535269749"/>
      <w:r>
        <w:rPr>
          <w:rFonts w:hint="eastAsia"/>
          <w:b w:val="0"/>
          <w:bCs w:val="0"/>
          <w:color w:val="auto"/>
          <w:highlight w:val="none"/>
        </w:rPr>
        <w:t>肿瘤化疗后的上消化道疾病</w:t>
      </w:r>
      <w:r>
        <w:rPr>
          <w:b w:val="0"/>
          <w:bCs w:val="0"/>
          <w:color w:val="auto"/>
          <w:sz w:val="44"/>
          <w:szCs w:val="44"/>
          <w:highlight w:val="none"/>
          <w:vertAlign w:val="superscript"/>
        </w:rPr>
        <w:t>*</w:t>
      </w:r>
      <w:bookmarkEnd w:id="73"/>
    </w:p>
    <w:p>
      <w:pPr>
        <w:spacing w:line="600" w:lineRule="exact"/>
        <w:ind w:firstLine="480"/>
        <w:jc w:val="both"/>
        <w:rPr>
          <w:color w:val="auto"/>
        </w:rPr>
      </w:pPr>
      <w:r>
        <w:rPr>
          <w:rFonts w:hint="eastAsia"/>
          <w:color w:val="auto"/>
        </w:rPr>
        <w:t>肿瘤化疗患者常出现恶心、呕吐、胃灼热及胃不适等症状。临床难以分辨化疗所致的恶心与消化不良所致的胃灼热和胃不适。化疗药及糖皮质激素亦可引起患者黏膜损伤、消化不良、应激性溃疡的发生。在肿瘤化疗过程中可考虑应用</w:t>
      </w:r>
      <w:r>
        <w:rPr>
          <w:rFonts w:hint="eastAsia"/>
          <w:color w:val="auto"/>
          <w:lang w:eastAsia="zh-CN"/>
        </w:rPr>
        <w:t>质子泵抑制剂</w:t>
      </w:r>
      <w:r>
        <w:rPr>
          <w:rFonts w:hint="eastAsia"/>
          <w:color w:val="auto"/>
        </w:rPr>
        <w:t>改善患者烧心、恶心的症状，改善肿瘤患者的生活质量。</w:t>
      </w:r>
    </w:p>
    <w:p>
      <w:pPr>
        <w:spacing w:line="600" w:lineRule="exact"/>
        <w:ind w:firstLine="480"/>
        <w:jc w:val="both"/>
        <w:rPr>
          <w:color w:val="auto"/>
        </w:rPr>
      </w:pPr>
      <w:r>
        <w:rPr>
          <w:rFonts w:hint="eastAsia"/>
          <w:color w:val="auto"/>
        </w:rPr>
        <w:t>【治疗原则】</w:t>
      </w:r>
    </w:p>
    <w:p>
      <w:pPr>
        <w:pStyle w:val="17"/>
        <w:keepNext w:val="0"/>
        <w:keepLines w:val="0"/>
        <w:pageBreakBefore w:val="0"/>
        <w:widowControl/>
        <w:numPr>
          <w:ilvl w:val="0"/>
          <w:numId w:val="4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不建议常规化疗前的预防性使用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w:t>
      </w:r>
    </w:p>
    <w:p>
      <w:pPr>
        <w:pStyle w:val="17"/>
        <w:keepNext w:val="0"/>
        <w:keepLines w:val="0"/>
        <w:pageBreakBefore w:val="0"/>
        <w:widowControl/>
        <w:numPr>
          <w:ilvl w:val="0"/>
          <w:numId w:val="4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治疗由化疗药、化疗预处理使用糖皮质激素等药物使用导致的胃黏膜损伤及出血。</w:t>
      </w:r>
    </w:p>
    <w:p>
      <w:pPr>
        <w:pStyle w:val="17"/>
        <w:keepNext w:val="0"/>
        <w:keepLines w:val="0"/>
        <w:pageBreakBefore w:val="0"/>
        <w:widowControl/>
        <w:numPr>
          <w:ilvl w:val="0"/>
          <w:numId w:val="4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改善化疗患者化疗后出现的因胃酸增高引起的胃灼热等症状。</w:t>
      </w:r>
    </w:p>
    <w:p>
      <w:pPr>
        <w:pStyle w:val="17"/>
        <w:keepNext w:val="0"/>
        <w:keepLines w:val="0"/>
        <w:pageBreakBefore w:val="0"/>
        <w:widowControl/>
        <w:numPr>
          <w:ilvl w:val="0"/>
          <w:numId w:val="4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改善化疗后患者因呕吐导致的贲门撕裂、反流性食管炎等。</w:t>
      </w:r>
    </w:p>
    <w:p>
      <w:pPr>
        <w:pStyle w:val="17"/>
        <w:keepNext w:val="0"/>
        <w:keepLines w:val="0"/>
        <w:pageBreakBefore w:val="0"/>
        <w:widowControl/>
        <w:numPr>
          <w:ilvl w:val="0"/>
          <w:numId w:val="41"/>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可用于预防有应激性溃疡高危因素的肿瘤患者出现黏膜损伤、应激性溃疡和出血等。</w:t>
      </w:r>
    </w:p>
    <w:p>
      <w:pPr>
        <w:spacing w:line="600" w:lineRule="exact"/>
        <w:ind w:firstLine="480"/>
        <w:jc w:val="both"/>
        <w:rPr>
          <w:color w:val="auto"/>
        </w:rPr>
      </w:pPr>
      <w:r>
        <w:rPr>
          <w:rFonts w:hint="eastAsia"/>
          <w:color w:val="auto"/>
        </w:rPr>
        <w:t>【质子泵抑制剂的应用】</w:t>
      </w:r>
    </w:p>
    <w:p>
      <w:pPr>
        <w:pStyle w:val="17"/>
        <w:keepNext w:val="0"/>
        <w:keepLines w:val="0"/>
        <w:pageBreakBefore w:val="0"/>
        <w:widowControl/>
        <w:numPr>
          <w:ilvl w:val="0"/>
          <w:numId w:val="42"/>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针对肿瘤化疗患者出现的上消化道病变及症状，考虑应用</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对症治疗，并随时根据患者症状、体征、实验室检查调整治疗方案。如发生溃疡、出血、血色素降低、黑便等症状，按照上消化道出血原则进行治疗。</w:t>
      </w:r>
    </w:p>
    <w:p>
      <w:pPr>
        <w:pStyle w:val="17"/>
        <w:keepNext w:val="0"/>
        <w:keepLines w:val="0"/>
        <w:pageBreakBefore w:val="0"/>
        <w:widowControl/>
        <w:numPr>
          <w:ilvl w:val="0"/>
          <w:numId w:val="42"/>
        </w:numPr>
        <w:kinsoku w:val="0"/>
        <w:wordWrap/>
        <w:overflowPunct w:val="0"/>
        <w:topLinePunct w:val="0"/>
        <w:autoSpaceDE/>
        <w:autoSpaceDN/>
        <w:bidi w:val="0"/>
        <w:adjustRightInd/>
        <w:snapToGrid/>
        <w:spacing w:before="0" w:beforeAutospacing="0" w:afterAutospacing="0" w:line="600" w:lineRule="exact"/>
        <w:ind w:firstLine="640" w:firstLineChars="200"/>
        <w:jc w:val="both"/>
        <w:textAlignment w:val="baseline"/>
        <w:outlineLvl w:val="9"/>
        <w:rPr>
          <w:rFonts w:ascii="Times New Roman" w:hAnsi="Times New Roman" w:eastAsia="仿宋" w:cstheme="minorBidi"/>
          <w:color w:val="auto"/>
          <w:kern w:val="2"/>
          <w:sz w:val="32"/>
          <w:szCs w:val="22"/>
        </w:rPr>
      </w:pPr>
      <w:r>
        <w:rPr>
          <w:rFonts w:hint="eastAsia" w:ascii="Times New Roman" w:hAnsi="Times New Roman" w:eastAsia="仿宋" w:cstheme="minorBidi"/>
          <w:color w:val="auto"/>
          <w:kern w:val="2"/>
          <w:sz w:val="32"/>
          <w:szCs w:val="22"/>
        </w:rPr>
        <w:t>肿瘤患者如果存在</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危险因素（见</w:t>
      </w:r>
      <w:r>
        <w:rPr>
          <w:color w:val="auto"/>
        </w:rPr>
        <w:fldChar w:fldCharType="begin"/>
      </w:r>
      <w:r>
        <w:rPr>
          <w:color w:val="auto"/>
        </w:rPr>
        <w:instrText xml:space="preserve"> REF _Ref522284961 \h  \* MERGEFORMAT </w:instrText>
      </w:r>
      <w:r>
        <w:rPr>
          <w:color w:val="auto"/>
        </w:rPr>
        <w:fldChar w:fldCharType="separate"/>
      </w:r>
      <w:r>
        <w:rPr>
          <w:rFonts w:hint="eastAsia" w:ascii="Times New Roman" w:hAnsi="Times New Roman" w:eastAsia="仿宋" w:cstheme="minorBidi"/>
          <w:color w:val="auto"/>
          <w:kern w:val="2"/>
          <w:sz w:val="32"/>
          <w:szCs w:val="22"/>
        </w:rPr>
        <w:t>表</w:t>
      </w:r>
      <w:r>
        <w:rPr>
          <w:rFonts w:ascii="Times New Roman" w:hAnsi="Times New Roman" w:eastAsia="仿宋" w:cstheme="minorBidi"/>
          <w:color w:val="auto"/>
          <w:kern w:val="2"/>
          <w:sz w:val="32"/>
          <w:szCs w:val="22"/>
        </w:rPr>
        <w:t>4- 4</w:t>
      </w:r>
      <w:r>
        <w:rPr>
          <w:color w:val="auto"/>
        </w:rPr>
        <w:fldChar w:fldCharType="end"/>
      </w:r>
      <w:r>
        <w:rPr>
          <w:rFonts w:hint="eastAsia" w:ascii="Times New Roman" w:hAnsi="Times New Roman" w:eastAsia="仿宋" w:cstheme="minorBidi"/>
          <w:color w:val="auto"/>
          <w:kern w:val="2"/>
          <w:sz w:val="32"/>
          <w:szCs w:val="22"/>
        </w:rPr>
        <w:t>），可在化疗过程中应用抑酸药（</w:t>
      </w:r>
      <w:r>
        <w:rPr>
          <w:rFonts w:hint="eastAsia" w:ascii="Times New Roman" w:hAnsi="Times New Roman" w:eastAsia="仿宋" w:cstheme="minorBidi"/>
          <w:color w:val="auto"/>
          <w:kern w:val="2"/>
          <w:sz w:val="32"/>
          <w:szCs w:val="22"/>
          <w:lang w:eastAsia="zh-CN"/>
        </w:rPr>
        <w:t>质子泵抑制剂</w:t>
      </w:r>
      <w:r>
        <w:rPr>
          <w:rFonts w:hint="eastAsia" w:ascii="Times New Roman" w:hAnsi="Times New Roman" w:eastAsia="仿宋" w:cstheme="minorBidi"/>
          <w:color w:val="auto"/>
          <w:kern w:val="2"/>
          <w:sz w:val="32"/>
          <w:szCs w:val="22"/>
        </w:rPr>
        <w:t>或</w:t>
      </w:r>
      <w:r>
        <w:rPr>
          <w:rFonts w:ascii="Times New Roman" w:hAnsi="Times New Roman" w:eastAsia="仿宋" w:cstheme="minorBidi"/>
          <w:color w:val="auto"/>
          <w:kern w:val="2"/>
          <w:sz w:val="32"/>
          <w:szCs w:val="22"/>
        </w:rPr>
        <w:t>H</w:t>
      </w:r>
      <w:r>
        <w:rPr>
          <w:rFonts w:ascii="Times New Roman" w:hAnsi="Times New Roman" w:eastAsia="仿宋" w:cstheme="minorBidi"/>
          <w:color w:val="auto"/>
          <w:kern w:val="2"/>
          <w:sz w:val="32"/>
          <w:szCs w:val="22"/>
          <w:vertAlign w:val="subscript"/>
        </w:rPr>
        <w:t>2</w:t>
      </w:r>
      <w:r>
        <w:rPr>
          <w:rFonts w:ascii="Times New Roman" w:hAnsi="Times New Roman" w:eastAsia="仿宋" w:cstheme="minorBidi"/>
          <w:color w:val="auto"/>
          <w:kern w:val="2"/>
          <w:sz w:val="32"/>
          <w:szCs w:val="22"/>
        </w:rPr>
        <w:t>RA</w:t>
      </w:r>
      <w:r>
        <w:rPr>
          <w:rFonts w:hint="eastAsia" w:ascii="Times New Roman" w:hAnsi="Times New Roman" w:eastAsia="仿宋" w:cstheme="minorBidi"/>
          <w:color w:val="auto"/>
          <w:kern w:val="2"/>
          <w:sz w:val="32"/>
          <w:szCs w:val="22"/>
        </w:rPr>
        <w:t>）预防</w:t>
      </w:r>
      <w:r>
        <w:rPr>
          <w:rFonts w:ascii="Times New Roman" w:hAnsi="Times New Roman" w:eastAsia="仿宋" w:cstheme="minorBidi"/>
          <w:color w:val="auto"/>
          <w:kern w:val="2"/>
          <w:sz w:val="32"/>
          <w:szCs w:val="22"/>
        </w:rPr>
        <w:t>SRMD</w:t>
      </w:r>
      <w:r>
        <w:rPr>
          <w:rFonts w:hint="eastAsia" w:ascii="Times New Roman" w:hAnsi="Times New Roman" w:eastAsia="仿宋" w:cstheme="minorBidi"/>
          <w:color w:val="auto"/>
          <w:kern w:val="2"/>
          <w:sz w:val="32"/>
          <w:szCs w:val="22"/>
        </w:rPr>
        <w:t>的发生。当患者病情稳定，可耐受肠内营养或已进食，临床症状开始好转，可逐渐停药。</w:t>
      </w:r>
    </w:p>
    <w:p>
      <w:pPr>
        <w:pStyle w:val="26"/>
        <w:ind w:firstLine="0" w:firstLineChars="0"/>
        <w:rPr>
          <w:rFonts w:hint="eastAsia" w:ascii="仿宋" w:hAnsi="仿宋" w:cs="仿宋"/>
          <w:bCs/>
          <w:color w:val="auto"/>
        </w:rPr>
      </w:pPr>
      <w:r>
        <w:rPr>
          <w:rFonts w:ascii="仿宋" w:hAnsi="仿宋" w:cs="仿宋"/>
          <w:bCs/>
          <w:color w:val="auto"/>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2540</wp:posOffset>
                </wp:positionV>
                <wp:extent cx="5229225" cy="0"/>
                <wp:effectExtent l="0" t="0" r="9525" b="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1.5pt;margin-top:0.2pt;height:0pt;width:411.75pt;z-index:251660288;mso-width-relative:page;mso-height-relative:page;" filled="f" stroked="t" coordsize="21600,21600" o:gfxdata="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7j16T9MAAAADAQAADwAAAAAAAAABACAAAAA4AAAAZHJzL2Rv&#10;d25yZXYueG1sUEsBAhQAFAAAAAgAh07iQIGJ/Dy3AQAAZAMAAA4AAAAAAAAAAQAgAAAAOAEAAGRy&#10;cy9lMm9Eb2MueG1sUEsFBgAAAAAGAAYAWQEAAGEFAAAAAA==&#10;">
                <v:fill on="f" focussize="0,0"/>
                <v:stroke color="#000000" joinstyle="round"/>
                <v:imagedata o:title=""/>
                <o:lock v:ext="edit" aspectratio="f"/>
              </v:shape>
            </w:pict>
          </mc:Fallback>
        </mc:AlternateContent>
      </w:r>
      <w:r>
        <w:rPr>
          <w:rFonts w:hint="eastAsia" w:ascii="仿宋" w:hAnsi="仿宋" w:cs="仿宋"/>
          <w:bCs/>
          <w:color w:val="auto"/>
        </w:rPr>
        <w:t>备注：</w:t>
      </w:r>
      <w:r>
        <w:rPr>
          <w:rFonts w:hint="eastAsia"/>
          <w:color w:val="auto"/>
          <w:sz w:val="32"/>
          <w:szCs w:val="32"/>
          <w:vertAlign w:val="superscript"/>
        </w:rPr>
        <w:t>*</w:t>
      </w:r>
      <w:r>
        <w:rPr>
          <w:rFonts w:hint="eastAsia" w:ascii="仿宋" w:hAnsi="仿宋" w:cs="仿宋"/>
          <w:bCs/>
          <w:color w:val="auto"/>
        </w:rPr>
        <w:t>标记部分为药物合理使用专家共识。</w:t>
      </w:r>
    </w:p>
    <w:p>
      <w:pPr>
        <w:pStyle w:val="26"/>
        <w:ind w:firstLine="0" w:firstLineChars="0"/>
        <w:rPr>
          <w:rFonts w:hint="eastAsia" w:ascii="仿宋" w:hAnsi="仿宋" w:cs="仿宋"/>
          <w:bCs/>
          <w:color w:val="auto"/>
        </w:rPr>
      </w:pPr>
    </w:p>
    <w:p>
      <w:pPr>
        <w:spacing w:line="60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《质子泵抑制剂临床应用指导原则    （</w:t>
      </w:r>
      <w:r>
        <w:rPr>
          <w:rFonts w:hint="eastAsia" w:ascii="宋体" w:hAnsi="宋体" w:eastAsia="宋体" w:cs="宋体"/>
          <w:b/>
          <w:color w:val="auto"/>
          <w:sz w:val="44"/>
          <w:szCs w:val="44"/>
          <w:lang w:val="en-US" w:eastAsia="zh-CN"/>
        </w:rPr>
        <w:t>2020年版</w:t>
      </w:r>
      <w:r>
        <w:rPr>
          <w:rFonts w:hint="eastAsia" w:ascii="宋体" w:hAnsi="宋体" w:eastAsia="宋体" w:cs="宋体"/>
          <w:b/>
          <w:color w:val="auto"/>
          <w:sz w:val="44"/>
          <w:szCs w:val="44"/>
        </w:rPr>
        <w:t>）》参与编写机构及人员名单</w:t>
      </w:r>
    </w:p>
    <w:p>
      <w:pPr>
        <w:spacing w:line="600" w:lineRule="exact"/>
        <w:jc w:val="center"/>
        <w:rPr>
          <w:rFonts w:ascii="宋体" w:cs="Times New Roman"/>
          <w:b/>
          <w:bCs/>
          <w:color w:val="auto"/>
          <w:sz w:val="44"/>
          <w:szCs w:val="44"/>
        </w:rPr>
      </w:pPr>
    </w:p>
    <w:p>
      <w:pPr>
        <w:numPr>
          <w:ilvl w:val="0"/>
          <w:numId w:val="0"/>
        </w:numPr>
        <w:spacing w:line="600" w:lineRule="exact"/>
        <w:ind w:leftChars="0"/>
        <w:rPr>
          <w:rFonts w:ascii="仿宋_GB2312" w:eastAsia="仿宋_GB2312" w:cs="宋体"/>
          <w:b/>
          <w:bCs/>
          <w:color w:val="auto"/>
          <w:sz w:val="32"/>
          <w:szCs w:val="32"/>
        </w:rPr>
      </w:pPr>
      <w:r>
        <w:rPr>
          <w:rFonts w:hint="default" w:ascii="仿宋_GB2312" w:hAnsi="宋体" w:eastAsia="仿宋_GB2312" w:cs="宋体"/>
          <w:b/>
          <w:bCs/>
          <w:color w:val="auto"/>
          <w:sz w:val="32"/>
          <w:szCs w:val="32"/>
        </w:rPr>
        <w:t xml:space="preserve">   一、</w:t>
      </w:r>
      <w:r>
        <w:rPr>
          <w:rFonts w:hint="eastAsia" w:ascii="仿宋_GB2312" w:hAnsi="宋体" w:eastAsia="仿宋_GB2312" w:cs="宋体"/>
          <w:b/>
          <w:bCs/>
          <w:color w:val="auto"/>
          <w:sz w:val="32"/>
          <w:szCs w:val="32"/>
        </w:rPr>
        <w:t>机构名单：</w:t>
      </w:r>
    </w:p>
    <w:p>
      <w:pPr>
        <w:numPr>
          <w:ilvl w:val="0"/>
          <w:numId w:val="0"/>
        </w:numPr>
        <w:spacing w:line="600" w:lineRule="exact"/>
        <w:ind w:leftChars="0"/>
        <w:rPr>
          <w:rFonts w:ascii="仿宋_GB2312" w:eastAsia="仿宋_GB2312" w:cs="宋体"/>
          <w:color w:val="auto"/>
          <w:sz w:val="32"/>
          <w:szCs w:val="32"/>
        </w:rPr>
      </w:pPr>
      <w:r>
        <w:rPr>
          <w:rFonts w:hint="default" w:ascii="仿宋_GB2312" w:hAnsi="宋体" w:eastAsia="仿宋_GB2312" w:cs="宋体"/>
          <w:b/>
          <w:bCs/>
          <w:color w:val="auto"/>
          <w:sz w:val="32"/>
          <w:szCs w:val="32"/>
        </w:rPr>
        <w:t xml:space="preserve">   1.</w:t>
      </w:r>
      <w:r>
        <w:rPr>
          <w:rFonts w:hint="eastAsia" w:ascii="仿宋_GB2312" w:hAnsi="宋体" w:eastAsia="仿宋_GB2312" w:cs="宋体"/>
          <w:b/>
          <w:bCs/>
          <w:color w:val="auto"/>
          <w:sz w:val="32"/>
          <w:szCs w:val="32"/>
        </w:rPr>
        <w:t>组织编写：</w:t>
      </w:r>
    </w:p>
    <w:p>
      <w:pPr>
        <w:spacing w:line="600" w:lineRule="exact"/>
        <w:ind w:firstLine="470" w:firstLineChars="147"/>
        <w:rPr>
          <w:rFonts w:ascii="仿宋_GB2312" w:eastAsia="仿宋_GB2312" w:cs="宋体"/>
          <w:color w:val="auto"/>
          <w:sz w:val="32"/>
          <w:szCs w:val="32"/>
        </w:rPr>
      </w:pPr>
      <w:r>
        <w:rPr>
          <w:rFonts w:hint="eastAsia" w:ascii="仿宋_GB2312" w:hAnsi="宋体" w:eastAsia="仿宋_GB2312" w:cs="宋体"/>
          <w:color w:val="auto"/>
          <w:sz w:val="32"/>
          <w:szCs w:val="32"/>
        </w:rPr>
        <w:t>国家卫生健康委合理用药专家委员会</w:t>
      </w:r>
    </w:p>
    <w:p>
      <w:pPr>
        <w:numPr>
          <w:ilvl w:val="0"/>
          <w:numId w:val="0"/>
        </w:numPr>
        <w:spacing w:line="600" w:lineRule="exact"/>
        <w:ind w:leftChars="0"/>
        <w:rPr>
          <w:rFonts w:ascii="仿宋_GB2312" w:eastAsia="仿宋_GB2312" w:cs="宋体"/>
          <w:color w:val="auto"/>
          <w:sz w:val="32"/>
          <w:szCs w:val="32"/>
        </w:rPr>
      </w:pPr>
      <w:r>
        <w:rPr>
          <w:rFonts w:hint="default" w:ascii="仿宋_GB2312" w:hAnsi="宋体" w:eastAsia="仿宋_GB2312" w:cs="宋体"/>
          <w:b/>
          <w:bCs/>
          <w:color w:val="auto"/>
          <w:sz w:val="32"/>
          <w:szCs w:val="32"/>
        </w:rPr>
        <w:t xml:space="preserve">   2.</w:t>
      </w:r>
      <w:r>
        <w:rPr>
          <w:rFonts w:hint="eastAsia" w:ascii="仿宋_GB2312" w:hAnsi="宋体" w:eastAsia="仿宋_GB2312" w:cs="宋体"/>
          <w:b/>
          <w:bCs/>
          <w:color w:val="auto"/>
          <w:sz w:val="32"/>
          <w:szCs w:val="32"/>
        </w:rPr>
        <w:t>参与编写（排名不分先后）：</w:t>
      </w:r>
    </w:p>
    <w:p>
      <w:pPr>
        <w:spacing w:line="600" w:lineRule="exact"/>
        <w:ind w:firstLine="470" w:firstLineChars="147"/>
        <w:rPr>
          <w:rFonts w:ascii="仿宋_GB2312" w:hAnsi="宋体" w:eastAsia="仿宋_GB2312" w:cs="宋体"/>
          <w:color w:val="auto"/>
          <w:sz w:val="32"/>
          <w:szCs w:val="32"/>
        </w:rPr>
      </w:pPr>
      <w:r>
        <w:rPr>
          <w:rFonts w:hint="eastAsia" w:ascii="仿宋_GB2312" w:hAnsi="宋体" w:eastAsia="仿宋_GB2312" w:cs="宋体"/>
          <w:color w:val="auto"/>
          <w:sz w:val="32"/>
          <w:szCs w:val="32"/>
        </w:rPr>
        <w:t>中国药师协会</w:t>
      </w:r>
    </w:p>
    <w:p>
      <w:pPr>
        <w:spacing w:line="600" w:lineRule="exact"/>
        <w:ind w:firstLine="470" w:firstLineChars="147"/>
        <w:rPr>
          <w:rFonts w:ascii="仿宋_GB2312" w:hAnsi="宋体" w:eastAsia="仿宋_GB2312" w:cs="宋体"/>
          <w:color w:val="auto"/>
          <w:sz w:val="32"/>
          <w:szCs w:val="32"/>
        </w:rPr>
      </w:pPr>
      <w:r>
        <w:rPr>
          <w:rFonts w:hint="eastAsia" w:ascii="仿宋_GB2312" w:hAnsi="宋体" w:eastAsia="仿宋_GB2312" w:cs="宋体"/>
          <w:color w:val="auto"/>
          <w:sz w:val="32"/>
          <w:szCs w:val="32"/>
        </w:rPr>
        <w:t>中国药学会</w:t>
      </w:r>
    </w:p>
    <w:p>
      <w:pPr>
        <w:numPr>
          <w:ilvl w:val="0"/>
          <w:numId w:val="0"/>
        </w:numPr>
        <w:spacing w:line="600" w:lineRule="exact"/>
        <w:ind w:leftChars="0"/>
        <w:rPr>
          <w:rFonts w:ascii="仿宋_GB2312" w:eastAsia="仿宋_GB2312" w:cs="Times New Roman"/>
          <w:color w:val="auto"/>
          <w:sz w:val="32"/>
          <w:szCs w:val="32"/>
        </w:rPr>
      </w:pPr>
      <w:r>
        <w:rPr>
          <w:rFonts w:hint="default" w:ascii="仿宋_GB2312" w:hAnsi="宋体" w:eastAsia="仿宋_GB2312" w:cs="宋体"/>
          <w:b/>
          <w:bCs/>
          <w:color w:val="auto"/>
          <w:sz w:val="32"/>
          <w:szCs w:val="32"/>
        </w:rPr>
        <w:t xml:space="preserve">   二、</w:t>
      </w:r>
      <w:r>
        <w:rPr>
          <w:rFonts w:hint="eastAsia" w:ascii="仿宋_GB2312" w:hAnsi="宋体" w:eastAsia="仿宋_GB2312" w:cs="宋体"/>
          <w:b/>
          <w:bCs/>
          <w:color w:val="auto"/>
          <w:sz w:val="32"/>
          <w:szCs w:val="32"/>
        </w:rPr>
        <w:t>编写人员名单：</w:t>
      </w:r>
    </w:p>
    <w:p>
      <w:pPr>
        <w:numPr>
          <w:ilvl w:val="0"/>
          <w:numId w:val="0"/>
        </w:numPr>
        <w:spacing w:line="600" w:lineRule="exact"/>
        <w:ind w:leftChars="0"/>
        <w:rPr>
          <w:rFonts w:ascii="仿宋_GB2312" w:hAnsi="宋体" w:eastAsia="仿宋_GB2312" w:cs="宋体"/>
          <w:b/>
          <w:bCs/>
          <w:color w:val="auto"/>
          <w:sz w:val="32"/>
          <w:szCs w:val="32"/>
        </w:rPr>
      </w:pPr>
      <w:r>
        <w:rPr>
          <w:rFonts w:hint="default" w:ascii="仿宋_GB2312" w:hAnsi="宋体" w:eastAsia="仿宋_GB2312" w:cs="宋体"/>
          <w:b/>
          <w:bCs/>
          <w:color w:val="auto"/>
          <w:sz w:val="32"/>
          <w:szCs w:val="32"/>
        </w:rPr>
        <w:t xml:space="preserve">   1.</w:t>
      </w:r>
      <w:r>
        <w:rPr>
          <w:rFonts w:hint="eastAsia" w:ascii="仿宋_GB2312" w:hAnsi="宋体" w:eastAsia="仿宋_GB2312" w:cs="宋体"/>
          <w:b/>
          <w:bCs/>
          <w:color w:val="auto"/>
          <w:sz w:val="32"/>
          <w:szCs w:val="32"/>
        </w:rPr>
        <w:t>指导专家：</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李兆申</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kern w:val="0"/>
          <w:sz w:val="30"/>
          <w:szCs w:val="30"/>
        </w:rPr>
        <w:t>海军军医大学附属长海医院</w:t>
      </w:r>
    </w:p>
    <w:p>
      <w:pPr>
        <w:spacing w:line="600" w:lineRule="exact"/>
        <w:ind w:left="420"/>
        <w:rPr>
          <w:rFonts w:ascii="仿宋_GB2312" w:hAnsi="宋体" w:eastAsia="仿宋_GB2312" w:cs="宋体"/>
          <w:b/>
          <w:bCs/>
          <w:color w:val="auto"/>
          <w:sz w:val="32"/>
          <w:szCs w:val="32"/>
        </w:rPr>
      </w:pPr>
      <w:r>
        <w:rPr>
          <w:rFonts w:hint="eastAsia" w:ascii="仿宋_GB2312" w:hAnsi="宋体" w:eastAsia="仿宋_GB2312" w:cs="宋体"/>
          <w:color w:val="auto"/>
          <w:sz w:val="32"/>
          <w:szCs w:val="32"/>
        </w:rPr>
        <w:t>李大魁</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北京协和医院</w:t>
      </w:r>
    </w:p>
    <w:p>
      <w:pPr>
        <w:numPr>
          <w:ilvl w:val="0"/>
          <w:numId w:val="0"/>
        </w:numPr>
        <w:spacing w:line="600" w:lineRule="exact"/>
        <w:ind w:leftChars="0"/>
        <w:rPr>
          <w:rFonts w:ascii="仿宋_GB2312" w:eastAsia="仿宋_GB2312" w:cs="Times New Roman"/>
          <w:color w:val="auto"/>
          <w:sz w:val="32"/>
          <w:szCs w:val="32"/>
        </w:rPr>
      </w:pPr>
      <w:r>
        <w:rPr>
          <w:rFonts w:hint="default" w:ascii="仿宋_GB2312" w:hAnsi="宋体" w:eastAsia="仿宋_GB2312" w:cs="宋体"/>
          <w:b/>
          <w:bCs/>
          <w:color w:val="auto"/>
          <w:sz w:val="32"/>
          <w:szCs w:val="32"/>
        </w:rPr>
        <w:t xml:space="preserve">   2.</w:t>
      </w:r>
      <w:r>
        <w:rPr>
          <w:rFonts w:hint="eastAsia" w:ascii="仿宋_GB2312" w:hAnsi="宋体" w:eastAsia="仿宋_GB2312" w:cs="宋体"/>
          <w:b/>
          <w:bCs/>
          <w:color w:val="auto"/>
          <w:sz w:val="32"/>
          <w:szCs w:val="32"/>
        </w:rPr>
        <w:t>主编：</w:t>
      </w:r>
      <w:r>
        <w:rPr>
          <w:rFonts w:hint="eastAsia" w:ascii="仿宋_GB2312" w:hAnsi="宋体" w:eastAsia="仿宋_GB2312" w:cs="宋体"/>
          <w:color w:val="auto"/>
          <w:sz w:val="32"/>
          <w:szCs w:val="32"/>
        </w:rPr>
        <w:t>胡欣</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北京医院</w:t>
      </w:r>
    </w:p>
    <w:p>
      <w:pPr>
        <w:numPr>
          <w:ilvl w:val="0"/>
          <w:numId w:val="0"/>
        </w:numPr>
        <w:spacing w:line="600" w:lineRule="exact"/>
        <w:ind w:leftChars="0"/>
        <w:rPr>
          <w:rFonts w:ascii="仿宋_GB2312" w:eastAsia="仿宋_GB2312" w:cs="Times New Roman"/>
          <w:color w:val="auto"/>
          <w:sz w:val="32"/>
          <w:szCs w:val="32"/>
        </w:rPr>
      </w:pPr>
      <w:r>
        <w:rPr>
          <w:rFonts w:hint="default" w:ascii="仿宋_GB2312" w:hAnsi="宋体" w:eastAsia="仿宋_GB2312" w:cs="宋体"/>
          <w:b/>
          <w:bCs/>
          <w:color w:val="auto"/>
          <w:sz w:val="32"/>
          <w:szCs w:val="32"/>
        </w:rPr>
        <w:t xml:space="preserve">   3.</w:t>
      </w:r>
      <w:r>
        <w:rPr>
          <w:rFonts w:hint="eastAsia" w:ascii="仿宋_GB2312" w:hAnsi="宋体" w:eastAsia="仿宋_GB2312" w:cs="宋体"/>
          <w:b/>
          <w:bCs/>
          <w:color w:val="auto"/>
          <w:sz w:val="32"/>
          <w:szCs w:val="32"/>
        </w:rPr>
        <w:t>主编秘书：</w:t>
      </w:r>
      <w:r>
        <w:rPr>
          <w:rFonts w:hint="eastAsia" w:ascii="仿宋_GB2312" w:eastAsia="仿宋_GB2312" w:cs="Times New Roman"/>
          <w:color w:val="auto"/>
          <w:sz w:val="32"/>
          <w:szCs w:val="32"/>
        </w:rPr>
        <w:t>李慧博</w:t>
      </w: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rPr>
        <w:t>北京大学第三医院</w:t>
      </w:r>
    </w:p>
    <w:p>
      <w:pPr>
        <w:numPr>
          <w:ilvl w:val="0"/>
          <w:numId w:val="0"/>
        </w:numPr>
        <w:spacing w:line="600" w:lineRule="exact"/>
        <w:ind w:leftChars="0"/>
        <w:rPr>
          <w:rFonts w:ascii="仿宋_GB2312" w:eastAsia="仿宋_GB2312" w:cs="Times New Roman"/>
          <w:b/>
          <w:bCs/>
          <w:color w:val="auto"/>
          <w:sz w:val="32"/>
          <w:szCs w:val="32"/>
        </w:rPr>
      </w:pPr>
      <w:r>
        <w:rPr>
          <w:rFonts w:hint="default" w:ascii="仿宋_GB2312" w:hAnsi="宋体" w:eastAsia="仿宋_GB2312" w:cs="宋体"/>
          <w:b/>
          <w:bCs/>
          <w:color w:val="auto"/>
          <w:sz w:val="32"/>
          <w:szCs w:val="32"/>
        </w:rPr>
        <w:t xml:space="preserve">   4.</w:t>
      </w:r>
      <w:r>
        <w:rPr>
          <w:rFonts w:hint="eastAsia" w:ascii="仿宋_GB2312" w:hAnsi="宋体" w:eastAsia="仿宋_GB2312" w:cs="宋体"/>
          <w:b/>
          <w:bCs/>
          <w:color w:val="auto"/>
          <w:sz w:val="32"/>
          <w:szCs w:val="32"/>
        </w:rPr>
        <w:t>参编人员（排名不分先后）：</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杨云生</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中国人民解放军总医院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陈旻湖</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中山大学附属第一医院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翟所迪</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北京大学第三医院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窦科峰</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空军军医大学西京医院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张新超</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张忠涛</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首都医科大学附属北京友谊医院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于学忠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北京协和医院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张相林</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中日友好医院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郭  旭</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中国人民解放军总医院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柏  愚</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海军军医大学附属长海医院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林  堃</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海军军医大学附属长海医院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金  岩</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北京普瑞快思医药咨询有限公司</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王  强</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北京普瑞快思医药咨询有限公司</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刘  芳</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北京大学第三医院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梅  丹</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北京协和医院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杨尹默</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北京大学第一医院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黄仲义</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上海市静安区中心医院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陈  孝</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中山大学附属第一医院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曾红科</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广东省人民医院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徐  挺</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四川大学华西医院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周  菁</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北京大学第一医院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朱  军</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北京大学肿瘤医院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沈  琳</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北京大学肿瘤医院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周  清</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广东省人民医院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于世英</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华中科技大学同济医学院附属同济医院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张  艳</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首都医科大学宣武医院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曲  鑫</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首都医科大学宣武医院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崔  恒</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北京大学人民医院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马  飞</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中国医学科学院肿瘤医院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周彩存</w:t>
      </w:r>
      <w:r>
        <w:rPr>
          <w:rFonts w:hint="eastAsia" w:ascii="仿宋_GB2312" w:hAnsi="宋体" w:eastAsia="仿宋_GB2312" w:cs="宋体"/>
          <w:color w:val="auto"/>
          <w:sz w:val="32"/>
          <w:szCs w:val="32"/>
          <w:lang w:val="en-US" w:eastAsia="zh-CN"/>
        </w:rPr>
        <w:t xml:space="preserve">  </w:t>
      </w:r>
      <w:r>
        <w:rPr>
          <w:rFonts w:ascii="仿宋_GB2312" w:hAnsi="宋体" w:eastAsia="仿宋_GB2312" w:cs="宋体"/>
          <w:color w:val="auto"/>
          <w:sz w:val="32"/>
          <w:szCs w:val="32"/>
        </w:rPr>
        <w:t>同济大学附属上海市肺科医院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秘营昌</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中国医学科学院血液病医院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bCs/>
          <w:color w:val="auto"/>
          <w:sz w:val="32"/>
          <w:szCs w:val="32"/>
        </w:rPr>
        <w:t>潘宏铭</w:t>
      </w:r>
      <w:r>
        <w:rPr>
          <w:rFonts w:hint="eastAsia" w:ascii="仿宋_GB2312" w:hAnsi="宋体" w:eastAsia="仿宋_GB2312" w:cs="宋体"/>
          <w:bCs/>
          <w:color w:val="auto"/>
          <w:sz w:val="32"/>
          <w:szCs w:val="32"/>
          <w:lang w:val="en-US" w:eastAsia="zh-CN"/>
        </w:rPr>
        <w:t xml:space="preserve">  </w:t>
      </w:r>
      <w:r>
        <w:rPr>
          <w:color w:val="auto"/>
        </w:rPr>
        <w:fldChar w:fldCharType="begin"/>
      </w:r>
      <w:r>
        <w:rPr>
          <w:color w:val="auto"/>
        </w:rPr>
        <w:instrText xml:space="preserve"> HYPERLINK "http://mingyi.sogou.com/fuwu/hospital/pc/detail/79200918/guide" \t "_blank" </w:instrText>
      </w:r>
      <w:r>
        <w:rPr>
          <w:color w:val="auto"/>
        </w:rPr>
        <w:fldChar w:fldCharType="separate"/>
      </w:r>
      <w:r>
        <w:rPr>
          <w:rFonts w:ascii="仿宋_GB2312" w:hAnsi="宋体" w:eastAsia="仿宋_GB2312" w:cs="宋体"/>
          <w:color w:val="auto"/>
          <w:sz w:val="32"/>
          <w:szCs w:val="32"/>
        </w:rPr>
        <w:t>浙江大学医学院附属邵逸夫医院</w:t>
      </w:r>
      <w:r>
        <w:rPr>
          <w:rFonts w:ascii="仿宋_GB2312" w:hAnsi="宋体" w:eastAsia="仿宋_GB2312" w:cs="宋体"/>
          <w:color w:val="auto"/>
          <w:sz w:val="32"/>
          <w:szCs w:val="32"/>
        </w:rPr>
        <w:fldChar w:fldCharType="end"/>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竺晓凡</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中国医学科学院血液病医院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王雅杰</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海军军医大学附属长海医院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徐建明</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中国人民解放军第307医院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刘宝瑞</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南京大学医学院附属鼓楼医院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陆  舜</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上海交通大学附属胸科医院</w:t>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单保恩</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河北医科大学第四医院</w:t>
      </w:r>
    </w:p>
    <w:p>
      <w:pPr>
        <w:spacing w:line="600" w:lineRule="exact"/>
        <w:ind w:left="42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陈  洁</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浙江大学医学院附属儿童医院</w:t>
      </w:r>
    </w:p>
    <w:p>
      <w:pPr>
        <w:spacing w:line="600" w:lineRule="exact"/>
        <w:ind w:left="420"/>
        <w:rPr>
          <w:rFonts w:ascii="仿宋_GB2312" w:eastAsia="仿宋_GB2312"/>
          <w:b w:val="0"/>
          <w:bCs w:val="0"/>
          <w:color w:val="auto"/>
          <w:kern w:val="2"/>
          <w:sz w:val="32"/>
          <w:szCs w:val="32"/>
        </w:rPr>
      </w:pPr>
      <w:r>
        <w:rPr>
          <w:rFonts w:hint="eastAsia" w:ascii="仿宋_GB2312" w:eastAsia="仿宋_GB2312"/>
          <w:b w:val="0"/>
          <w:bCs w:val="0"/>
          <w:color w:val="auto"/>
          <w:kern w:val="2"/>
          <w:sz w:val="32"/>
          <w:szCs w:val="32"/>
        </w:rPr>
        <w:t>许春娣</w:t>
      </w:r>
      <w:r>
        <w:rPr>
          <w:rFonts w:hint="eastAsia" w:ascii="仿宋_GB2312" w:eastAsia="仿宋_GB2312"/>
          <w:b w:val="0"/>
          <w:bCs w:val="0"/>
          <w:color w:val="auto"/>
          <w:kern w:val="2"/>
          <w:sz w:val="32"/>
          <w:szCs w:val="32"/>
          <w:lang w:val="en-US" w:eastAsia="zh-CN"/>
        </w:rPr>
        <w:t xml:space="preserve">  </w:t>
      </w:r>
      <w:r>
        <w:rPr>
          <w:rFonts w:ascii="仿宋_GB2312" w:eastAsia="仿宋_GB2312"/>
          <w:b w:val="0"/>
          <w:bCs w:val="0"/>
          <w:color w:val="auto"/>
          <w:kern w:val="2"/>
          <w:sz w:val="32"/>
          <w:szCs w:val="32"/>
        </w:rPr>
        <w:fldChar w:fldCharType="begin"/>
      </w:r>
      <w:r>
        <w:rPr>
          <w:rFonts w:ascii="仿宋_GB2312" w:eastAsia="仿宋_GB2312"/>
          <w:b w:val="0"/>
          <w:bCs w:val="0"/>
          <w:color w:val="auto"/>
          <w:kern w:val="2"/>
          <w:sz w:val="32"/>
          <w:szCs w:val="32"/>
        </w:rPr>
        <w:instrText xml:space="preserve"> HYPERLINK "https://www.sogou.com/link?url=DSOYnZeCC_rEgFVKDYPA_K-gplI1zKeCpobBsURZVxqX8CX53eu81BREGEiUs3NdZdxX4rkQ3Oc." \t "_blank" </w:instrText>
      </w:r>
      <w:r>
        <w:rPr>
          <w:rFonts w:ascii="仿宋_GB2312" w:eastAsia="仿宋_GB2312"/>
          <w:b w:val="0"/>
          <w:bCs w:val="0"/>
          <w:color w:val="auto"/>
          <w:kern w:val="2"/>
          <w:sz w:val="32"/>
          <w:szCs w:val="32"/>
        </w:rPr>
        <w:fldChar w:fldCharType="separate"/>
      </w:r>
      <w:r>
        <w:rPr>
          <w:rFonts w:ascii="仿宋_GB2312" w:eastAsia="仿宋_GB2312"/>
          <w:b w:val="0"/>
          <w:bCs w:val="0"/>
          <w:color w:val="auto"/>
          <w:kern w:val="2"/>
          <w:sz w:val="32"/>
          <w:szCs w:val="32"/>
        </w:rPr>
        <w:t>上海交通大学医学院附属瑞金医院</w:t>
      </w:r>
      <w:r>
        <w:rPr>
          <w:rFonts w:ascii="仿宋_GB2312" w:eastAsia="仿宋_GB2312"/>
          <w:b w:val="0"/>
          <w:bCs w:val="0"/>
          <w:color w:val="auto"/>
          <w:kern w:val="2"/>
          <w:sz w:val="32"/>
          <w:szCs w:val="32"/>
        </w:rPr>
        <w:fldChar w:fldCharType="end"/>
      </w:r>
    </w:p>
    <w:p>
      <w:pPr>
        <w:spacing w:line="600" w:lineRule="exact"/>
        <w:ind w:left="420"/>
        <w:rPr>
          <w:rFonts w:ascii="仿宋_GB2312" w:hAnsi="宋体" w:eastAsia="仿宋_GB2312" w:cs="宋体"/>
          <w:color w:val="auto"/>
          <w:sz w:val="32"/>
          <w:szCs w:val="32"/>
        </w:rPr>
      </w:pPr>
      <w:r>
        <w:rPr>
          <w:rFonts w:hint="eastAsia" w:ascii="仿宋_GB2312" w:hAnsi="宋体" w:eastAsia="仿宋_GB2312" w:cs="宋体"/>
          <w:color w:val="auto"/>
          <w:sz w:val="32"/>
          <w:szCs w:val="32"/>
        </w:rPr>
        <w:t>江米足</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浙江大学医学院附属儿童医院</w:t>
      </w:r>
    </w:p>
    <w:p>
      <w:pPr>
        <w:pStyle w:val="17"/>
        <w:kinsoku w:val="0"/>
        <w:overflowPunct w:val="0"/>
        <w:spacing w:before="0" w:beforeAutospacing="0" w:after="0" w:afterAutospacing="0" w:line="240" w:lineRule="atLeast"/>
        <w:jc w:val="both"/>
        <w:rPr>
          <w:b/>
          <w:bCs/>
          <w:color w:val="auto"/>
          <w:kern w:val="2"/>
          <w:sz w:val="48"/>
          <w:szCs w:val="48"/>
        </w:rPr>
      </w:pPr>
    </w:p>
    <w:p>
      <w:pPr>
        <w:pStyle w:val="26"/>
        <w:ind w:firstLine="0" w:firstLineChars="0"/>
        <w:rPr>
          <w:rFonts w:hint="eastAsia" w:ascii="仿宋" w:hAnsi="仿宋" w:cs="仿宋"/>
          <w:bCs/>
          <w:color w:val="auto"/>
        </w:rPr>
      </w:pPr>
    </w:p>
    <w:sectPr>
      <w:footerReference r:id="rId6" w:type="default"/>
      <w:pgSz w:w="11906" w:h="16838"/>
      <w:pgMar w:top="1440" w:right="1800" w:bottom="1440" w:left="180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1"/>
    <w:family w:val="swiss"/>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Cambria">
    <w:altName w:val="Caladea"/>
    <w:panose1 w:val="02040503050406030204"/>
    <w:charset w:val="00"/>
    <w:family w:val="roman"/>
    <w:pitch w:val="default"/>
    <w:sig w:usb0="00000000" w:usb1="00000000" w:usb2="02000000" w:usb3="00000000" w:csb0="2000019F" w:csb1="00000000"/>
  </w:font>
  <w:font w:name="楷体">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FZKTK--GBK1-0">
    <w:altName w:val="PakType Naskh Basic"/>
    <w:panose1 w:val="00000000000000000000"/>
    <w:charset w:val="00"/>
    <w:family w:val="roman"/>
    <w:pitch w:val="default"/>
    <w:sig w:usb0="00000000" w:usb1="00000000" w:usb2="00000000" w:usb3="00000000" w:csb0="00000000" w:csb1="00000000"/>
  </w:font>
  <w:font w:name="E-B6">
    <w:altName w:val="PakType Naskh Basic"/>
    <w:panose1 w:val="00000000000000000000"/>
    <w:charset w:val="00"/>
    <w:family w:val="roman"/>
    <w:pitch w:val="default"/>
    <w:sig w:usb0="00000000" w:usb1="00000000" w:usb2="00000000" w:usb3="00000000" w:csb0="00000000" w:csb1="00000000"/>
  </w:font>
  <w:font w:name="E-BZ">
    <w:altName w:val="PakType Naskh Basic"/>
    <w:panose1 w:val="00000000000000000000"/>
    <w:charset w:val="00"/>
    <w:family w:val="roman"/>
    <w:pitch w:val="default"/>
    <w:sig w:usb0="00000000" w:usb1="00000000" w:usb2="00000000" w:usb3="00000000" w:csb0="00000000" w:csb1="00000000"/>
  </w:font>
  <w:font w:name="MS Gothic">
    <w:altName w:val="宋体"/>
    <w:panose1 w:val="020B0609070205080204"/>
    <w:charset w:val="80"/>
    <w:family w:val="modern"/>
    <w:pitch w:val="default"/>
    <w:sig w:usb0="00000000" w:usb1="00000000"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Caladea">
    <w:panose1 w:val="02040503050406030204"/>
    <w:charset w:val="00"/>
    <w:family w:val="auto"/>
    <w:pitch w:val="default"/>
    <w:sig w:usb0="00000007" w:usb1="00000000" w:usb2="00000000" w:usb3="00000000" w:csb0="20000093"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Content>
      <w:p>
        <w:pPr>
          <w:pStyle w:val="13"/>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PAGE   \* MERGEFORMAT</w:instrText>
    </w:r>
    <w:r>
      <w:rPr>
        <w:lang w:val="zh-CN"/>
      </w:rPr>
      <w:fldChar w:fldCharType="separate"/>
    </w:r>
    <w:r>
      <w:rPr>
        <w:lang w:val="zh-CN"/>
      </w:rPr>
      <w:t>34</w:t>
    </w:r>
    <w:r>
      <w:rPr>
        <w:lang w:val="zh-CN"/>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998"/>
    <w:multiLevelType w:val="multilevel"/>
    <w:tmpl w:val="00130998"/>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4DA5FFE"/>
    <w:multiLevelType w:val="multilevel"/>
    <w:tmpl w:val="04DA5FFE"/>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058A1D3A"/>
    <w:multiLevelType w:val="multilevel"/>
    <w:tmpl w:val="058A1D3A"/>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0CBD69EE"/>
    <w:multiLevelType w:val="multilevel"/>
    <w:tmpl w:val="0CBD69EE"/>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DD715C3"/>
    <w:multiLevelType w:val="multilevel"/>
    <w:tmpl w:val="0DD715C3"/>
    <w:lvl w:ilvl="0" w:tentative="0">
      <w:start w:val="1"/>
      <w:numFmt w:val="japaneseCounting"/>
      <w:lvlText w:val="(%1)"/>
      <w:lvlJc w:val="left"/>
      <w:pPr>
        <w:ind w:left="987" w:hanging="420"/>
      </w:pPr>
      <w:rPr>
        <w:rFonts w:hint="default" w:ascii="楷体" w:hAnsi="楷体" w:eastAsia="楷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1643327A"/>
    <w:multiLevelType w:val="multilevel"/>
    <w:tmpl w:val="1643327A"/>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1E1D06D3"/>
    <w:multiLevelType w:val="multilevel"/>
    <w:tmpl w:val="1E1D06D3"/>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1ED337D3"/>
    <w:multiLevelType w:val="multilevel"/>
    <w:tmpl w:val="1ED337D3"/>
    <w:lvl w:ilvl="0" w:tentative="0">
      <w:start w:val="1"/>
      <w:numFmt w:val="chineseCountingThousand"/>
      <w:pStyle w:val="4"/>
      <w:suff w:val="space"/>
      <w:lvlText w:val="%1、"/>
      <w:lvlJc w:val="left"/>
      <w:pPr>
        <w:ind w:left="1129"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1EE14FA2"/>
    <w:multiLevelType w:val="multilevel"/>
    <w:tmpl w:val="1EE14FA2"/>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34CC2E3A"/>
    <w:multiLevelType w:val="multilevel"/>
    <w:tmpl w:val="34CC2E3A"/>
    <w:lvl w:ilvl="0" w:tentative="0">
      <w:start w:val="1"/>
      <w:numFmt w:val="decimal"/>
      <w:lvlText w:val="%1."/>
      <w:lvlJc w:val="left"/>
      <w:pPr>
        <w:ind w:left="845"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DD12DB"/>
    <w:multiLevelType w:val="multilevel"/>
    <w:tmpl w:val="35DD12DB"/>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364B0711"/>
    <w:multiLevelType w:val="multilevel"/>
    <w:tmpl w:val="364B0711"/>
    <w:lvl w:ilvl="0" w:tentative="0">
      <w:start w:val="1"/>
      <w:numFmt w:val="decimal"/>
      <w:lvlText w:val="%1."/>
      <w:lvlJc w:val="left"/>
      <w:pPr>
        <w:ind w:left="845"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7ED2BA1"/>
    <w:multiLevelType w:val="multilevel"/>
    <w:tmpl w:val="37ED2BA1"/>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3A4F2E9D"/>
    <w:multiLevelType w:val="multilevel"/>
    <w:tmpl w:val="3A4F2E9D"/>
    <w:lvl w:ilvl="0" w:tentative="0">
      <w:start w:val="1"/>
      <w:numFmt w:val="chineseCountingThousand"/>
      <w:lvlText w:val="(%1)"/>
      <w:lvlJc w:val="left"/>
      <w:pPr>
        <w:ind w:left="845" w:hanging="420"/>
      </w:pPr>
      <w:rPr>
        <w:rFonts w:ascii="楷体" w:hAnsi="楷体" w:eastAsia="楷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3CAD7B1D"/>
    <w:multiLevelType w:val="multilevel"/>
    <w:tmpl w:val="3CAD7B1D"/>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41E1100E"/>
    <w:multiLevelType w:val="multilevel"/>
    <w:tmpl w:val="41E1100E"/>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2A0350C"/>
    <w:multiLevelType w:val="multilevel"/>
    <w:tmpl w:val="42A0350C"/>
    <w:lvl w:ilvl="0" w:tentative="0">
      <w:start w:val="1"/>
      <w:numFmt w:val="chineseCountingThousand"/>
      <w:lvlText w:val="(%1)"/>
      <w:lvlJc w:val="left"/>
      <w:pPr>
        <w:ind w:left="845" w:hanging="420"/>
      </w:pPr>
      <w:rPr>
        <w:rFonts w:ascii="楷体" w:hAnsi="楷体" w:eastAsia="楷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483C6AC4"/>
    <w:multiLevelType w:val="multilevel"/>
    <w:tmpl w:val="483C6AC4"/>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8">
    <w:nsid w:val="48A23ED1"/>
    <w:multiLevelType w:val="multilevel"/>
    <w:tmpl w:val="48A23ED1"/>
    <w:lvl w:ilvl="0" w:tentative="0">
      <w:start w:val="1"/>
      <w:numFmt w:val="decimal"/>
      <w:lvlText w:val="%1."/>
      <w:lvlJc w:val="left"/>
      <w:pPr>
        <w:ind w:left="845"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B6E0D2A"/>
    <w:multiLevelType w:val="multilevel"/>
    <w:tmpl w:val="4B6E0D2A"/>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0">
    <w:nsid w:val="4BED0618"/>
    <w:multiLevelType w:val="multilevel"/>
    <w:tmpl w:val="4BED0618"/>
    <w:lvl w:ilvl="0" w:tentative="0">
      <w:start w:val="1"/>
      <w:numFmt w:val="decimal"/>
      <w:lvlText w:val="%1."/>
      <w:lvlJc w:val="left"/>
      <w:pPr>
        <w:ind w:left="845" w:hanging="4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1">
    <w:nsid w:val="4E316896"/>
    <w:multiLevelType w:val="multilevel"/>
    <w:tmpl w:val="4E31689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F1B71F7"/>
    <w:multiLevelType w:val="multilevel"/>
    <w:tmpl w:val="4F1B71F7"/>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F845217"/>
    <w:multiLevelType w:val="multilevel"/>
    <w:tmpl w:val="4F845217"/>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4">
    <w:nsid w:val="58C67BA4"/>
    <w:multiLevelType w:val="multilevel"/>
    <w:tmpl w:val="58C67B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8F5674F"/>
    <w:multiLevelType w:val="multilevel"/>
    <w:tmpl w:val="58F5674F"/>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6">
    <w:nsid w:val="59C763E5"/>
    <w:multiLevelType w:val="multilevel"/>
    <w:tmpl w:val="59C763E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E484C7D"/>
    <w:multiLevelType w:val="multilevel"/>
    <w:tmpl w:val="5E484C7D"/>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8">
    <w:nsid w:val="5EF5386E"/>
    <w:multiLevelType w:val="multilevel"/>
    <w:tmpl w:val="5EF5386E"/>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9">
    <w:nsid w:val="60F30E9D"/>
    <w:multiLevelType w:val="multilevel"/>
    <w:tmpl w:val="60F30E9D"/>
    <w:lvl w:ilvl="0" w:tentative="0">
      <w:start w:val="1"/>
      <w:numFmt w:val="chineseCountingThousand"/>
      <w:lvlText w:val="(%1)"/>
      <w:lvlJc w:val="left"/>
      <w:pPr>
        <w:ind w:left="845" w:hanging="420"/>
      </w:pPr>
      <w:rPr>
        <w:rFonts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19E2CB9"/>
    <w:multiLevelType w:val="multilevel"/>
    <w:tmpl w:val="619E2CB9"/>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1">
    <w:nsid w:val="61E43BB7"/>
    <w:multiLevelType w:val="multilevel"/>
    <w:tmpl w:val="61E43BB7"/>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2">
    <w:nsid w:val="640023EE"/>
    <w:multiLevelType w:val="multilevel"/>
    <w:tmpl w:val="640023EE"/>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3">
    <w:nsid w:val="69DD19E9"/>
    <w:multiLevelType w:val="multilevel"/>
    <w:tmpl w:val="69DD19E9"/>
    <w:lvl w:ilvl="0" w:tentative="0">
      <w:start w:val="1"/>
      <w:numFmt w:val="chineseCountingThousand"/>
      <w:suff w:val="space"/>
      <w:lvlText w:val="(%1)"/>
      <w:lvlJc w:val="left"/>
      <w:pPr>
        <w:ind w:left="0" w:firstLine="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4">
    <w:nsid w:val="6A5A3D17"/>
    <w:multiLevelType w:val="multilevel"/>
    <w:tmpl w:val="6A5A3D17"/>
    <w:lvl w:ilvl="0" w:tentative="0">
      <w:start w:val="1"/>
      <w:numFmt w:val="chineseCountingThousand"/>
      <w:lvlText w:val="(%1)"/>
      <w:lvlJc w:val="left"/>
      <w:pPr>
        <w:ind w:left="845" w:hanging="420"/>
      </w:pPr>
      <w:rPr>
        <w:rFonts w:ascii="楷体" w:hAnsi="楷体" w:eastAsia="楷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5">
    <w:nsid w:val="6BE047B7"/>
    <w:multiLevelType w:val="multilevel"/>
    <w:tmpl w:val="6BE047B7"/>
    <w:lvl w:ilvl="0" w:tentative="0">
      <w:start w:val="1"/>
      <w:numFmt w:val="decimal"/>
      <w:lvlText w:val="%1."/>
      <w:lvlJc w:val="left"/>
      <w:pPr>
        <w:ind w:left="0" w:firstLine="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36">
    <w:nsid w:val="6D604329"/>
    <w:multiLevelType w:val="multilevel"/>
    <w:tmpl w:val="6D604329"/>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7">
    <w:nsid w:val="6EFC5AB7"/>
    <w:multiLevelType w:val="singleLevel"/>
    <w:tmpl w:val="6EFC5AB7"/>
    <w:lvl w:ilvl="0" w:tentative="0">
      <w:start w:val="1"/>
      <w:numFmt w:val="chineseCounting"/>
      <w:suff w:val="nothing"/>
      <w:lvlText w:val="%1、"/>
      <w:lvlJc w:val="left"/>
      <w:pPr>
        <w:ind w:left="0" w:firstLine="420"/>
      </w:pPr>
      <w:rPr>
        <w:rFonts w:hint="eastAsia"/>
      </w:rPr>
    </w:lvl>
  </w:abstractNum>
  <w:abstractNum w:abstractNumId="38">
    <w:nsid w:val="77361268"/>
    <w:multiLevelType w:val="multilevel"/>
    <w:tmpl w:val="77361268"/>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9">
    <w:nsid w:val="77A66FF5"/>
    <w:multiLevelType w:val="multilevel"/>
    <w:tmpl w:val="77A66FF5"/>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0">
    <w:nsid w:val="79A21CE0"/>
    <w:multiLevelType w:val="multilevel"/>
    <w:tmpl w:val="79A21CE0"/>
    <w:lvl w:ilvl="0" w:tentative="0">
      <w:start w:val="1"/>
      <w:numFmt w:val="decimal"/>
      <w:lvlText w:val="%1."/>
      <w:lvlJc w:val="left"/>
      <w:pPr>
        <w:ind w:left="0" w:firstLine="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1">
    <w:nsid w:val="79E35822"/>
    <w:multiLevelType w:val="multilevel"/>
    <w:tmpl w:val="79E35822"/>
    <w:lvl w:ilvl="0" w:tentative="0">
      <w:start w:val="1"/>
      <w:numFmt w:val="decimal"/>
      <w:lvlText w:val="%1."/>
      <w:lvlJc w:val="left"/>
      <w:pPr>
        <w:ind w:left="845"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3"/>
  </w:num>
  <w:num w:numId="3">
    <w:abstractNumId w:val="30"/>
  </w:num>
  <w:num w:numId="4">
    <w:abstractNumId w:val="37"/>
  </w:num>
  <w:num w:numId="5">
    <w:abstractNumId w:val="35"/>
  </w:num>
  <w:num w:numId="6">
    <w:abstractNumId w:val="22"/>
  </w:num>
  <w:num w:numId="7">
    <w:abstractNumId w:val="32"/>
  </w:num>
  <w:num w:numId="8">
    <w:abstractNumId w:val="20"/>
  </w:num>
  <w:num w:numId="9">
    <w:abstractNumId w:val="41"/>
  </w:num>
  <w:num w:numId="10">
    <w:abstractNumId w:val="23"/>
  </w:num>
  <w:num w:numId="11">
    <w:abstractNumId w:val="18"/>
  </w:num>
  <w:num w:numId="12">
    <w:abstractNumId w:val="34"/>
  </w:num>
  <w:num w:numId="13">
    <w:abstractNumId w:val="10"/>
  </w:num>
  <w:num w:numId="14">
    <w:abstractNumId w:val="16"/>
  </w:num>
  <w:num w:numId="15">
    <w:abstractNumId w:val="29"/>
  </w:num>
  <w:num w:numId="16">
    <w:abstractNumId w:val="11"/>
  </w:num>
  <w:num w:numId="17">
    <w:abstractNumId w:val="13"/>
  </w:num>
  <w:num w:numId="18">
    <w:abstractNumId w:val="9"/>
  </w:num>
  <w:num w:numId="19">
    <w:abstractNumId w:val="2"/>
  </w:num>
  <w:num w:numId="20">
    <w:abstractNumId w:val="12"/>
  </w:num>
  <w:num w:numId="21">
    <w:abstractNumId w:val="19"/>
  </w:num>
  <w:num w:numId="22">
    <w:abstractNumId w:val="1"/>
  </w:num>
  <w:num w:numId="23">
    <w:abstractNumId w:val="8"/>
  </w:num>
  <w:num w:numId="24">
    <w:abstractNumId w:val="17"/>
  </w:num>
  <w:num w:numId="25">
    <w:abstractNumId w:val="4"/>
  </w:num>
  <w:num w:numId="26">
    <w:abstractNumId w:val="31"/>
  </w:num>
  <w:num w:numId="27">
    <w:abstractNumId w:val="15"/>
  </w:num>
  <w:num w:numId="28">
    <w:abstractNumId w:val="0"/>
  </w:num>
  <w:num w:numId="29">
    <w:abstractNumId w:val="39"/>
  </w:num>
  <w:num w:numId="30">
    <w:abstractNumId w:val="3"/>
  </w:num>
  <w:num w:numId="31">
    <w:abstractNumId w:val="27"/>
  </w:num>
  <w:num w:numId="32">
    <w:abstractNumId w:val="25"/>
  </w:num>
  <w:num w:numId="33">
    <w:abstractNumId w:val="5"/>
  </w:num>
  <w:num w:numId="34">
    <w:abstractNumId w:val="36"/>
  </w:num>
  <w:num w:numId="35">
    <w:abstractNumId w:val="40"/>
  </w:num>
  <w:num w:numId="36">
    <w:abstractNumId w:val="26"/>
  </w:num>
  <w:num w:numId="37">
    <w:abstractNumId w:val="28"/>
  </w:num>
  <w:num w:numId="38">
    <w:abstractNumId w:val="14"/>
  </w:num>
  <w:num w:numId="39">
    <w:abstractNumId w:val="24"/>
  </w:num>
  <w:num w:numId="40">
    <w:abstractNumId w:val="21"/>
  </w:num>
  <w:num w:numId="41">
    <w:abstractNumId w:val="3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300E1EC2-6975-4009-928A-EBE5C43E4CD0}"/>
    <w:docVar w:name="KY_MEDREF_VERSION" w:val="3"/>
  </w:docVars>
  <w:rsids>
    <w:rsidRoot w:val="001912AE"/>
    <w:rsid w:val="0000006B"/>
    <w:rsid w:val="000002E6"/>
    <w:rsid w:val="000021C9"/>
    <w:rsid w:val="0000404F"/>
    <w:rsid w:val="00004597"/>
    <w:rsid w:val="00004BCF"/>
    <w:rsid w:val="0000686B"/>
    <w:rsid w:val="0000789E"/>
    <w:rsid w:val="00007CEE"/>
    <w:rsid w:val="00010062"/>
    <w:rsid w:val="00010F32"/>
    <w:rsid w:val="000126E8"/>
    <w:rsid w:val="00013A51"/>
    <w:rsid w:val="0001543A"/>
    <w:rsid w:val="00015D3A"/>
    <w:rsid w:val="00016BAC"/>
    <w:rsid w:val="00016D4C"/>
    <w:rsid w:val="00017A40"/>
    <w:rsid w:val="00020480"/>
    <w:rsid w:val="0002094D"/>
    <w:rsid w:val="00020ADA"/>
    <w:rsid w:val="00026097"/>
    <w:rsid w:val="00026240"/>
    <w:rsid w:val="00027BFD"/>
    <w:rsid w:val="0003044A"/>
    <w:rsid w:val="00030FC3"/>
    <w:rsid w:val="00031BA3"/>
    <w:rsid w:val="000358F1"/>
    <w:rsid w:val="00035C2D"/>
    <w:rsid w:val="000362B3"/>
    <w:rsid w:val="00036D38"/>
    <w:rsid w:val="00036D3C"/>
    <w:rsid w:val="0004026B"/>
    <w:rsid w:val="00040A30"/>
    <w:rsid w:val="00040FEE"/>
    <w:rsid w:val="00041441"/>
    <w:rsid w:val="0004180D"/>
    <w:rsid w:val="0004489D"/>
    <w:rsid w:val="000452FC"/>
    <w:rsid w:val="000458F2"/>
    <w:rsid w:val="00045E7B"/>
    <w:rsid w:val="000460E4"/>
    <w:rsid w:val="00046C11"/>
    <w:rsid w:val="00046D98"/>
    <w:rsid w:val="00047097"/>
    <w:rsid w:val="00053C29"/>
    <w:rsid w:val="00055E5A"/>
    <w:rsid w:val="00056115"/>
    <w:rsid w:val="00056EFF"/>
    <w:rsid w:val="00056FD8"/>
    <w:rsid w:val="00060184"/>
    <w:rsid w:val="00060A07"/>
    <w:rsid w:val="00061E5B"/>
    <w:rsid w:val="000622E0"/>
    <w:rsid w:val="0006318D"/>
    <w:rsid w:val="0006426B"/>
    <w:rsid w:val="00065424"/>
    <w:rsid w:val="000662AB"/>
    <w:rsid w:val="00067456"/>
    <w:rsid w:val="00067566"/>
    <w:rsid w:val="00070A4D"/>
    <w:rsid w:val="00070EC7"/>
    <w:rsid w:val="00072586"/>
    <w:rsid w:val="000734C5"/>
    <w:rsid w:val="0007399E"/>
    <w:rsid w:val="0007490A"/>
    <w:rsid w:val="00074961"/>
    <w:rsid w:val="00074F11"/>
    <w:rsid w:val="0007533B"/>
    <w:rsid w:val="00075432"/>
    <w:rsid w:val="000776F3"/>
    <w:rsid w:val="0007792E"/>
    <w:rsid w:val="00080B74"/>
    <w:rsid w:val="0008167B"/>
    <w:rsid w:val="0008196E"/>
    <w:rsid w:val="00081AF3"/>
    <w:rsid w:val="00081EC6"/>
    <w:rsid w:val="00082360"/>
    <w:rsid w:val="00082E2D"/>
    <w:rsid w:val="00083752"/>
    <w:rsid w:val="00084805"/>
    <w:rsid w:val="00090A5C"/>
    <w:rsid w:val="00091712"/>
    <w:rsid w:val="00092A5E"/>
    <w:rsid w:val="00092F17"/>
    <w:rsid w:val="00093327"/>
    <w:rsid w:val="000935B4"/>
    <w:rsid w:val="00094110"/>
    <w:rsid w:val="0009463E"/>
    <w:rsid w:val="00094948"/>
    <w:rsid w:val="00096945"/>
    <w:rsid w:val="00097778"/>
    <w:rsid w:val="000A19E2"/>
    <w:rsid w:val="000A2E35"/>
    <w:rsid w:val="000A3110"/>
    <w:rsid w:val="000A3E56"/>
    <w:rsid w:val="000A436C"/>
    <w:rsid w:val="000A4BB4"/>
    <w:rsid w:val="000A55AC"/>
    <w:rsid w:val="000B0B14"/>
    <w:rsid w:val="000B0E40"/>
    <w:rsid w:val="000B12C2"/>
    <w:rsid w:val="000B1872"/>
    <w:rsid w:val="000B1FE2"/>
    <w:rsid w:val="000B2334"/>
    <w:rsid w:val="000B25D5"/>
    <w:rsid w:val="000B273D"/>
    <w:rsid w:val="000B4CAF"/>
    <w:rsid w:val="000C0415"/>
    <w:rsid w:val="000C0BE9"/>
    <w:rsid w:val="000C221D"/>
    <w:rsid w:val="000C2246"/>
    <w:rsid w:val="000C2847"/>
    <w:rsid w:val="000C3900"/>
    <w:rsid w:val="000C4DC1"/>
    <w:rsid w:val="000C6375"/>
    <w:rsid w:val="000C66CB"/>
    <w:rsid w:val="000C7F68"/>
    <w:rsid w:val="000D00C2"/>
    <w:rsid w:val="000D0A1D"/>
    <w:rsid w:val="000D0D11"/>
    <w:rsid w:val="000D0DBD"/>
    <w:rsid w:val="000D1153"/>
    <w:rsid w:val="000D1BF4"/>
    <w:rsid w:val="000D1C52"/>
    <w:rsid w:val="000D1E05"/>
    <w:rsid w:val="000D1E78"/>
    <w:rsid w:val="000D1F38"/>
    <w:rsid w:val="000D27B4"/>
    <w:rsid w:val="000D2BC1"/>
    <w:rsid w:val="000D4A01"/>
    <w:rsid w:val="000D618D"/>
    <w:rsid w:val="000D62A5"/>
    <w:rsid w:val="000D6739"/>
    <w:rsid w:val="000D74F4"/>
    <w:rsid w:val="000D7553"/>
    <w:rsid w:val="000E02A5"/>
    <w:rsid w:val="000E15D4"/>
    <w:rsid w:val="000E2778"/>
    <w:rsid w:val="000E3A7E"/>
    <w:rsid w:val="000E5133"/>
    <w:rsid w:val="000E5B63"/>
    <w:rsid w:val="000E6056"/>
    <w:rsid w:val="000F101E"/>
    <w:rsid w:val="000F1A62"/>
    <w:rsid w:val="000F1FEA"/>
    <w:rsid w:val="000F35B0"/>
    <w:rsid w:val="000F4471"/>
    <w:rsid w:val="000F746C"/>
    <w:rsid w:val="000F7C1E"/>
    <w:rsid w:val="001004FD"/>
    <w:rsid w:val="001005E0"/>
    <w:rsid w:val="00100CE3"/>
    <w:rsid w:val="00101AE9"/>
    <w:rsid w:val="001027D5"/>
    <w:rsid w:val="0010314D"/>
    <w:rsid w:val="00103E2D"/>
    <w:rsid w:val="00104140"/>
    <w:rsid w:val="00104BA6"/>
    <w:rsid w:val="0010533D"/>
    <w:rsid w:val="00105452"/>
    <w:rsid w:val="00107BC0"/>
    <w:rsid w:val="00110D86"/>
    <w:rsid w:val="001119C1"/>
    <w:rsid w:val="00111C03"/>
    <w:rsid w:val="001127E2"/>
    <w:rsid w:val="0011365E"/>
    <w:rsid w:val="00113C8C"/>
    <w:rsid w:val="00113CAC"/>
    <w:rsid w:val="00114C6D"/>
    <w:rsid w:val="00114E31"/>
    <w:rsid w:val="00115821"/>
    <w:rsid w:val="00116539"/>
    <w:rsid w:val="001165A1"/>
    <w:rsid w:val="001165C7"/>
    <w:rsid w:val="001171E4"/>
    <w:rsid w:val="00117D44"/>
    <w:rsid w:val="001200FE"/>
    <w:rsid w:val="001210C1"/>
    <w:rsid w:val="001210DD"/>
    <w:rsid w:val="00122440"/>
    <w:rsid w:val="001236EA"/>
    <w:rsid w:val="00126BC4"/>
    <w:rsid w:val="00127E4B"/>
    <w:rsid w:val="001341E5"/>
    <w:rsid w:val="001343B3"/>
    <w:rsid w:val="001355C4"/>
    <w:rsid w:val="00135D3A"/>
    <w:rsid w:val="001412B8"/>
    <w:rsid w:val="0014189A"/>
    <w:rsid w:val="00141B96"/>
    <w:rsid w:val="001424B1"/>
    <w:rsid w:val="00143505"/>
    <w:rsid w:val="00143FF2"/>
    <w:rsid w:val="001445EB"/>
    <w:rsid w:val="00145F85"/>
    <w:rsid w:val="00146158"/>
    <w:rsid w:val="001463AB"/>
    <w:rsid w:val="001464A5"/>
    <w:rsid w:val="00146B2B"/>
    <w:rsid w:val="001472BE"/>
    <w:rsid w:val="00147D9B"/>
    <w:rsid w:val="0015011D"/>
    <w:rsid w:val="00151231"/>
    <w:rsid w:val="001519FC"/>
    <w:rsid w:val="00151AF5"/>
    <w:rsid w:val="001527E1"/>
    <w:rsid w:val="00154FA3"/>
    <w:rsid w:val="001569F6"/>
    <w:rsid w:val="0015703D"/>
    <w:rsid w:val="0015757F"/>
    <w:rsid w:val="00161651"/>
    <w:rsid w:val="001635CE"/>
    <w:rsid w:val="00164243"/>
    <w:rsid w:val="001646AE"/>
    <w:rsid w:val="001651FF"/>
    <w:rsid w:val="0017000D"/>
    <w:rsid w:val="00170310"/>
    <w:rsid w:val="00171D2C"/>
    <w:rsid w:val="00172276"/>
    <w:rsid w:val="00173926"/>
    <w:rsid w:val="00177A9F"/>
    <w:rsid w:val="001811AE"/>
    <w:rsid w:val="001813AA"/>
    <w:rsid w:val="001816C8"/>
    <w:rsid w:val="0018190E"/>
    <w:rsid w:val="00182ADE"/>
    <w:rsid w:val="00182D66"/>
    <w:rsid w:val="0018367C"/>
    <w:rsid w:val="001850B6"/>
    <w:rsid w:val="00185918"/>
    <w:rsid w:val="00190557"/>
    <w:rsid w:val="00190B5D"/>
    <w:rsid w:val="001912AE"/>
    <w:rsid w:val="00191960"/>
    <w:rsid w:val="00191D45"/>
    <w:rsid w:val="00192F0F"/>
    <w:rsid w:val="00194B9C"/>
    <w:rsid w:val="0019504D"/>
    <w:rsid w:val="001952DE"/>
    <w:rsid w:val="001954EE"/>
    <w:rsid w:val="00195E1A"/>
    <w:rsid w:val="001968D0"/>
    <w:rsid w:val="0019798D"/>
    <w:rsid w:val="001A025D"/>
    <w:rsid w:val="001A1D85"/>
    <w:rsid w:val="001A2E6D"/>
    <w:rsid w:val="001A4DA4"/>
    <w:rsid w:val="001A7417"/>
    <w:rsid w:val="001A7697"/>
    <w:rsid w:val="001B0127"/>
    <w:rsid w:val="001B0861"/>
    <w:rsid w:val="001B1361"/>
    <w:rsid w:val="001B13C7"/>
    <w:rsid w:val="001B5FA6"/>
    <w:rsid w:val="001B7E8F"/>
    <w:rsid w:val="001C161D"/>
    <w:rsid w:val="001C1954"/>
    <w:rsid w:val="001C1C65"/>
    <w:rsid w:val="001C262A"/>
    <w:rsid w:val="001C4DE2"/>
    <w:rsid w:val="001C58EB"/>
    <w:rsid w:val="001C5C63"/>
    <w:rsid w:val="001C6E7B"/>
    <w:rsid w:val="001D3F2D"/>
    <w:rsid w:val="001D4A1E"/>
    <w:rsid w:val="001D56DB"/>
    <w:rsid w:val="001D616C"/>
    <w:rsid w:val="001D61D0"/>
    <w:rsid w:val="001D69C8"/>
    <w:rsid w:val="001D6D43"/>
    <w:rsid w:val="001D74E3"/>
    <w:rsid w:val="001D7D17"/>
    <w:rsid w:val="001E01E1"/>
    <w:rsid w:val="001E0815"/>
    <w:rsid w:val="001E0FD7"/>
    <w:rsid w:val="001E1109"/>
    <w:rsid w:val="001E1BFB"/>
    <w:rsid w:val="001E23D2"/>
    <w:rsid w:val="001E2739"/>
    <w:rsid w:val="001E285F"/>
    <w:rsid w:val="001E2AFE"/>
    <w:rsid w:val="001E328F"/>
    <w:rsid w:val="001E54DE"/>
    <w:rsid w:val="001E5C9F"/>
    <w:rsid w:val="001E5FEA"/>
    <w:rsid w:val="001E660B"/>
    <w:rsid w:val="001E6A00"/>
    <w:rsid w:val="001E7001"/>
    <w:rsid w:val="001E71DB"/>
    <w:rsid w:val="001E747A"/>
    <w:rsid w:val="001E7897"/>
    <w:rsid w:val="001F05FA"/>
    <w:rsid w:val="001F0DBF"/>
    <w:rsid w:val="001F1BAF"/>
    <w:rsid w:val="001F241C"/>
    <w:rsid w:val="001F3A26"/>
    <w:rsid w:val="001F40A0"/>
    <w:rsid w:val="001F44F5"/>
    <w:rsid w:val="001F46E3"/>
    <w:rsid w:val="001F653D"/>
    <w:rsid w:val="001F69AA"/>
    <w:rsid w:val="001F6ADD"/>
    <w:rsid w:val="001F745E"/>
    <w:rsid w:val="001F7F42"/>
    <w:rsid w:val="002014C5"/>
    <w:rsid w:val="00201844"/>
    <w:rsid w:val="002019F6"/>
    <w:rsid w:val="0020227E"/>
    <w:rsid w:val="0020233E"/>
    <w:rsid w:val="00203569"/>
    <w:rsid w:val="00206209"/>
    <w:rsid w:val="00206D8E"/>
    <w:rsid w:val="002077EE"/>
    <w:rsid w:val="0021111A"/>
    <w:rsid w:val="00211AEF"/>
    <w:rsid w:val="002124DC"/>
    <w:rsid w:val="00213012"/>
    <w:rsid w:val="00213913"/>
    <w:rsid w:val="0021409D"/>
    <w:rsid w:val="002144EA"/>
    <w:rsid w:val="0021456B"/>
    <w:rsid w:val="0021457A"/>
    <w:rsid w:val="00215225"/>
    <w:rsid w:val="002165D7"/>
    <w:rsid w:val="00217FD3"/>
    <w:rsid w:val="002209CA"/>
    <w:rsid w:val="00221F31"/>
    <w:rsid w:val="002223E3"/>
    <w:rsid w:val="002228A0"/>
    <w:rsid w:val="00223672"/>
    <w:rsid w:val="002244EC"/>
    <w:rsid w:val="0022453E"/>
    <w:rsid w:val="00224A5F"/>
    <w:rsid w:val="00225FDB"/>
    <w:rsid w:val="00226B56"/>
    <w:rsid w:val="002303F3"/>
    <w:rsid w:val="0023040D"/>
    <w:rsid w:val="00233CFE"/>
    <w:rsid w:val="00234F3B"/>
    <w:rsid w:val="00235D00"/>
    <w:rsid w:val="0023666F"/>
    <w:rsid w:val="00237293"/>
    <w:rsid w:val="00241120"/>
    <w:rsid w:val="00242291"/>
    <w:rsid w:val="00242BCE"/>
    <w:rsid w:val="00243CCE"/>
    <w:rsid w:val="0024585D"/>
    <w:rsid w:val="002458A8"/>
    <w:rsid w:val="00246E28"/>
    <w:rsid w:val="00250717"/>
    <w:rsid w:val="00250C56"/>
    <w:rsid w:val="00250F50"/>
    <w:rsid w:val="00252338"/>
    <w:rsid w:val="002529F0"/>
    <w:rsid w:val="002535CF"/>
    <w:rsid w:val="0025488C"/>
    <w:rsid w:val="00254CBF"/>
    <w:rsid w:val="00255658"/>
    <w:rsid w:val="00256F5E"/>
    <w:rsid w:val="0025788A"/>
    <w:rsid w:val="00257932"/>
    <w:rsid w:val="002604CA"/>
    <w:rsid w:val="00260593"/>
    <w:rsid w:val="00261577"/>
    <w:rsid w:val="00261FF4"/>
    <w:rsid w:val="0026219E"/>
    <w:rsid w:val="00266826"/>
    <w:rsid w:val="00266BE4"/>
    <w:rsid w:val="00266D65"/>
    <w:rsid w:val="002675C6"/>
    <w:rsid w:val="00273832"/>
    <w:rsid w:val="0027385A"/>
    <w:rsid w:val="0027493E"/>
    <w:rsid w:val="002760ED"/>
    <w:rsid w:val="00276133"/>
    <w:rsid w:val="002763A7"/>
    <w:rsid w:val="00276A07"/>
    <w:rsid w:val="00277BEB"/>
    <w:rsid w:val="00281496"/>
    <w:rsid w:val="00281ECB"/>
    <w:rsid w:val="00282C11"/>
    <w:rsid w:val="00283384"/>
    <w:rsid w:val="00284637"/>
    <w:rsid w:val="00284BD6"/>
    <w:rsid w:val="002856E5"/>
    <w:rsid w:val="002869EE"/>
    <w:rsid w:val="00287AE7"/>
    <w:rsid w:val="00287C41"/>
    <w:rsid w:val="00290A39"/>
    <w:rsid w:val="00291A7D"/>
    <w:rsid w:val="002936FD"/>
    <w:rsid w:val="00293B1D"/>
    <w:rsid w:val="00294782"/>
    <w:rsid w:val="002947F4"/>
    <w:rsid w:val="00295320"/>
    <w:rsid w:val="00296844"/>
    <w:rsid w:val="002A06C9"/>
    <w:rsid w:val="002A1BAC"/>
    <w:rsid w:val="002A35C4"/>
    <w:rsid w:val="002A3BC0"/>
    <w:rsid w:val="002A5663"/>
    <w:rsid w:val="002A6DBA"/>
    <w:rsid w:val="002A6F5F"/>
    <w:rsid w:val="002B0524"/>
    <w:rsid w:val="002B066F"/>
    <w:rsid w:val="002B08C3"/>
    <w:rsid w:val="002B08C8"/>
    <w:rsid w:val="002B1AA1"/>
    <w:rsid w:val="002B2B72"/>
    <w:rsid w:val="002B42FB"/>
    <w:rsid w:val="002B4941"/>
    <w:rsid w:val="002B4C76"/>
    <w:rsid w:val="002B6A0D"/>
    <w:rsid w:val="002C1695"/>
    <w:rsid w:val="002C1BE0"/>
    <w:rsid w:val="002C1F1F"/>
    <w:rsid w:val="002C3CC7"/>
    <w:rsid w:val="002C4A47"/>
    <w:rsid w:val="002C76F4"/>
    <w:rsid w:val="002D0504"/>
    <w:rsid w:val="002D13E4"/>
    <w:rsid w:val="002D16B0"/>
    <w:rsid w:val="002D1B5F"/>
    <w:rsid w:val="002D29C4"/>
    <w:rsid w:val="002D35FC"/>
    <w:rsid w:val="002D3D60"/>
    <w:rsid w:val="002D3E13"/>
    <w:rsid w:val="002D42A9"/>
    <w:rsid w:val="002D4562"/>
    <w:rsid w:val="002D55EE"/>
    <w:rsid w:val="002D5ED6"/>
    <w:rsid w:val="002D6BFD"/>
    <w:rsid w:val="002D6DF5"/>
    <w:rsid w:val="002D77E3"/>
    <w:rsid w:val="002E1202"/>
    <w:rsid w:val="002E134A"/>
    <w:rsid w:val="002E233A"/>
    <w:rsid w:val="002E3E7A"/>
    <w:rsid w:val="002E5E99"/>
    <w:rsid w:val="002F0883"/>
    <w:rsid w:val="002F15E4"/>
    <w:rsid w:val="002F187C"/>
    <w:rsid w:val="002F1A19"/>
    <w:rsid w:val="002F1C10"/>
    <w:rsid w:val="002F1D6A"/>
    <w:rsid w:val="002F2DEB"/>
    <w:rsid w:val="002F3645"/>
    <w:rsid w:val="002F3E87"/>
    <w:rsid w:val="002F40FC"/>
    <w:rsid w:val="002F4559"/>
    <w:rsid w:val="002F560D"/>
    <w:rsid w:val="002F5B86"/>
    <w:rsid w:val="002F6D69"/>
    <w:rsid w:val="002F6D75"/>
    <w:rsid w:val="002F783B"/>
    <w:rsid w:val="002F7E34"/>
    <w:rsid w:val="00301F5F"/>
    <w:rsid w:val="00303197"/>
    <w:rsid w:val="0030329B"/>
    <w:rsid w:val="00303554"/>
    <w:rsid w:val="00306498"/>
    <w:rsid w:val="003105AD"/>
    <w:rsid w:val="00310C33"/>
    <w:rsid w:val="00313A19"/>
    <w:rsid w:val="0031457B"/>
    <w:rsid w:val="00314D24"/>
    <w:rsid w:val="0031558E"/>
    <w:rsid w:val="00315A6A"/>
    <w:rsid w:val="0031642E"/>
    <w:rsid w:val="003166D9"/>
    <w:rsid w:val="003171A6"/>
    <w:rsid w:val="00317235"/>
    <w:rsid w:val="0032026F"/>
    <w:rsid w:val="00320D52"/>
    <w:rsid w:val="003211AA"/>
    <w:rsid w:val="00321627"/>
    <w:rsid w:val="00322179"/>
    <w:rsid w:val="00323810"/>
    <w:rsid w:val="003238B7"/>
    <w:rsid w:val="00323F84"/>
    <w:rsid w:val="00323F8B"/>
    <w:rsid w:val="00324BA7"/>
    <w:rsid w:val="00325588"/>
    <w:rsid w:val="00325B94"/>
    <w:rsid w:val="00325D8E"/>
    <w:rsid w:val="0032642C"/>
    <w:rsid w:val="0032668C"/>
    <w:rsid w:val="00326728"/>
    <w:rsid w:val="00326BDD"/>
    <w:rsid w:val="00327D35"/>
    <w:rsid w:val="00330853"/>
    <w:rsid w:val="00331CB4"/>
    <w:rsid w:val="0033318D"/>
    <w:rsid w:val="00334182"/>
    <w:rsid w:val="0033546E"/>
    <w:rsid w:val="0033581D"/>
    <w:rsid w:val="003374B2"/>
    <w:rsid w:val="003378FD"/>
    <w:rsid w:val="0034145A"/>
    <w:rsid w:val="003423A1"/>
    <w:rsid w:val="00342DAB"/>
    <w:rsid w:val="0034337E"/>
    <w:rsid w:val="00343D1D"/>
    <w:rsid w:val="00343E7B"/>
    <w:rsid w:val="00344A2B"/>
    <w:rsid w:val="00345B3D"/>
    <w:rsid w:val="00345DD0"/>
    <w:rsid w:val="0034657B"/>
    <w:rsid w:val="0034680B"/>
    <w:rsid w:val="003478E1"/>
    <w:rsid w:val="00347A66"/>
    <w:rsid w:val="00347F38"/>
    <w:rsid w:val="00347FD7"/>
    <w:rsid w:val="003504CA"/>
    <w:rsid w:val="0035111B"/>
    <w:rsid w:val="00352BFB"/>
    <w:rsid w:val="00357289"/>
    <w:rsid w:val="00357F21"/>
    <w:rsid w:val="00360AC2"/>
    <w:rsid w:val="00361503"/>
    <w:rsid w:val="00362817"/>
    <w:rsid w:val="00366CCA"/>
    <w:rsid w:val="0036755E"/>
    <w:rsid w:val="00367938"/>
    <w:rsid w:val="00367C2D"/>
    <w:rsid w:val="00370E9A"/>
    <w:rsid w:val="00371349"/>
    <w:rsid w:val="003715FA"/>
    <w:rsid w:val="00371696"/>
    <w:rsid w:val="00371777"/>
    <w:rsid w:val="00372D4C"/>
    <w:rsid w:val="0037344C"/>
    <w:rsid w:val="003748D1"/>
    <w:rsid w:val="00376935"/>
    <w:rsid w:val="00376C58"/>
    <w:rsid w:val="00377A53"/>
    <w:rsid w:val="00380F79"/>
    <w:rsid w:val="00381200"/>
    <w:rsid w:val="00381F44"/>
    <w:rsid w:val="003821C1"/>
    <w:rsid w:val="0038375A"/>
    <w:rsid w:val="00383861"/>
    <w:rsid w:val="00383911"/>
    <w:rsid w:val="00384AB8"/>
    <w:rsid w:val="003854D9"/>
    <w:rsid w:val="00385879"/>
    <w:rsid w:val="00385BB3"/>
    <w:rsid w:val="00390AEF"/>
    <w:rsid w:val="003910F4"/>
    <w:rsid w:val="00391EDF"/>
    <w:rsid w:val="003924F4"/>
    <w:rsid w:val="00392F42"/>
    <w:rsid w:val="003934A5"/>
    <w:rsid w:val="0039379D"/>
    <w:rsid w:val="00393C75"/>
    <w:rsid w:val="00396E37"/>
    <w:rsid w:val="00397068"/>
    <w:rsid w:val="0039749C"/>
    <w:rsid w:val="003A0DAB"/>
    <w:rsid w:val="003A1380"/>
    <w:rsid w:val="003A1D66"/>
    <w:rsid w:val="003A1E2C"/>
    <w:rsid w:val="003A4A62"/>
    <w:rsid w:val="003A4D8C"/>
    <w:rsid w:val="003A515D"/>
    <w:rsid w:val="003A519B"/>
    <w:rsid w:val="003A6B31"/>
    <w:rsid w:val="003B103C"/>
    <w:rsid w:val="003B1A67"/>
    <w:rsid w:val="003B244F"/>
    <w:rsid w:val="003B38CB"/>
    <w:rsid w:val="003B39CC"/>
    <w:rsid w:val="003B3CBD"/>
    <w:rsid w:val="003B42B5"/>
    <w:rsid w:val="003B59B7"/>
    <w:rsid w:val="003B7B97"/>
    <w:rsid w:val="003C0119"/>
    <w:rsid w:val="003C0823"/>
    <w:rsid w:val="003C0AD6"/>
    <w:rsid w:val="003C13A4"/>
    <w:rsid w:val="003C1415"/>
    <w:rsid w:val="003C1BCF"/>
    <w:rsid w:val="003C221C"/>
    <w:rsid w:val="003C2A0A"/>
    <w:rsid w:val="003C2BDF"/>
    <w:rsid w:val="003C2FF9"/>
    <w:rsid w:val="003C358A"/>
    <w:rsid w:val="003C45C1"/>
    <w:rsid w:val="003C466D"/>
    <w:rsid w:val="003C4BFD"/>
    <w:rsid w:val="003C639B"/>
    <w:rsid w:val="003C7A6F"/>
    <w:rsid w:val="003C7FD4"/>
    <w:rsid w:val="003D05F2"/>
    <w:rsid w:val="003D1429"/>
    <w:rsid w:val="003D1DC4"/>
    <w:rsid w:val="003D2477"/>
    <w:rsid w:val="003D2737"/>
    <w:rsid w:val="003D2AFD"/>
    <w:rsid w:val="003D3351"/>
    <w:rsid w:val="003D3A79"/>
    <w:rsid w:val="003D3B33"/>
    <w:rsid w:val="003D458B"/>
    <w:rsid w:val="003D5EEA"/>
    <w:rsid w:val="003D6343"/>
    <w:rsid w:val="003D6676"/>
    <w:rsid w:val="003D76EF"/>
    <w:rsid w:val="003D795F"/>
    <w:rsid w:val="003D7D4B"/>
    <w:rsid w:val="003E08C3"/>
    <w:rsid w:val="003E0C0C"/>
    <w:rsid w:val="003E198A"/>
    <w:rsid w:val="003E26B4"/>
    <w:rsid w:val="003E3F88"/>
    <w:rsid w:val="003E4162"/>
    <w:rsid w:val="003E54FF"/>
    <w:rsid w:val="003E5826"/>
    <w:rsid w:val="003E584C"/>
    <w:rsid w:val="003E6673"/>
    <w:rsid w:val="003E68D2"/>
    <w:rsid w:val="003F2579"/>
    <w:rsid w:val="003F39A3"/>
    <w:rsid w:val="003F3B32"/>
    <w:rsid w:val="003F3D64"/>
    <w:rsid w:val="003F6364"/>
    <w:rsid w:val="003F641D"/>
    <w:rsid w:val="0040060B"/>
    <w:rsid w:val="0040159A"/>
    <w:rsid w:val="00401770"/>
    <w:rsid w:val="00401A10"/>
    <w:rsid w:val="00402D23"/>
    <w:rsid w:val="00403A71"/>
    <w:rsid w:val="00403E26"/>
    <w:rsid w:val="0040710E"/>
    <w:rsid w:val="00407376"/>
    <w:rsid w:val="0040755A"/>
    <w:rsid w:val="004075C3"/>
    <w:rsid w:val="00410774"/>
    <w:rsid w:val="004119F7"/>
    <w:rsid w:val="00411F7B"/>
    <w:rsid w:val="00412436"/>
    <w:rsid w:val="00412AC7"/>
    <w:rsid w:val="00412ECE"/>
    <w:rsid w:val="004138EF"/>
    <w:rsid w:val="00414095"/>
    <w:rsid w:val="00417F9C"/>
    <w:rsid w:val="00420884"/>
    <w:rsid w:val="0042104B"/>
    <w:rsid w:val="0042519F"/>
    <w:rsid w:val="0042774B"/>
    <w:rsid w:val="004278AE"/>
    <w:rsid w:val="00427FE5"/>
    <w:rsid w:val="00430023"/>
    <w:rsid w:val="00430CDA"/>
    <w:rsid w:val="00431C85"/>
    <w:rsid w:val="0043301D"/>
    <w:rsid w:val="00433032"/>
    <w:rsid w:val="004333DC"/>
    <w:rsid w:val="00433ED2"/>
    <w:rsid w:val="00435475"/>
    <w:rsid w:val="004358F4"/>
    <w:rsid w:val="00435E8E"/>
    <w:rsid w:val="0043653A"/>
    <w:rsid w:val="00436BEB"/>
    <w:rsid w:val="00436FA9"/>
    <w:rsid w:val="0043728B"/>
    <w:rsid w:val="00440FD1"/>
    <w:rsid w:val="0044110D"/>
    <w:rsid w:val="00442A09"/>
    <w:rsid w:val="00444614"/>
    <w:rsid w:val="004448F9"/>
    <w:rsid w:val="00444EEA"/>
    <w:rsid w:val="00445A4D"/>
    <w:rsid w:val="004467E8"/>
    <w:rsid w:val="00450969"/>
    <w:rsid w:val="004529FB"/>
    <w:rsid w:val="00455763"/>
    <w:rsid w:val="004559E3"/>
    <w:rsid w:val="00457FA3"/>
    <w:rsid w:val="00462313"/>
    <w:rsid w:val="0046236B"/>
    <w:rsid w:val="00463E1F"/>
    <w:rsid w:val="0046470B"/>
    <w:rsid w:val="00464C6E"/>
    <w:rsid w:val="0046520E"/>
    <w:rsid w:val="0046618F"/>
    <w:rsid w:val="004702E7"/>
    <w:rsid w:val="00471434"/>
    <w:rsid w:val="00471CB1"/>
    <w:rsid w:val="00472652"/>
    <w:rsid w:val="00472F9F"/>
    <w:rsid w:val="00474860"/>
    <w:rsid w:val="00474C3C"/>
    <w:rsid w:val="00476283"/>
    <w:rsid w:val="004765E0"/>
    <w:rsid w:val="00476CB2"/>
    <w:rsid w:val="00477353"/>
    <w:rsid w:val="00477751"/>
    <w:rsid w:val="00481069"/>
    <w:rsid w:val="004818E4"/>
    <w:rsid w:val="00481965"/>
    <w:rsid w:val="00482298"/>
    <w:rsid w:val="00482C42"/>
    <w:rsid w:val="00482D46"/>
    <w:rsid w:val="00482F64"/>
    <w:rsid w:val="004836AF"/>
    <w:rsid w:val="00483F00"/>
    <w:rsid w:val="004846FB"/>
    <w:rsid w:val="00484C63"/>
    <w:rsid w:val="004857D3"/>
    <w:rsid w:val="00485C96"/>
    <w:rsid w:val="00485DF2"/>
    <w:rsid w:val="00486B89"/>
    <w:rsid w:val="00487443"/>
    <w:rsid w:val="00487808"/>
    <w:rsid w:val="0049030D"/>
    <w:rsid w:val="004911AC"/>
    <w:rsid w:val="00491621"/>
    <w:rsid w:val="00491D9C"/>
    <w:rsid w:val="00492009"/>
    <w:rsid w:val="00492FBD"/>
    <w:rsid w:val="00493026"/>
    <w:rsid w:val="004938B7"/>
    <w:rsid w:val="00494381"/>
    <w:rsid w:val="00494582"/>
    <w:rsid w:val="004945B3"/>
    <w:rsid w:val="00495025"/>
    <w:rsid w:val="00495260"/>
    <w:rsid w:val="004953C1"/>
    <w:rsid w:val="00495AED"/>
    <w:rsid w:val="00496C57"/>
    <w:rsid w:val="00496DD5"/>
    <w:rsid w:val="00497C2C"/>
    <w:rsid w:val="004A00BF"/>
    <w:rsid w:val="004A08D3"/>
    <w:rsid w:val="004A1BBF"/>
    <w:rsid w:val="004A1EE1"/>
    <w:rsid w:val="004A2F53"/>
    <w:rsid w:val="004A317D"/>
    <w:rsid w:val="004A346A"/>
    <w:rsid w:val="004A34B0"/>
    <w:rsid w:val="004A3BB1"/>
    <w:rsid w:val="004A4D77"/>
    <w:rsid w:val="004A5D05"/>
    <w:rsid w:val="004A6BEF"/>
    <w:rsid w:val="004B0719"/>
    <w:rsid w:val="004B0BBA"/>
    <w:rsid w:val="004B0C66"/>
    <w:rsid w:val="004B2F2C"/>
    <w:rsid w:val="004B4CCE"/>
    <w:rsid w:val="004B5EFE"/>
    <w:rsid w:val="004B5F91"/>
    <w:rsid w:val="004C0C7E"/>
    <w:rsid w:val="004C2C8D"/>
    <w:rsid w:val="004C41BA"/>
    <w:rsid w:val="004C5016"/>
    <w:rsid w:val="004C5927"/>
    <w:rsid w:val="004C6873"/>
    <w:rsid w:val="004C6A7B"/>
    <w:rsid w:val="004C7A10"/>
    <w:rsid w:val="004C7B67"/>
    <w:rsid w:val="004D0C50"/>
    <w:rsid w:val="004D0FF4"/>
    <w:rsid w:val="004D14C3"/>
    <w:rsid w:val="004D4827"/>
    <w:rsid w:val="004D59A5"/>
    <w:rsid w:val="004D5CFE"/>
    <w:rsid w:val="004D60BC"/>
    <w:rsid w:val="004D6466"/>
    <w:rsid w:val="004D64C5"/>
    <w:rsid w:val="004D698A"/>
    <w:rsid w:val="004D7529"/>
    <w:rsid w:val="004E0FD7"/>
    <w:rsid w:val="004E1CB2"/>
    <w:rsid w:val="004E2D8F"/>
    <w:rsid w:val="004E3762"/>
    <w:rsid w:val="004E57B1"/>
    <w:rsid w:val="004E5AC8"/>
    <w:rsid w:val="004E6826"/>
    <w:rsid w:val="004E6DDF"/>
    <w:rsid w:val="004F08C6"/>
    <w:rsid w:val="004F1436"/>
    <w:rsid w:val="004F1B0B"/>
    <w:rsid w:val="004F23DA"/>
    <w:rsid w:val="004F2778"/>
    <w:rsid w:val="004F3DBE"/>
    <w:rsid w:val="004F4E98"/>
    <w:rsid w:val="004F57CC"/>
    <w:rsid w:val="004F6992"/>
    <w:rsid w:val="004F7661"/>
    <w:rsid w:val="004F7810"/>
    <w:rsid w:val="00500A22"/>
    <w:rsid w:val="005041FD"/>
    <w:rsid w:val="005048CC"/>
    <w:rsid w:val="00504F56"/>
    <w:rsid w:val="005057FA"/>
    <w:rsid w:val="005061F5"/>
    <w:rsid w:val="00510236"/>
    <w:rsid w:val="00511463"/>
    <w:rsid w:val="00514135"/>
    <w:rsid w:val="00514753"/>
    <w:rsid w:val="005147F1"/>
    <w:rsid w:val="00517193"/>
    <w:rsid w:val="005202AF"/>
    <w:rsid w:val="00520A45"/>
    <w:rsid w:val="00522999"/>
    <w:rsid w:val="00523317"/>
    <w:rsid w:val="00524545"/>
    <w:rsid w:val="005257A3"/>
    <w:rsid w:val="00526D9E"/>
    <w:rsid w:val="005276CB"/>
    <w:rsid w:val="00527EF9"/>
    <w:rsid w:val="00530A8C"/>
    <w:rsid w:val="00533113"/>
    <w:rsid w:val="00533E1C"/>
    <w:rsid w:val="0053400C"/>
    <w:rsid w:val="005340C4"/>
    <w:rsid w:val="005344D3"/>
    <w:rsid w:val="0053497D"/>
    <w:rsid w:val="0053542E"/>
    <w:rsid w:val="005371CD"/>
    <w:rsid w:val="0053784A"/>
    <w:rsid w:val="00540907"/>
    <w:rsid w:val="00541007"/>
    <w:rsid w:val="00541F0F"/>
    <w:rsid w:val="005429FD"/>
    <w:rsid w:val="00543460"/>
    <w:rsid w:val="00543B93"/>
    <w:rsid w:val="00543CDC"/>
    <w:rsid w:val="0054471E"/>
    <w:rsid w:val="00544FF7"/>
    <w:rsid w:val="00545772"/>
    <w:rsid w:val="00545C7B"/>
    <w:rsid w:val="0054629C"/>
    <w:rsid w:val="00546947"/>
    <w:rsid w:val="005469A9"/>
    <w:rsid w:val="00547C09"/>
    <w:rsid w:val="00550AB0"/>
    <w:rsid w:val="005514BC"/>
    <w:rsid w:val="005516E4"/>
    <w:rsid w:val="00551814"/>
    <w:rsid w:val="00554BFA"/>
    <w:rsid w:val="00555517"/>
    <w:rsid w:val="00555AC9"/>
    <w:rsid w:val="00556CC5"/>
    <w:rsid w:val="005579AC"/>
    <w:rsid w:val="00557A19"/>
    <w:rsid w:val="00560623"/>
    <w:rsid w:val="005627B7"/>
    <w:rsid w:val="00564524"/>
    <w:rsid w:val="00565412"/>
    <w:rsid w:val="00565C46"/>
    <w:rsid w:val="00566228"/>
    <w:rsid w:val="00567A41"/>
    <w:rsid w:val="00572C9C"/>
    <w:rsid w:val="00573B40"/>
    <w:rsid w:val="00573D37"/>
    <w:rsid w:val="00574F7B"/>
    <w:rsid w:val="005761DD"/>
    <w:rsid w:val="005768DF"/>
    <w:rsid w:val="00577786"/>
    <w:rsid w:val="0058067C"/>
    <w:rsid w:val="00580832"/>
    <w:rsid w:val="005818BD"/>
    <w:rsid w:val="00581BB4"/>
    <w:rsid w:val="00584FA9"/>
    <w:rsid w:val="00585587"/>
    <w:rsid w:val="005859A7"/>
    <w:rsid w:val="00585D81"/>
    <w:rsid w:val="00586247"/>
    <w:rsid w:val="00586F9B"/>
    <w:rsid w:val="00591299"/>
    <w:rsid w:val="005921DA"/>
    <w:rsid w:val="005951C9"/>
    <w:rsid w:val="00595405"/>
    <w:rsid w:val="00596132"/>
    <w:rsid w:val="005A0838"/>
    <w:rsid w:val="005A3A4E"/>
    <w:rsid w:val="005A3F11"/>
    <w:rsid w:val="005A469A"/>
    <w:rsid w:val="005A480E"/>
    <w:rsid w:val="005A5868"/>
    <w:rsid w:val="005A5F2E"/>
    <w:rsid w:val="005A7020"/>
    <w:rsid w:val="005A7336"/>
    <w:rsid w:val="005B0510"/>
    <w:rsid w:val="005B4ACC"/>
    <w:rsid w:val="005B57D9"/>
    <w:rsid w:val="005B67F2"/>
    <w:rsid w:val="005B7EB8"/>
    <w:rsid w:val="005C019C"/>
    <w:rsid w:val="005C0994"/>
    <w:rsid w:val="005C1A83"/>
    <w:rsid w:val="005C2786"/>
    <w:rsid w:val="005C308A"/>
    <w:rsid w:val="005C31C7"/>
    <w:rsid w:val="005C6278"/>
    <w:rsid w:val="005C7610"/>
    <w:rsid w:val="005C7653"/>
    <w:rsid w:val="005D0E9F"/>
    <w:rsid w:val="005D2093"/>
    <w:rsid w:val="005D2099"/>
    <w:rsid w:val="005D30DE"/>
    <w:rsid w:val="005D31A9"/>
    <w:rsid w:val="005D41CE"/>
    <w:rsid w:val="005D4552"/>
    <w:rsid w:val="005D5E63"/>
    <w:rsid w:val="005D7436"/>
    <w:rsid w:val="005D7C4E"/>
    <w:rsid w:val="005E3135"/>
    <w:rsid w:val="005E3E14"/>
    <w:rsid w:val="005E4D60"/>
    <w:rsid w:val="005E540A"/>
    <w:rsid w:val="005E5598"/>
    <w:rsid w:val="005E59AB"/>
    <w:rsid w:val="005F1031"/>
    <w:rsid w:val="005F2BDC"/>
    <w:rsid w:val="005F3C9C"/>
    <w:rsid w:val="005F41FA"/>
    <w:rsid w:val="005F4391"/>
    <w:rsid w:val="005F4C6D"/>
    <w:rsid w:val="005F558C"/>
    <w:rsid w:val="006002F6"/>
    <w:rsid w:val="00601B11"/>
    <w:rsid w:val="00601B1D"/>
    <w:rsid w:val="00601ED1"/>
    <w:rsid w:val="00602889"/>
    <w:rsid w:val="00602BE0"/>
    <w:rsid w:val="00602E52"/>
    <w:rsid w:val="006036B7"/>
    <w:rsid w:val="006038B9"/>
    <w:rsid w:val="006053A9"/>
    <w:rsid w:val="006059A1"/>
    <w:rsid w:val="00607887"/>
    <w:rsid w:val="0060798A"/>
    <w:rsid w:val="00610056"/>
    <w:rsid w:val="0061192D"/>
    <w:rsid w:val="00611DC1"/>
    <w:rsid w:val="00611F51"/>
    <w:rsid w:val="0061356A"/>
    <w:rsid w:val="006138F7"/>
    <w:rsid w:val="006139B6"/>
    <w:rsid w:val="00613BB3"/>
    <w:rsid w:val="006143C4"/>
    <w:rsid w:val="00615A4C"/>
    <w:rsid w:val="00615D49"/>
    <w:rsid w:val="00615E21"/>
    <w:rsid w:val="00616138"/>
    <w:rsid w:val="00623609"/>
    <w:rsid w:val="006242F7"/>
    <w:rsid w:val="0062497D"/>
    <w:rsid w:val="006249C3"/>
    <w:rsid w:val="00624BD4"/>
    <w:rsid w:val="00624D4F"/>
    <w:rsid w:val="00625EFC"/>
    <w:rsid w:val="00630142"/>
    <w:rsid w:val="00630155"/>
    <w:rsid w:val="006315C5"/>
    <w:rsid w:val="00631A60"/>
    <w:rsid w:val="00633614"/>
    <w:rsid w:val="00633EF7"/>
    <w:rsid w:val="00634321"/>
    <w:rsid w:val="00634AE3"/>
    <w:rsid w:val="00634C37"/>
    <w:rsid w:val="00636DB9"/>
    <w:rsid w:val="0063789F"/>
    <w:rsid w:val="00637DE1"/>
    <w:rsid w:val="00640421"/>
    <w:rsid w:val="006415B5"/>
    <w:rsid w:val="00641FB5"/>
    <w:rsid w:val="0064203F"/>
    <w:rsid w:val="00642CD8"/>
    <w:rsid w:val="00643DFF"/>
    <w:rsid w:val="00644054"/>
    <w:rsid w:val="00645492"/>
    <w:rsid w:val="0065074B"/>
    <w:rsid w:val="00650D2D"/>
    <w:rsid w:val="00650F8F"/>
    <w:rsid w:val="0065375E"/>
    <w:rsid w:val="00656429"/>
    <w:rsid w:val="006576CE"/>
    <w:rsid w:val="006577BB"/>
    <w:rsid w:val="00657A10"/>
    <w:rsid w:val="00657D25"/>
    <w:rsid w:val="00660002"/>
    <w:rsid w:val="00660AF4"/>
    <w:rsid w:val="00660B5F"/>
    <w:rsid w:val="00660E3F"/>
    <w:rsid w:val="006634C7"/>
    <w:rsid w:val="00663B16"/>
    <w:rsid w:val="006643DF"/>
    <w:rsid w:val="00667320"/>
    <w:rsid w:val="0067131D"/>
    <w:rsid w:val="00671995"/>
    <w:rsid w:val="006726D9"/>
    <w:rsid w:val="00672DA4"/>
    <w:rsid w:val="00673559"/>
    <w:rsid w:val="00673DFB"/>
    <w:rsid w:val="00673FA8"/>
    <w:rsid w:val="00674559"/>
    <w:rsid w:val="00674AC9"/>
    <w:rsid w:val="00674BE4"/>
    <w:rsid w:val="00674C68"/>
    <w:rsid w:val="00676B7A"/>
    <w:rsid w:val="00677FDA"/>
    <w:rsid w:val="0068100E"/>
    <w:rsid w:val="006830C3"/>
    <w:rsid w:val="00683510"/>
    <w:rsid w:val="0068584C"/>
    <w:rsid w:val="00686D35"/>
    <w:rsid w:val="00687449"/>
    <w:rsid w:val="00690811"/>
    <w:rsid w:val="006909F4"/>
    <w:rsid w:val="0069106F"/>
    <w:rsid w:val="00693089"/>
    <w:rsid w:val="00693437"/>
    <w:rsid w:val="00695323"/>
    <w:rsid w:val="00695CAD"/>
    <w:rsid w:val="00696A47"/>
    <w:rsid w:val="00697659"/>
    <w:rsid w:val="00697D9B"/>
    <w:rsid w:val="006A1B9A"/>
    <w:rsid w:val="006A1C8D"/>
    <w:rsid w:val="006A5F38"/>
    <w:rsid w:val="006A637B"/>
    <w:rsid w:val="006A6FA1"/>
    <w:rsid w:val="006B04AA"/>
    <w:rsid w:val="006B058E"/>
    <w:rsid w:val="006B1104"/>
    <w:rsid w:val="006B26E6"/>
    <w:rsid w:val="006B2765"/>
    <w:rsid w:val="006B2BA4"/>
    <w:rsid w:val="006B47BB"/>
    <w:rsid w:val="006B5E3F"/>
    <w:rsid w:val="006B635F"/>
    <w:rsid w:val="006B6BFB"/>
    <w:rsid w:val="006B745B"/>
    <w:rsid w:val="006B7C02"/>
    <w:rsid w:val="006C2816"/>
    <w:rsid w:val="006C364F"/>
    <w:rsid w:val="006D026A"/>
    <w:rsid w:val="006D05D5"/>
    <w:rsid w:val="006D0A10"/>
    <w:rsid w:val="006D0A30"/>
    <w:rsid w:val="006D1379"/>
    <w:rsid w:val="006D2065"/>
    <w:rsid w:val="006D2CFF"/>
    <w:rsid w:val="006D43CB"/>
    <w:rsid w:val="006D4463"/>
    <w:rsid w:val="006D4B03"/>
    <w:rsid w:val="006D5201"/>
    <w:rsid w:val="006E0CB0"/>
    <w:rsid w:val="006E1342"/>
    <w:rsid w:val="006E1C23"/>
    <w:rsid w:val="006E208A"/>
    <w:rsid w:val="006E2CEB"/>
    <w:rsid w:val="006E4CFD"/>
    <w:rsid w:val="006E55C4"/>
    <w:rsid w:val="006E5AA8"/>
    <w:rsid w:val="006E6BC8"/>
    <w:rsid w:val="006E6CFC"/>
    <w:rsid w:val="006E74BE"/>
    <w:rsid w:val="006E76B2"/>
    <w:rsid w:val="006F0A83"/>
    <w:rsid w:val="006F5C4B"/>
    <w:rsid w:val="006F70E2"/>
    <w:rsid w:val="007002BC"/>
    <w:rsid w:val="007004D4"/>
    <w:rsid w:val="00700CC9"/>
    <w:rsid w:val="007013F9"/>
    <w:rsid w:val="007017E5"/>
    <w:rsid w:val="00701DB2"/>
    <w:rsid w:val="007020B1"/>
    <w:rsid w:val="007028AC"/>
    <w:rsid w:val="007038D8"/>
    <w:rsid w:val="00703BA3"/>
    <w:rsid w:val="00704976"/>
    <w:rsid w:val="00705AE7"/>
    <w:rsid w:val="00707DFF"/>
    <w:rsid w:val="00707FD7"/>
    <w:rsid w:val="0071034A"/>
    <w:rsid w:val="00711DF4"/>
    <w:rsid w:val="00715D6A"/>
    <w:rsid w:val="00715EA0"/>
    <w:rsid w:val="00715F29"/>
    <w:rsid w:val="007160DE"/>
    <w:rsid w:val="00716112"/>
    <w:rsid w:val="00717293"/>
    <w:rsid w:val="007172A1"/>
    <w:rsid w:val="00717601"/>
    <w:rsid w:val="007204EF"/>
    <w:rsid w:val="00721A57"/>
    <w:rsid w:val="007221FA"/>
    <w:rsid w:val="007235F9"/>
    <w:rsid w:val="00723613"/>
    <w:rsid w:val="00724131"/>
    <w:rsid w:val="00724225"/>
    <w:rsid w:val="00727782"/>
    <w:rsid w:val="007303A9"/>
    <w:rsid w:val="00730AB0"/>
    <w:rsid w:val="007311C0"/>
    <w:rsid w:val="00731B02"/>
    <w:rsid w:val="00731B7B"/>
    <w:rsid w:val="00731C6A"/>
    <w:rsid w:val="00731D93"/>
    <w:rsid w:val="00731E89"/>
    <w:rsid w:val="0073309C"/>
    <w:rsid w:val="007344D7"/>
    <w:rsid w:val="00735247"/>
    <w:rsid w:val="007356BA"/>
    <w:rsid w:val="00735C92"/>
    <w:rsid w:val="00735E6B"/>
    <w:rsid w:val="0073641B"/>
    <w:rsid w:val="00740BF6"/>
    <w:rsid w:val="0074183F"/>
    <w:rsid w:val="0074264B"/>
    <w:rsid w:val="00742976"/>
    <w:rsid w:val="00743CCF"/>
    <w:rsid w:val="00743ED6"/>
    <w:rsid w:val="00744CC1"/>
    <w:rsid w:val="00745685"/>
    <w:rsid w:val="00746721"/>
    <w:rsid w:val="00746840"/>
    <w:rsid w:val="00747945"/>
    <w:rsid w:val="00750467"/>
    <w:rsid w:val="007505CF"/>
    <w:rsid w:val="007508C0"/>
    <w:rsid w:val="007512D1"/>
    <w:rsid w:val="00751C53"/>
    <w:rsid w:val="0075297E"/>
    <w:rsid w:val="00753BFF"/>
    <w:rsid w:val="00754AA9"/>
    <w:rsid w:val="00754DEE"/>
    <w:rsid w:val="00755FD0"/>
    <w:rsid w:val="00756236"/>
    <w:rsid w:val="007569FF"/>
    <w:rsid w:val="00757037"/>
    <w:rsid w:val="007641A2"/>
    <w:rsid w:val="00764803"/>
    <w:rsid w:val="00764FF6"/>
    <w:rsid w:val="00765C88"/>
    <w:rsid w:val="00766ECF"/>
    <w:rsid w:val="007672B7"/>
    <w:rsid w:val="007674B8"/>
    <w:rsid w:val="00767D5C"/>
    <w:rsid w:val="007703B2"/>
    <w:rsid w:val="00771235"/>
    <w:rsid w:val="007727C4"/>
    <w:rsid w:val="00772FCF"/>
    <w:rsid w:val="00774530"/>
    <w:rsid w:val="007752F3"/>
    <w:rsid w:val="007755A2"/>
    <w:rsid w:val="00780E86"/>
    <w:rsid w:val="00781938"/>
    <w:rsid w:val="0078195D"/>
    <w:rsid w:val="007825B7"/>
    <w:rsid w:val="00783255"/>
    <w:rsid w:val="00785F64"/>
    <w:rsid w:val="007863C1"/>
    <w:rsid w:val="00786620"/>
    <w:rsid w:val="00786701"/>
    <w:rsid w:val="00787880"/>
    <w:rsid w:val="00790E26"/>
    <w:rsid w:val="00793CF9"/>
    <w:rsid w:val="0079532E"/>
    <w:rsid w:val="00795CC3"/>
    <w:rsid w:val="007A01B0"/>
    <w:rsid w:val="007A3E62"/>
    <w:rsid w:val="007A4DFB"/>
    <w:rsid w:val="007A5714"/>
    <w:rsid w:val="007A57F6"/>
    <w:rsid w:val="007A5C5E"/>
    <w:rsid w:val="007A6087"/>
    <w:rsid w:val="007A6560"/>
    <w:rsid w:val="007A72CC"/>
    <w:rsid w:val="007A72DC"/>
    <w:rsid w:val="007A7F20"/>
    <w:rsid w:val="007B0045"/>
    <w:rsid w:val="007B05B2"/>
    <w:rsid w:val="007B1BC9"/>
    <w:rsid w:val="007B1C17"/>
    <w:rsid w:val="007B1DA4"/>
    <w:rsid w:val="007B20F4"/>
    <w:rsid w:val="007B22B7"/>
    <w:rsid w:val="007B26D8"/>
    <w:rsid w:val="007B3791"/>
    <w:rsid w:val="007B3EE2"/>
    <w:rsid w:val="007B4485"/>
    <w:rsid w:val="007B542C"/>
    <w:rsid w:val="007B638F"/>
    <w:rsid w:val="007B67B7"/>
    <w:rsid w:val="007B74FE"/>
    <w:rsid w:val="007B79CC"/>
    <w:rsid w:val="007C1C08"/>
    <w:rsid w:val="007C3245"/>
    <w:rsid w:val="007C5BD5"/>
    <w:rsid w:val="007C6C89"/>
    <w:rsid w:val="007C6E50"/>
    <w:rsid w:val="007C70D8"/>
    <w:rsid w:val="007D1040"/>
    <w:rsid w:val="007D1150"/>
    <w:rsid w:val="007D31F1"/>
    <w:rsid w:val="007D3474"/>
    <w:rsid w:val="007D354A"/>
    <w:rsid w:val="007D3F5C"/>
    <w:rsid w:val="007D565C"/>
    <w:rsid w:val="007D640F"/>
    <w:rsid w:val="007D6D68"/>
    <w:rsid w:val="007D7259"/>
    <w:rsid w:val="007E03A8"/>
    <w:rsid w:val="007E0758"/>
    <w:rsid w:val="007E1FB4"/>
    <w:rsid w:val="007E2506"/>
    <w:rsid w:val="007E25E0"/>
    <w:rsid w:val="007E3137"/>
    <w:rsid w:val="007E3B3C"/>
    <w:rsid w:val="007E572C"/>
    <w:rsid w:val="007E5A98"/>
    <w:rsid w:val="007E5C4E"/>
    <w:rsid w:val="007E5D64"/>
    <w:rsid w:val="007E6FAF"/>
    <w:rsid w:val="007F113D"/>
    <w:rsid w:val="007F181F"/>
    <w:rsid w:val="007F20C2"/>
    <w:rsid w:val="007F2AB0"/>
    <w:rsid w:val="007F3226"/>
    <w:rsid w:val="007F3C37"/>
    <w:rsid w:val="007F435B"/>
    <w:rsid w:val="007F4677"/>
    <w:rsid w:val="007F51B5"/>
    <w:rsid w:val="007F522B"/>
    <w:rsid w:val="007F5A9D"/>
    <w:rsid w:val="007F5F05"/>
    <w:rsid w:val="007F62D8"/>
    <w:rsid w:val="007F7123"/>
    <w:rsid w:val="007F7CA6"/>
    <w:rsid w:val="0080027D"/>
    <w:rsid w:val="00800EF5"/>
    <w:rsid w:val="008021D0"/>
    <w:rsid w:val="00803ABB"/>
    <w:rsid w:val="00803B39"/>
    <w:rsid w:val="00805998"/>
    <w:rsid w:val="0080753E"/>
    <w:rsid w:val="00807870"/>
    <w:rsid w:val="008103E5"/>
    <w:rsid w:val="00810986"/>
    <w:rsid w:val="00810CE2"/>
    <w:rsid w:val="008160DF"/>
    <w:rsid w:val="00816BA6"/>
    <w:rsid w:val="0081705F"/>
    <w:rsid w:val="00817652"/>
    <w:rsid w:val="00817D74"/>
    <w:rsid w:val="00821559"/>
    <w:rsid w:val="00823C25"/>
    <w:rsid w:val="008243EC"/>
    <w:rsid w:val="008247C4"/>
    <w:rsid w:val="00825100"/>
    <w:rsid w:val="00827989"/>
    <w:rsid w:val="008303AC"/>
    <w:rsid w:val="00830FF9"/>
    <w:rsid w:val="00831F6C"/>
    <w:rsid w:val="0083232F"/>
    <w:rsid w:val="00832C7E"/>
    <w:rsid w:val="00832CC8"/>
    <w:rsid w:val="008361FA"/>
    <w:rsid w:val="00836278"/>
    <w:rsid w:val="00836E20"/>
    <w:rsid w:val="00841626"/>
    <w:rsid w:val="00842497"/>
    <w:rsid w:val="0084258E"/>
    <w:rsid w:val="008425D7"/>
    <w:rsid w:val="00843117"/>
    <w:rsid w:val="00846FBC"/>
    <w:rsid w:val="008473B5"/>
    <w:rsid w:val="008500F8"/>
    <w:rsid w:val="008507DD"/>
    <w:rsid w:val="00850C6D"/>
    <w:rsid w:val="00850DB3"/>
    <w:rsid w:val="00852245"/>
    <w:rsid w:val="00854676"/>
    <w:rsid w:val="00854F85"/>
    <w:rsid w:val="00856436"/>
    <w:rsid w:val="008565BF"/>
    <w:rsid w:val="0086082B"/>
    <w:rsid w:val="00861052"/>
    <w:rsid w:val="00861929"/>
    <w:rsid w:val="0086285C"/>
    <w:rsid w:val="0086300B"/>
    <w:rsid w:val="008631BD"/>
    <w:rsid w:val="008647BA"/>
    <w:rsid w:val="00865BC8"/>
    <w:rsid w:val="00865F7E"/>
    <w:rsid w:val="00866BC3"/>
    <w:rsid w:val="00866D2F"/>
    <w:rsid w:val="00867E07"/>
    <w:rsid w:val="0087165C"/>
    <w:rsid w:val="008734E0"/>
    <w:rsid w:val="00873EE1"/>
    <w:rsid w:val="00874304"/>
    <w:rsid w:val="00874B56"/>
    <w:rsid w:val="00875ADA"/>
    <w:rsid w:val="0087684F"/>
    <w:rsid w:val="00876945"/>
    <w:rsid w:val="00876ACB"/>
    <w:rsid w:val="00877D43"/>
    <w:rsid w:val="00881782"/>
    <w:rsid w:val="008820AE"/>
    <w:rsid w:val="0088255E"/>
    <w:rsid w:val="00882867"/>
    <w:rsid w:val="00883280"/>
    <w:rsid w:val="008841DF"/>
    <w:rsid w:val="008845B0"/>
    <w:rsid w:val="00885B7E"/>
    <w:rsid w:val="00890E4D"/>
    <w:rsid w:val="00891D26"/>
    <w:rsid w:val="00892A28"/>
    <w:rsid w:val="00893CAC"/>
    <w:rsid w:val="00895E4B"/>
    <w:rsid w:val="008962E2"/>
    <w:rsid w:val="00897938"/>
    <w:rsid w:val="008A0065"/>
    <w:rsid w:val="008A0181"/>
    <w:rsid w:val="008A01F8"/>
    <w:rsid w:val="008A132B"/>
    <w:rsid w:val="008A1FCD"/>
    <w:rsid w:val="008A2D70"/>
    <w:rsid w:val="008A2D87"/>
    <w:rsid w:val="008A30D2"/>
    <w:rsid w:val="008A4077"/>
    <w:rsid w:val="008A47CA"/>
    <w:rsid w:val="008A4B2C"/>
    <w:rsid w:val="008A6F6A"/>
    <w:rsid w:val="008A7FC5"/>
    <w:rsid w:val="008B1B33"/>
    <w:rsid w:val="008B4827"/>
    <w:rsid w:val="008B510D"/>
    <w:rsid w:val="008B53D9"/>
    <w:rsid w:val="008B6B87"/>
    <w:rsid w:val="008B7077"/>
    <w:rsid w:val="008C2793"/>
    <w:rsid w:val="008C2BB8"/>
    <w:rsid w:val="008C31B0"/>
    <w:rsid w:val="008C32AF"/>
    <w:rsid w:val="008C3535"/>
    <w:rsid w:val="008C428A"/>
    <w:rsid w:val="008C4928"/>
    <w:rsid w:val="008C49CD"/>
    <w:rsid w:val="008C4D1D"/>
    <w:rsid w:val="008C6487"/>
    <w:rsid w:val="008C6C82"/>
    <w:rsid w:val="008C7A7A"/>
    <w:rsid w:val="008D1CBE"/>
    <w:rsid w:val="008D3204"/>
    <w:rsid w:val="008D4380"/>
    <w:rsid w:val="008E0076"/>
    <w:rsid w:val="008E053E"/>
    <w:rsid w:val="008E0B3A"/>
    <w:rsid w:val="008E15CA"/>
    <w:rsid w:val="008E36BB"/>
    <w:rsid w:val="008F04D7"/>
    <w:rsid w:val="008F131D"/>
    <w:rsid w:val="008F17AC"/>
    <w:rsid w:val="008F182F"/>
    <w:rsid w:val="008F2A13"/>
    <w:rsid w:val="008F2C43"/>
    <w:rsid w:val="008F311B"/>
    <w:rsid w:val="008F3520"/>
    <w:rsid w:val="008F55E0"/>
    <w:rsid w:val="008F657B"/>
    <w:rsid w:val="008F6E15"/>
    <w:rsid w:val="008F6EE7"/>
    <w:rsid w:val="008F78D2"/>
    <w:rsid w:val="0090014F"/>
    <w:rsid w:val="00900388"/>
    <w:rsid w:val="00900CF8"/>
    <w:rsid w:val="009013E0"/>
    <w:rsid w:val="00901B77"/>
    <w:rsid w:val="00902573"/>
    <w:rsid w:val="009027F2"/>
    <w:rsid w:val="00903BD9"/>
    <w:rsid w:val="009058F8"/>
    <w:rsid w:val="009070DA"/>
    <w:rsid w:val="00907257"/>
    <w:rsid w:val="00912A33"/>
    <w:rsid w:val="009137CC"/>
    <w:rsid w:val="00914782"/>
    <w:rsid w:val="00914F22"/>
    <w:rsid w:val="00916D9F"/>
    <w:rsid w:val="00923EE2"/>
    <w:rsid w:val="00923EE9"/>
    <w:rsid w:val="009249FF"/>
    <w:rsid w:val="00925CEF"/>
    <w:rsid w:val="00926722"/>
    <w:rsid w:val="00926C6A"/>
    <w:rsid w:val="0093214E"/>
    <w:rsid w:val="00933388"/>
    <w:rsid w:val="00933E41"/>
    <w:rsid w:val="0093434E"/>
    <w:rsid w:val="009349D1"/>
    <w:rsid w:val="00936349"/>
    <w:rsid w:val="0093660A"/>
    <w:rsid w:val="00936D6D"/>
    <w:rsid w:val="009371D6"/>
    <w:rsid w:val="00940DC5"/>
    <w:rsid w:val="009412E8"/>
    <w:rsid w:val="00941EDB"/>
    <w:rsid w:val="00942564"/>
    <w:rsid w:val="00942D8E"/>
    <w:rsid w:val="009454DD"/>
    <w:rsid w:val="00945AF2"/>
    <w:rsid w:val="00946A9D"/>
    <w:rsid w:val="00946BE6"/>
    <w:rsid w:val="009476D8"/>
    <w:rsid w:val="009476FF"/>
    <w:rsid w:val="00947DCA"/>
    <w:rsid w:val="00950A65"/>
    <w:rsid w:val="00950BE9"/>
    <w:rsid w:val="00952E32"/>
    <w:rsid w:val="00953FD0"/>
    <w:rsid w:val="009548EC"/>
    <w:rsid w:val="009561C9"/>
    <w:rsid w:val="009563A9"/>
    <w:rsid w:val="009570EB"/>
    <w:rsid w:val="00957403"/>
    <w:rsid w:val="00957B33"/>
    <w:rsid w:val="009617D8"/>
    <w:rsid w:val="009624CB"/>
    <w:rsid w:val="00962732"/>
    <w:rsid w:val="00963793"/>
    <w:rsid w:val="00964759"/>
    <w:rsid w:val="0096518B"/>
    <w:rsid w:val="00966074"/>
    <w:rsid w:val="0096684B"/>
    <w:rsid w:val="0096692C"/>
    <w:rsid w:val="0097096A"/>
    <w:rsid w:val="00971F4E"/>
    <w:rsid w:val="00972903"/>
    <w:rsid w:val="00973EE6"/>
    <w:rsid w:val="00974029"/>
    <w:rsid w:val="00974EBF"/>
    <w:rsid w:val="0097707E"/>
    <w:rsid w:val="00977706"/>
    <w:rsid w:val="0098089C"/>
    <w:rsid w:val="00980C49"/>
    <w:rsid w:val="0098143E"/>
    <w:rsid w:val="009826EF"/>
    <w:rsid w:val="00982748"/>
    <w:rsid w:val="00983019"/>
    <w:rsid w:val="00983C79"/>
    <w:rsid w:val="009856AA"/>
    <w:rsid w:val="00990518"/>
    <w:rsid w:val="00990938"/>
    <w:rsid w:val="00991C2F"/>
    <w:rsid w:val="00994FC9"/>
    <w:rsid w:val="00995A94"/>
    <w:rsid w:val="00996768"/>
    <w:rsid w:val="0099693F"/>
    <w:rsid w:val="009A2CB4"/>
    <w:rsid w:val="009A54AA"/>
    <w:rsid w:val="009A626C"/>
    <w:rsid w:val="009A7A34"/>
    <w:rsid w:val="009B021E"/>
    <w:rsid w:val="009B04C4"/>
    <w:rsid w:val="009B14C8"/>
    <w:rsid w:val="009B204A"/>
    <w:rsid w:val="009B4003"/>
    <w:rsid w:val="009B424F"/>
    <w:rsid w:val="009B5488"/>
    <w:rsid w:val="009B629A"/>
    <w:rsid w:val="009B7052"/>
    <w:rsid w:val="009B725C"/>
    <w:rsid w:val="009C01A8"/>
    <w:rsid w:val="009C1529"/>
    <w:rsid w:val="009C1684"/>
    <w:rsid w:val="009C19EE"/>
    <w:rsid w:val="009C1C91"/>
    <w:rsid w:val="009C29B6"/>
    <w:rsid w:val="009C4103"/>
    <w:rsid w:val="009C4CD2"/>
    <w:rsid w:val="009C7CB2"/>
    <w:rsid w:val="009D0CD9"/>
    <w:rsid w:val="009D0D50"/>
    <w:rsid w:val="009D2528"/>
    <w:rsid w:val="009D3151"/>
    <w:rsid w:val="009D3427"/>
    <w:rsid w:val="009D3498"/>
    <w:rsid w:val="009D360B"/>
    <w:rsid w:val="009D4FAB"/>
    <w:rsid w:val="009D4FF2"/>
    <w:rsid w:val="009E0A41"/>
    <w:rsid w:val="009E1709"/>
    <w:rsid w:val="009E348A"/>
    <w:rsid w:val="009E35C9"/>
    <w:rsid w:val="009E392A"/>
    <w:rsid w:val="009E487D"/>
    <w:rsid w:val="009E61B7"/>
    <w:rsid w:val="009E69E7"/>
    <w:rsid w:val="009F1429"/>
    <w:rsid w:val="009F147B"/>
    <w:rsid w:val="009F20A7"/>
    <w:rsid w:val="009F2244"/>
    <w:rsid w:val="009F262F"/>
    <w:rsid w:val="009F32A6"/>
    <w:rsid w:val="009F388E"/>
    <w:rsid w:val="009F3E20"/>
    <w:rsid w:val="009F4517"/>
    <w:rsid w:val="009F45C3"/>
    <w:rsid w:val="00A018B8"/>
    <w:rsid w:val="00A02464"/>
    <w:rsid w:val="00A029D7"/>
    <w:rsid w:val="00A03877"/>
    <w:rsid w:val="00A045A8"/>
    <w:rsid w:val="00A049E4"/>
    <w:rsid w:val="00A0570E"/>
    <w:rsid w:val="00A0686C"/>
    <w:rsid w:val="00A06AD8"/>
    <w:rsid w:val="00A1178B"/>
    <w:rsid w:val="00A117D6"/>
    <w:rsid w:val="00A139BE"/>
    <w:rsid w:val="00A13EE8"/>
    <w:rsid w:val="00A15756"/>
    <w:rsid w:val="00A17228"/>
    <w:rsid w:val="00A173E5"/>
    <w:rsid w:val="00A17C96"/>
    <w:rsid w:val="00A21133"/>
    <w:rsid w:val="00A216A4"/>
    <w:rsid w:val="00A2246B"/>
    <w:rsid w:val="00A22B50"/>
    <w:rsid w:val="00A23065"/>
    <w:rsid w:val="00A23E4F"/>
    <w:rsid w:val="00A25601"/>
    <w:rsid w:val="00A25E52"/>
    <w:rsid w:val="00A2621B"/>
    <w:rsid w:val="00A26C0B"/>
    <w:rsid w:val="00A27254"/>
    <w:rsid w:val="00A27E1E"/>
    <w:rsid w:val="00A319E4"/>
    <w:rsid w:val="00A32846"/>
    <w:rsid w:val="00A32ED4"/>
    <w:rsid w:val="00A351E6"/>
    <w:rsid w:val="00A35A07"/>
    <w:rsid w:val="00A366D4"/>
    <w:rsid w:val="00A369CA"/>
    <w:rsid w:val="00A3736C"/>
    <w:rsid w:val="00A37500"/>
    <w:rsid w:val="00A377D0"/>
    <w:rsid w:val="00A4044E"/>
    <w:rsid w:val="00A404B1"/>
    <w:rsid w:val="00A407A2"/>
    <w:rsid w:val="00A421AA"/>
    <w:rsid w:val="00A43FE5"/>
    <w:rsid w:val="00A44C35"/>
    <w:rsid w:val="00A5098F"/>
    <w:rsid w:val="00A51913"/>
    <w:rsid w:val="00A51D2C"/>
    <w:rsid w:val="00A52C5F"/>
    <w:rsid w:val="00A53608"/>
    <w:rsid w:val="00A53F3D"/>
    <w:rsid w:val="00A53F9F"/>
    <w:rsid w:val="00A54956"/>
    <w:rsid w:val="00A5553C"/>
    <w:rsid w:val="00A55A1D"/>
    <w:rsid w:val="00A55C52"/>
    <w:rsid w:val="00A55FE9"/>
    <w:rsid w:val="00A567F2"/>
    <w:rsid w:val="00A56C5A"/>
    <w:rsid w:val="00A57082"/>
    <w:rsid w:val="00A602A3"/>
    <w:rsid w:val="00A6085B"/>
    <w:rsid w:val="00A60F79"/>
    <w:rsid w:val="00A611A2"/>
    <w:rsid w:val="00A61B11"/>
    <w:rsid w:val="00A64162"/>
    <w:rsid w:val="00A70072"/>
    <w:rsid w:val="00A7034C"/>
    <w:rsid w:val="00A70E14"/>
    <w:rsid w:val="00A713DA"/>
    <w:rsid w:val="00A71B2E"/>
    <w:rsid w:val="00A737C0"/>
    <w:rsid w:val="00A75C5F"/>
    <w:rsid w:val="00A806CF"/>
    <w:rsid w:val="00A8126D"/>
    <w:rsid w:val="00A81DA8"/>
    <w:rsid w:val="00A81EE7"/>
    <w:rsid w:val="00A82953"/>
    <w:rsid w:val="00A82C61"/>
    <w:rsid w:val="00A83268"/>
    <w:rsid w:val="00A838A5"/>
    <w:rsid w:val="00A838FD"/>
    <w:rsid w:val="00A83F95"/>
    <w:rsid w:val="00A8419A"/>
    <w:rsid w:val="00A84980"/>
    <w:rsid w:val="00A8553C"/>
    <w:rsid w:val="00A8679E"/>
    <w:rsid w:val="00A86E34"/>
    <w:rsid w:val="00A8733D"/>
    <w:rsid w:val="00A878D7"/>
    <w:rsid w:val="00A87E29"/>
    <w:rsid w:val="00A90291"/>
    <w:rsid w:val="00A903D5"/>
    <w:rsid w:val="00A904AF"/>
    <w:rsid w:val="00A90681"/>
    <w:rsid w:val="00A90AFC"/>
    <w:rsid w:val="00A90D56"/>
    <w:rsid w:val="00A9338B"/>
    <w:rsid w:val="00A93675"/>
    <w:rsid w:val="00A94B20"/>
    <w:rsid w:val="00A96D0D"/>
    <w:rsid w:val="00A9767F"/>
    <w:rsid w:val="00AA123E"/>
    <w:rsid w:val="00AA1F62"/>
    <w:rsid w:val="00AA3753"/>
    <w:rsid w:val="00AA382A"/>
    <w:rsid w:val="00AA4BAF"/>
    <w:rsid w:val="00AA4FA7"/>
    <w:rsid w:val="00AA502D"/>
    <w:rsid w:val="00AA7A52"/>
    <w:rsid w:val="00AB0551"/>
    <w:rsid w:val="00AB090A"/>
    <w:rsid w:val="00AB0FAC"/>
    <w:rsid w:val="00AB1C39"/>
    <w:rsid w:val="00AB1F61"/>
    <w:rsid w:val="00AB281E"/>
    <w:rsid w:val="00AB2DE1"/>
    <w:rsid w:val="00AB3628"/>
    <w:rsid w:val="00AB416B"/>
    <w:rsid w:val="00AB4220"/>
    <w:rsid w:val="00AB460E"/>
    <w:rsid w:val="00AB5F89"/>
    <w:rsid w:val="00AB6780"/>
    <w:rsid w:val="00AB7F28"/>
    <w:rsid w:val="00AC1023"/>
    <w:rsid w:val="00AC1A30"/>
    <w:rsid w:val="00AC2019"/>
    <w:rsid w:val="00AC27D1"/>
    <w:rsid w:val="00AC41AF"/>
    <w:rsid w:val="00AC73EA"/>
    <w:rsid w:val="00AD0363"/>
    <w:rsid w:val="00AD078A"/>
    <w:rsid w:val="00AD0AF1"/>
    <w:rsid w:val="00AD0D84"/>
    <w:rsid w:val="00AD1528"/>
    <w:rsid w:val="00AD2623"/>
    <w:rsid w:val="00AD420F"/>
    <w:rsid w:val="00AD533C"/>
    <w:rsid w:val="00AD56AB"/>
    <w:rsid w:val="00AD5F27"/>
    <w:rsid w:val="00AD6C42"/>
    <w:rsid w:val="00AE1E01"/>
    <w:rsid w:val="00AE2540"/>
    <w:rsid w:val="00AE26C6"/>
    <w:rsid w:val="00AE2F6B"/>
    <w:rsid w:val="00AE396C"/>
    <w:rsid w:val="00AE3A9C"/>
    <w:rsid w:val="00AE4C11"/>
    <w:rsid w:val="00AE7513"/>
    <w:rsid w:val="00AE793B"/>
    <w:rsid w:val="00AE7CAF"/>
    <w:rsid w:val="00AF0A15"/>
    <w:rsid w:val="00AF0CF5"/>
    <w:rsid w:val="00AF0E49"/>
    <w:rsid w:val="00AF0FB0"/>
    <w:rsid w:val="00AF1B7E"/>
    <w:rsid w:val="00AF4292"/>
    <w:rsid w:val="00AF498C"/>
    <w:rsid w:val="00AF5089"/>
    <w:rsid w:val="00AF5418"/>
    <w:rsid w:val="00AF5B20"/>
    <w:rsid w:val="00B00BDE"/>
    <w:rsid w:val="00B01BC6"/>
    <w:rsid w:val="00B02AEE"/>
    <w:rsid w:val="00B02C01"/>
    <w:rsid w:val="00B03E80"/>
    <w:rsid w:val="00B04DCD"/>
    <w:rsid w:val="00B05EC3"/>
    <w:rsid w:val="00B068D5"/>
    <w:rsid w:val="00B07DE9"/>
    <w:rsid w:val="00B15965"/>
    <w:rsid w:val="00B15A60"/>
    <w:rsid w:val="00B16939"/>
    <w:rsid w:val="00B173E5"/>
    <w:rsid w:val="00B17AE6"/>
    <w:rsid w:val="00B20306"/>
    <w:rsid w:val="00B20581"/>
    <w:rsid w:val="00B217A9"/>
    <w:rsid w:val="00B21A74"/>
    <w:rsid w:val="00B2367A"/>
    <w:rsid w:val="00B242C7"/>
    <w:rsid w:val="00B25252"/>
    <w:rsid w:val="00B25B23"/>
    <w:rsid w:val="00B25D58"/>
    <w:rsid w:val="00B26050"/>
    <w:rsid w:val="00B26423"/>
    <w:rsid w:val="00B26A96"/>
    <w:rsid w:val="00B26ED9"/>
    <w:rsid w:val="00B27D58"/>
    <w:rsid w:val="00B3123F"/>
    <w:rsid w:val="00B315E1"/>
    <w:rsid w:val="00B31D8C"/>
    <w:rsid w:val="00B33D20"/>
    <w:rsid w:val="00B34A8F"/>
    <w:rsid w:val="00B34E5B"/>
    <w:rsid w:val="00B351E3"/>
    <w:rsid w:val="00B362AD"/>
    <w:rsid w:val="00B36755"/>
    <w:rsid w:val="00B4020D"/>
    <w:rsid w:val="00B4054F"/>
    <w:rsid w:val="00B4079B"/>
    <w:rsid w:val="00B40CCA"/>
    <w:rsid w:val="00B43284"/>
    <w:rsid w:val="00B43F50"/>
    <w:rsid w:val="00B46AC4"/>
    <w:rsid w:val="00B46D4C"/>
    <w:rsid w:val="00B50C55"/>
    <w:rsid w:val="00B52B33"/>
    <w:rsid w:val="00B52E9E"/>
    <w:rsid w:val="00B55255"/>
    <w:rsid w:val="00B61114"/>
    <w:rsid w:val="00B6174D"/>
    <w:rsid w:val="00B621ED"/>
    <w:rsid w:val="00B62AFC"/>
    <w:rsid w:val="00B64303"/>
    <w:rsid w:val="00B65300"/>
    <w:rsid w:val="00B67CB6"/>
    <w:rsid w:val="00B70EA5"/>
    <w:rsid w:val="00B71B1C"/>
    <w:rsid w:val="00B73D51"/>
    <w:rsid w:val="00B74059"/>
    <w:rsid w:val="00B741DD"/>
    <w:rsid w:val="00B74330"/>
    <w:rsid w:val="00B744A3"/>
    <w:rsid w:val="00B7462C"/>
    <w:rsid w:val="00B74E6A"/>
    <w:rsid w:val="00B75036"/>
    <w:rsid w:val="00B75596"/>
    <w:rsid w:val="00B75F73"/>
    <w:rsid w:val="00B7645B"/>
    <w:rsid w:val="00B76F60"/>
    <w:rsid w:val="00B8029A"/>
    <w:rsid w:val="00B80735"/>
    <w:rsid w:val="00B8091C"/>
    <w:rsid w:val="00B81CBB"/>
    <w:rsid w:val="00B82826"/>
    <w:rsid w:val="00B83A81"/>
    <w:rsid w:val="00B85C4D"/>
    <w:rsid w:val="00B85DE1"/>
    <w:rsid w:val="00B8752C"/>
    <w:rsid w:val="00B8753F"/>
    <w:rsid w:val="00B877DD"/>
    <w:rsid w:val="00B9025C"/>
    <w:rsid w:val="00B919E8"/>
    <w:rsid w:val="00B91F2F"/>
    <w:rsid w:val="00B93E43"/>
    <w:rsid w:val="00B9430D"/>
    <w:rsid w:val="00B9441D"/>
    <w:rsid w:val="00B95685"/>
    <w:rsid w:val="00B9744A"/>
    <w:rsid w:val="00BA1CFB"/>
    <w:rsid w:val="00BA2547"/>
    <w:rsid w:val="00BA2FC5"/>
    <w:rsid w:val="00BA3E29"/>
    <w:rsid w:val="00BA56F4"/>
    <w:rsid w:val="00BA6760"/>
    <w:rsid w:val="00BA6A7F"/>
    <w:rsid w:val="00BB0036"/>
    <w:rsid w:val="00BB05D8"/>
    <w:rsid w:val="00BB0A04"/>
    <w:rsid w:val="00BB18C7"/>
    <w:rsid w:val="00BB2941"/>
    <w:rsid w:val="00BB4ABC"/>
    <w:rsid w:val="00BB547E"/>
    <w:rsid w:val="00BB6E57"/>
    <w:rsid w:val="00BB712A"/>
    <w:rsid w:val="00BB75F6"/>
    <w:rsid w:val="00BB7942"/>
    <w:rsid w:val="00BC033D"/>
    <w:rsid w:val="00BC0DDE"/>
    <w:rsid w:val="00BC0F0B"/>
    <w:rsid w:val="00BC1A0F"/>
    <w:rsid w:val="00BC20A5"/>
    <w:rsid w:val="00BC5342"/>
    <w:rsid w:val="00BC580A"/>
    <w:rsid w:val="00BC740D"/>
    <w:rsid w:val="00BC7525"/>
    <w:rsid w:val="00BD0674"/>
    <w:rsid w:val="00BD2350"/>
    <w:rsid w:val="00BD23E3"/>
    <w:rsid w:val="00BD30ED"/>
    <w:rsid w:val="00BD3B28"/>
    <w:rsid w:val="00BD54BF"/>
    <w:rsid w:val="00BD6165"/>
    <w:rsid w:val="00BD6490"/>
    <w:rsid w:val="00BE1681"/>
    <w:rsid w:val="00BE2B9C"/>
    <w:rsid w:val="00BE38A6"/>
    <w:rsid w:val="00BE4F60"/>
    <w:rsid w:val="00BE564D"/>
    <w:rsid w:val="00BE7178"/>
    <w:rsid w:val="00BE7217"/>
    <w:rsid w:val="00BE7394"/>
    <w:rsid w:val="00BE7742"/>
    <w:rsid w:val="00BE7DE0"/>
    <w:rsid w:val="00BF0D1F"/>
    <w:rsid w:val="00BF27AC"/>
    <w:rsid w:val="00BF2A01"/>
    <w:rsid w:val="00BF2FAC"/>
    <w:rsid w:val="00BF320C"/>
    <w:rsid w:val="00BF3606"/>
    <w:rsid w:val="00BF44E7"/>
    <w:rsid w:val="00BF48FA"/>
    <w:rsid w:val="00BF4A2B"/>
    <w:rsid w:val="00BF5172"/>
    <w:rsid w:val="00BF5834"/>
    <w:rsid w:val="00BF75FE"/>
    <w:rsid w:val="00BF7CE8"/>
    <w:rsid w:val="00C00258"/>
    <w:rsid w:val="00C010B2"/>
    <w:rsid w:val="00C01B1D"/>
    <w:rsid w:val="00C022F8"/>
    <w:rsid w:val="00C0269F"/>
    <w:rsid w:val="00C04459"/>
    <w:rsid w:val="00C04669"/>
    <w:rsid w:val="00C06753"/>
    <w:rsid w:val="00C06A9A"/>
    <w:rsid w:val="00C1017C"/>
    <w:rsid w:val="00C10637"/>
    <w:rsid w:val="00C10B95"/>
    <w:rsid w:val="00C12109"/>
    <w:rsid w:val="00C127F2"/>
    <w:rsid w:val="00C154F5"/>
    <w:rsid w:val="00C16928"/>
    <w:rsid w:val="00C16CF7"/>
    <w:rsid w:val="00C16EE0"/>
    <w:rsid w:val="00C17FE0"/>
    <w:rsid w:val="00C218B5"/>
    <w:rsid w:val="00C2210C"/>
    <w:rsid w:val="00C22F2B"/>
    <w:rsid w:val="00C23B3A"/>
    <w:rsid w:val="00C24F1A"/>
    <w:rsid w:val="00C252C3"/>
    <w:rsid w:val="00C252E6"/>
    <w:rsid w:val="00C265E6"/>
    <w:rsid w:val="00C2745C"/>
    <w:rsid w:val="00C3042E"/>
    <w:rsid w:val="00C30E51"/>
    <w:rsid w:val="00C3111C"/>
    <w:rsid w:val="00C3113F"/>
    <w:rsid w:val="00C34044"/>
    <w:rsid w:val="00C341C7"/>
    <w:rsid w:val="00C34478"/>
    <w:rsid w:val="00C363F3"/>
    <w:rsid w:val="00C43033"/>
    <w:rsid w:val="00C43523"/>
    <w:rsid w:val="00C43609"/>
    <w:rsid w:val="00C4386B"/>
    <w:rsid w:val="00C447F4"/>
    <w:rsid w:val="00C45BC4"/>
    <w:rsid w:val="00C46F2D"/>
    <w:rsid w:val="00C477E8"/>
    <w:rsid w:val="00C47D6F"/>
    <w:rsid w:val="00C51EE3"/>
    <w:rsid w:val="00C532B9"/>
    <w:rsid w:val="00C53AC9"/>
    <w:rsid w:val="00C600FC"/>
    <w:rsid w:val="00C601C7"/>
    <w:rsid w:val="00C612AA"/>
    <w:rsid w:val="00C61B59"/>
    <w:rsid w:val="00C644EC"/>
    <w:rsid w:val="00C70547"/>
    <w:rsid w:val="00C7077D"/>
    <w:rsid w:val="00C7105D"/>
    <w:rsid w:val="00C71A43"/>
    <w:rsid w:val="00C72429"/>
    <w:rsid w:val="00C72DB3"/>
    <w:rsid w:val="00C737F4"/>
    <w:rsid w:val="00C74C5C"/>
    <w:rsid w:val="00C74F1A"/>
    <w:rsid w:val="00C75AD2"/>
    <w:rsid w:val="00C75EEC"/>
    <w:rsid w:val="00C76A77"/>
    <w:rsid w:val="00C80A40"/>
    <w:rsid w:val="00C82863"/>
    <w:rsid w:val="00C833EC"/>
    <w:rsid w:val="00C83401"/>
    <w:rsid w:val="00C83421"/>
    <w:rsid w:val="00C83BBE"/>
    <w:rsid w:val="00C84807"/>
    <w:rsid w:val="00C849BD"/>
    <w:rsid w:val="00C84D9A"/>
    <w:rsid w:val="00C8504B"/>
    <w:rsid w:val="00C861B4"/>
    <w:rsid w:val="00C918FE"/>
    <w:rsid w:val="00C938E5"/>
    <w:rsid w:val="00C93C47"/>
    <w:rsid w:val="00C940DE"/>
    <w:rsid w:val="00C94D84"/>
    <w:rsid w:val="00C95291"/>
    <w:rsid w:val="00C95B03"/>
    <w:rsid w:val="00C95BB9"/>
    <w:rsid w:val="00C962BC"/>
    <w:rsid w:val="00C96BF4"/>
    <w:rsid w:val="00C96F06"/>
    <w:rsid w:val="00C97192"/>
    <w:rsid w:val="00C978C5"/>
    <w:rsid w:val="00CA0B6E"/>
    <w:rsid w:val="00CA0F81"/>
    <w:rsid w:val="00CA1171"/>
    <w:rsid w:val="00CA1C38"/>
    <w:rsid w:val="00CA2B9C"/>
    <w:rsid w:val="00CA3A42"/>
    <w:rsid w:val="00CA4E5A"/>
    <w:rsid w:val="00CA5CFF"/>
    <w:rsid w:val="00CA69D7"/>
    <w:rsid w:val="00CA742B"/>
    <w:rsid w:val="00CA77E3"/>
    <w:rsid w:val="00CA7972"/>
    <w:rsid w:val="00CB1389"/>
    <w:rsid w:val="00CB16C7"/>
    <w:rsid w:val="00CB2923"/>
    <w:rsid w:val="00CB31F1"/>
    <w:rsid w:val="00CB3D6E"/>
    <w:rsid w:val="00CB447E"/>
    <w:rsid w:val="00CB5441"/>
    <w:rsid w:val="00CB60AE"/>
    <w:rsid w:val="00CB65F0"/>
    <w:rsid w:val="00CB691D"/>
    <w:rsid w:val="00CB74A1"/>
    <w:rsid w:val="00CB79F9"/>
    <w:rsid w:val="00CC0D8C"/>
    <w:rsid w:val="00CC0DDF"/>
    <w:rsid w:val="00CC1505"/>
    <w:rsid w:val="00CC16A3"/>
    <w:rsid w:val="00CC4520"/>
    <w:rsid w:val="00CC60F9"/>
    <w:rsid w:val="00CC6C33"/>
    <w:rsid w:val="00CC7EBC"/>
    <w:rsid w:val="00CD27D3"/>
    <w:rsid w:val="00CD300A"/>
    <w:rsid w:val="00CD4C86"/>
    <w:rsid w:val="00CE0F8A"/>
    <w:rsid w:val="00CE1447"/>
    <w:rsid w:val="00CE1DFA"/>
    <w:rsid w:val="00CE28EE"/>
    <w:rsid w:val="00CE3D1F"/>
    <w:rsid w:val="00CE402D"/>
    <w:rsid w:val="00CE549A"/>
    <w:rsid w:val="00CE6E2D"/>
    <w:rsid w:val="00CE7F6C"/>
    <w:rsid w:val="00CE7FF5"/>
    <w:rsid w:val="00CF0624"/>
    <w:rsid w:val="00CF0FC4"/>
    <w:rsid w:val="00CF1075"/>
    <w:rsid w:val="00CF1096"/>
    <w:rsid w:val="00CF1968"/>
    <w:rsid w:val="00CF33AC"/>
    <w:rsid w:val="00CF51A9"/>
    <w:rsid w:val="00CF58E6"/>
    <w:rsid w:val="00CF68FE"/>
    <w:rsid w:val="00CF691C"/>
    <w:rsid w:val="00CF6F66"/>
    <w:rsid w:val="00CF7B38"/>
    <w:rsid w:val="00D004B8"/>
    <w:rsid w:val="00D007D0"/>
    <w:rsid w:val="00D03D77"/>
    <w:rsid w:val="00D044F7"/>
    <w:rsid w:val="00D05290"/>
    <w:rsid w:val="00D05C69"/>
    <w:rsid w:val="00D07EEF"/>
    <w:rsid w:val="00D10A3C"/>
    <w:rsid w:val="00D123FE"/>
    <w:rsid w:val="00D136BC"/>
    <w:rsid w:val="00D13EB8"/>
    <w:rsid w:val="00D143E5"/>
    <w:rsid w:val="00D1505B"/>
    <w:rsid w:val="00D150CF"/>
    <w:rsid w:val="00D15B24"/>
    <w:rsid w:val="00D1672E"/>
    <w:rsid w:val="00D16D1C"/>
    <w:rsid w:val="00D173FA"/>
    <w:rsid w:val="00D17D6A"/>
    <w:rsid w:val="00D17E35"/>
    <w:rsid w:val="00D206E4"/>
    <w:rsid w:val="00D20B65"/>
    <w:rsid w:val="00D21026"/>
    <w:rsid w:val="00D21304"/>
    <w:rsid w:val="00D22F35"/>
    <w:rsid w:val="00D233CA"/>
    <w:rsid w:val="00D24389"/>
    <w:rsid w:val="00D24F66"/>
    <w:rsid w:val="00D2501E"/>
    <w:rsid w:val="00D25DCA"/>
    <w:rsid w:val="00D266CD"/>
    <w:rsid w:val="00D3012D"/>
    <w:rsid w:val="00D30295"/>
    <w:rsid w:val="00D307F2"/>
    <w:rsid w:val="00D309BA"/>
    <w:rsid w:val="00D3167B"/>
    <w:rsid w:val="00D31F71"/>
    <w:rsid w:val="00D34EC1"/>
    <w:rsid w:val="00D40395"/>
    <w:rsid w:val="00D40C34"/>
    <w:rsid w:val="00D40F85"/>
    <w:rsid w:val="00D418F4"/>
    <w:rsid w:val="00D41A0E"/>
    <w:rsid w:val="00D41E46"/>
    <w:rsid w:val="00D41F9F"/>
    <w:rsid w:val="00D424CF"/>
    <w:rsid w:val="00D42D44"/>
    <w:rsid w:val="00D436CE"/>
    <w:rsid w:val="00D4443B"/>
    <w:rsid w:val="00D44F78"/>
    <w:rsid w:val="00D464D1"/>
    <w:rsid w:val="00D46727"/>
    <w:rsid w:val="00D46B36"/>
    <w:rsid w:val="00D47FF9"/>
    <w:rsid w:val="00D500C6"/>
    <w:rsid w:val="00D5043C"/>
    <w:rsid w:val="00D50FB3"/>
    <w:rsid w:val="00D513F3"/>
    <w:rsid w:val="00D531EE"/>
    <w:rsid w:val="00D539A4"/>
    <w:rsid w:val="00D540AA"/>
    <w:rsid w:val="00D54AED"/>
    <w:rsid w:val="00D55100"/>
    <w:rsid w:val="00D553FA"/>
    <w:rsid w:val="00D55635"/>
    <w:rsid w:val="00D55EA4"/>
    <w:rsid w:val="00D55F1E"/>
    <w:rsid w:val="00D56CBE"/>
    <w:rsid w:val="00D572AB"/>
    <w:rsid w:val="00D574DA"/>
    <w:rsid w:val="00D6013E"/>
    <w:rsid w:val="00D61A94"/>
    <w:rsid w:val="00D61E56"/>
    <w:rsid w:val="00D62A33"/>
    <w:rsid w:val="00D631B3"/>
    <w:rsid w:val="00D65786"/>
    <w:rsid w:val="00D65B58"/>
    <w:rsid w:val="00D669C9"/>
    <w:rsid w:val="00D66EF2"/>
    <w:rsid w:val="00D67258"/>
    <w:rsid w:val="00D67941"/>
    <w:rsid w:val="00D70485"/>
    <w:rsid w:val="00D7085A"/>
    <w:rsid w:val="00D71862"/>
    <w:rsid w:val="00D73BD6"/>
    <w:rsid w:val="00D73E44"/>
    <w:rsid w:val="00D7407E"/>
    <w:rsid w:val="00D7465F"/>
    <w:rsid w:val="00D756B0"/>
    <w:rsid w:val="00D76314"/>
    <w:rsid w:val="00D76772"/>
    <w:rsid w:val="00D769A6"/>
    <w:rsid w:val="00D76A9C"/>
    <w:rsid w:val="00D83A0B"/>
    <w:rsid w:val="00D83A12"/>
    <w:rsid w:val="00D83FCE"/>
    <w:rsid w:val="00D84A0D"/>
    <w:rsid w:val="00D84DF1"/>
    <w:rsid w:val="00D84F8B"/>
    <w:rsid w:val="00D85F3C"/>
    <w:rsid w:val="00D86553"/>
    <w:rsid w:val="00D86B69"/>
    <w:rsid w:val="00D91065"/>
    <w:rsid w:val="00D93351"/>
    <w:rsid w:val="00D93ADC"/>
    <w:rsid w:val="00D9443D"/>
    <w:rsid w:val="00D947FC"/>
    <w:rsid w:val="00D95FED"/>
    <w:rsid w:val="00DA0913"/>
    <w:rsid w:val="00DA0A65"/>
    <w:rsid w:val="00DA1440"/>
    <w:rsid w:val="00DA2662"/>
    <w:rsid w:val="00DA3DF7"/>
    <w:rsid w:val="00DA4008"/>
    <w:rsid w:val="00DA4214"/>
    <w:rsid w:val="00DA4507"/>
    <w:rsid w:val="00DA5728"/>
    <w:rsid w:val="00DA5746"/>
    <w:rsid w:val="00DA6B7B"/>
    <w:rsid w:val="00DA7821"/>
    <w:rsid w:val="00DA7969"/>
    <w:rsid w:val="00DA7E58"/>
    <w:rsid w:val="00DB0511"/>
    <w:rsid w:val="00DB1EC6"/>
    <w:rsid w:val="00DB6167"/>
    <w:rsid w:val="00DC0124"/>
    <w:rsid w:val="00DC041C"/>
    <w:rsid w:val="00DC1087"/>
    <w:rsid w:val="00DC16B0"/>
    <w:rsid w:val="00DC363A"/>
    <w:rsid w:val="00DC690A"/>
    <w:rsid w:val="00DC6B44"/>
    <w:rsid w:val="00DD03E4"/>
    <w:rsid w:val="00DD1D7A"/>
    <w:rsid w:val="00DD2D5F"/>
    <w:rsid w:val="00DD4CE1"/>
    <w:rsid w:val="00DD52EE"/>
    <w:rsid w:val="00DD5FB8"/>
    <w:rsid w:val="00DD7196"/>
    <w:rsid w:val="00DE2D2B"/>
    <w:rsid w:val="00DE35BF"/>
    <w:rsid w:val="00DE4581"/>
    <w:rsid w:val="00DE53AF"/>
    <w:rsid w:val="00DF0C0B"/>
    <w:rsid w:val="00DF2680"/>
    <w:rsid w:val="00DF2712"/>
    <w:rsid w:val="00DF2832"/>
    <w:rsid w:val="00DF682A"/>
    <w:rsid w:val="00DF6BEA"/>
    <w:rsid w:val="00E01E0B"/>
    <w:rsid w:val="00E01EB6"/>
    <w:rsid w:val="00E01EE4"/>
    <w:rsid w:val="00E02945"/>
    <w:rsid w:val="00E03791"/>
    <w:rsid w:val="00E03B19"/>
    <w:rsid w:val="00E049F1"/>
    <w:rsid w:val="00E057E0"/>
    <w:rsid w:val="00E067F9"/>
    <w:rsid w:val="00E07A1F"/>
    <w:rsid w:val="00E07CC1"/>
    <w:rsid w:val="00E116EB"/>
    <w:rsid w:val="00E11A6D"/>
    <w:rsid w:val="00E12403"/>
    <w:rsid w:val="00E1294B"/>
    <w:rsid w:val="00E13085"/>
    <w:rsid w:val="00E15A53"/>
    <w:rsid w:val="00E16496"/>
    <w:rsid w:val="00E20507"/>
    <w:rsid w:val="00E21EF9"/>
    <w:rsid w:val="00E254F6"/>
    <w:rsid w:val="00E268B6"/>
    <w:rsid w:val="00E30FA8"/>
    <w:rsid w:val="00E31CAC"/>
    <w:rsid w:val="00E32E59"/>
    <w:rsid w:val="00E33802"/>
    <w:rsid w:val="00E3426C"/>
    <w:rsid w:val="00E3464C"/>
    <w:rsid w:val="00E3500C"/>
    <w:rsid w:val="00E37B2D"/>
    <w:rsid w:val="00E40841"/>
    <w:rsid w:val="00E42C92"/>
    <w:rsid w:val="00E43663"/>
    <w:rsid w:val="00E45577"/>
    <w:rsid w:val="00E46358"/>
    <w:rsid w:val="00E464E9"/>
    <w:rsid w:val="00E465F5"/>
    <w:rsid w:val="00E46802"/>
    <w:rsid w:val="00E47A55"/>
    <w:rsid w:val="00E51B56"/>
    <w:rsid w:val="00E56FDE"/>
    <w:rsid w:val="00E5715B"/>
    <w:rsid w:val="00E607F3"/>
    <w:rsid w:val="00E61392"/>
    <w:rsid w:val="00E61C62"/>
    <w:rsid w:val="00E6293F"/>
    <w:rsid w:val="00E64321"/>
    <w:rsid w:val="00E646CD"/>
    <w:rsid w:val="00E651A5"/>
    <w:rsid w:val="00E656D1"/>
    <w:rsid w:val="00E65F7B"/>
    <w:rsid w:val="00E72E04"/>
    <w:rsid w:val="00E72EC1"/>
    <w:rsid w:val="00E73C5A"/>
    <w:rsid w:val="00E73D18"/>
    <w:rsid w:val="00E748A5"/>
    <w:rsid w:val="00E75450"/>
    <w:rsid w:val="00E758C9"/>
    <w:rsid w:val="00E76169"/>
    <w:rsid w:val="00E77A4E"/>
    <w:rsid w:val="00E77D63"/>
    <w:rsid w:val="00E81B49"/>
    <w:rsid w:val="00E8240E"/>
    <w:rsid w:val="00E8335D"/>
    <w:rsid w:val="00E83CB1"/>
    <w:rsid w:val="00E84B09"/>
    <w:rsid w:val="00E85200"/>
    <w:rsid w:val="00E855A9"/>
    <w:rsid w:val="00E9015A"/>
    <w:rsid w:val="00E9033F"/>
    <w:rsid w:val="00E9171B"/>
    <w:rsid w:val="00E91ADD"/>
    <w:rsid w:val="00E921F7"/>
    <w:rsid w:val="00E93062"/>
    <w:rsid w:val="00E93171"/>
    <w:rsid w:val="00E93D69"/>
    <w:rsid w:val="00E94F04"/>
    <w:rsid w:val="00E976AE"/>
    <w:rsid w:val="00EA0200"/>
    <w:rsid w:val="00EA0945"/>
    <w:rsid w:val="00EA4F26"/>
    <w:rsid w:val="00EA557C"/>
    <w:rsid w:val="00EA7826"/>
    <w:rsid w:val="00EA7E46"/>
    <w:rsid w:val="00EB0AF0"/>
    <w:rsid w:val="00EB13D0"/>
    <w:rsid w:val="00EB1912"/>
    <w:rsid w:val="00EB1A50"/>
    <w:rsid w:val="00EB22AE"/>
    <w:rsid w:val="00EB344A"/>
    <w:rsid w:val="00EB3C32"/>
    <w:rsid w:val="00EB4C46"/>
    <w:rsid w:val="00EB5047"/>
    <w:rsid w:val="00EB6475"/>
    <w:rsid w:val="00EB689F"/>
    <w:rsid w:val="00EB70A8"/>
    <w:rsid w:val="00EB7B89"/>
    <w:rsid w:val="00EB7CAE"/>
    <w:rsid w:val="00EC00E4"/>
    <w:rsid w:val="00EC08D2"/>
    <w:rsid w:val="00EC08E3"/>
    <w:rsid w:val="00EC1FD7"/>
    <w:rsid w:val="00EC2181"/>
    <w:rsid w:val="00EC327D"/>
    <w:rsid w:val="00EC37CF"/>
    <w:rsid w:val="00EC474C"/>
    <w:rsid w:val="00EC56C7"/>
    <w:rsid w:val="00EC5EF7"/>
    <w:rsid w:val="00EC6BD6"/>
    <w:rsid w:val="00EC7287"/>
    <w:rsid w:val="00EC73F1"/>
    <w:rsid w:val="00ED0212"/>
    <w:rsid w:val="00ED04B9"/>
    <w:rsid w:val="00ED0605"/>
    <w:rsid w:val="00ED228B"/>
    <w:rsid w:val="00ED291A"/>
    <w:rsid w:val="00ED38AF"/>
    <w:rsid w:val="00ED3E53"/>
    <w:rsid w:val="00ED524C"/>
    <w:rsid w:val="00ED68A6"/>
    <w:rsid w:val="00EE0C53"/>
    <w:rsid w:val="00EE1BA4"/>
    <w:rsid w:val="00EE2D94"/>
    <w:rsid w:val="00EE34B0"/>
    <w:rsid w:val="00EE4160"/>
    <w:rsid w:val="00EE4C2B"/>
    <w:rsid w:val="00EE662C"/>
    <w:rsid w:val="00EE6D58"/>
    <w:rsid w:val="00EE76F0"/>
    <w:rsid w:val="00EE7B87"/>
    <w:rsid w:val="00EF0264"/>
    <w:rsid w:val="00EF1888"/>
    <w:rsid w:val="00EF1CCA"/>
    <w:rsid w:val="00EF2143"/>
    <w:rsid w:val="00EF21A8"/>
    <w:rsid w:val="00EF2A8B"/>
    <w:rsid w:val="00EF2B83"/>
    <w:rsid w:val="00EF52EF"/>
    <w:rsid w:val="00EF6E2C"/>
    <w:rsid w:val="00EF71DC"/>
    <w:rsid w:val="00F00439"/>
    <w:rsid w:val="00F016A6"/>
    <w:rsid w:val="00F01DB4"/>
    <w:rsid w:val="00F01DC6"/>
    <w:rsid w:val="00F03190"/>
    <w:rsid w:val="00F03A73"/>
    <w:rsid w:val="00F04E87"/>
    <w:rsid w:val="00F0536A"/>
    <w:rsid w:val="00F06FEC"/>
    <w:rsid w:val="00F07DB3"/>
    <w:rsid w:val="00F07E2F"/>
    <w:rsid w:val="00F10703"/>
    <w:rsid w:val="00F10AB8"/>
    <w:rsid w:val="00F11D12"/>
    <w:rsid w:val="00F13A9A"/>
    <w:rsid w:val="00F165FB"/>
    <w:rsid w:val="00F166B3"/>
    <w:rsid w:val="00F20A0C"/>
    <w:rsid w:val="00F221D9"/>
    <w:rsid w:val="00F24737"/>
    <w:rsid w:val="00F24E42"/>
    <w:rsid w:val="00F261B6"/>
    <w:rsid w:val="00F26676"/>
    <w:rsid w:val="00F27646"/>
    <w:rsid w:val="00F3218B"/>
    <w:rsid w:val="00F32FD3"/>
    <w:rsid w:val="00F33E22"/>
    <w:rsid w:val="00F3427D"/>
    <w:rsid w:val="00F34B08"/>
    <w:rsid w:val="00F36320"/>
    <w:rsid w:val="00F3768D"/>
    <w:rsid w:val="00F378F1"/>
    <w:rsid w:val="00F4036B"/>
    <w:rsid w:val="00F40B96"/>
    <w:rsid w:val="00F41CDA"/>
    <w:rsid w:val="00F423AE"/>
    <w:rsid w:val="00F4283D"/>
    <w:rsid w:val="00F42894"/>
    <w:rsid w:val="00F42B32"/>
    <w:rsid w:val="00F4337E"/>
    <w:rsid w:val="00F43D45"/>
    <w:rsid w:val="00F443B3"/>
    <w:rsid w:val="00F449CB"/>
    <w:rsid w:val="00F47CE3"/>
    <w:rsid w:val="00F47D05"/>
    <w:rsid w:val="00F500C0"/>
    <w:rsid w:val="00F507A2"/>
    <w:rsid w:val="00F51354"/>
    <w:rsid w:val="00F518F5"/>
    <w:rsid w:val="00F52D66"/>
    <w:rsid w:val="00F531A5"/>
    <w:rsid w:val="00F547DA"/>
    <w:rsid w:val="00F5612B"/>
    <w:rsid w:val="00F5637A"/>
    <w:rsid w:val="00F56384"/>
    <w:rsid w:val="00F566A5"/>
    <w:rsid w:val="00F57092"/>
    <w:rsid w:val="00F577EB"/>
    <w:rsid w:val="00F60F1B"/>
    <w:rsid w:val="00F6128F"/>
    <w:rsid w:val="00F61734"/>
    <w:rsid w:val="00F62984"/>
    <w:rsid w:val="00F631B8"/>
    <w:rsid w:val="00F641FC"/>
    <w:rsid w:val="00F64A2B"/>
    <w:rsid w:val="00F64E4D"/>
    <w:rsid w:val="00F653B2"/>
    <w:rsid w:val="00F65FB3"/>
    <w:rsid w:val="00F661BF"/>
    <w:rsid w:val="00F703CD"/>
    <w:rsid w:val="00F70C73"/>
    <w:rsid w:val="00F72268"/>
    <w:rsid w:val="00F7277A"/>
    <w:rsid w:val="00F73FAF"/>
    <w:rsid w:val="00F74D0D"/>
    <w:rsid w:val="00F74F50"/>
    <w:rsid w:val="00F75CEE"/>
    <w:rsid w:val="00F76104"/>
    <w:rsid w:val="00F762CC"/>
    <w:rsid w:val="00F76C34"/>
    <w:rsid w:val="00F80D24"/>
    <w:rsid w:val="00F81779"/>
    <w:rsid w:val="00F82C44"/>
    <w:rsid w:val="00F82C9F"/>
    <w:rsid w:val="00F82DFF"/>
    <w:rsid w:val="00F83100"/>
    <w:rsid w:val="00F8386E"/>
    <w:rsid w:val="00F844CB"/>
    <w:rsid w:val="00F84D9F"/>
    <w:rsid w:val="00F84F22"/>
    <w:rsid w:val="00F85299"/>
    <w:rsid w:val="00F854D6"/>
    <w:rsid w:val="00F85871"/>
    <w:rsid w:val="00F85AD2"/>
    <w:rsid w:val="00F87988"/>
    <w:rsid w:val="00F902B1"/>
    <w:rsid w:val="00F90762"/>
    <w:rsid w:val="00F913FE"/>
    <w:rsid w:val="00F91C34"/>
    <w:rsid w:val="00F91CDB"/>
    <w:rsid w:val="00F91FD8"/>
    <w:rsid w:val="00F92513"/>
    <w:rsid w:val="00F9280A"/>
    <w:rsid w:val="00F93573"/>
    <w:rsid w:val="00F9374F"/>
    <w:rsid w:val="00F94492"/>
    <w:rsid w:val="00F95F57"/>
    <w:rsid w:val="00F964B3"/>
    <w:rsid w:val="00F966F4"/>
    <w:rsid w:val="00F96763"/>
    <w:rsid w:val="00F96B5C"/>
    <w:rsid w:val="00F97A78"/>
    <w:rsid w:val="00FA0D12"/>
    <w:rsid w:val="00FA0E85"/>
    <w:rsid w:val="00FA331E"/>
    <w:rsid w:val="00FA3A1A"/>
    <w:rsid w:val="00FA53FF"/>
    <w:rsid w:val="00FA733C"/>
    <w:rsid w:val="00FB0910"/>
    <w:rsid w:val="00FB0B42"/>
    <w:rsid w:val="00FB0C77"/>
    <w:rsid w:val="00FB156F"/>
    <w:rsid w:val="00FB333A"/>
    <w:rsid w:val="00FB3C40"/>
    <w:rsid w:val="00FB416C"/>
    <w:rsid w:val="00FB4850"/>
    <w:rsid w:val="00FB5CBF"/>
    <w:rsid w:val="00FB6106"/>
    <w:rsid w:val="00FB7AE6"/>
    <w:rsid w:val="00FC043A"/>
    <w:rsid w:val="00FC16E0"/>
    <w:rsid w:val="00FC1FA0"/>
    <w:rsid w:val="00FC2BC9"/>
    <w:rsid w:val="00FC3E31"/>
    <w:rsid w:val="00FC449E"/>
    <w:rsid w:val="00FC4805"/>
    <w:rsid w:val="00FC55AC"/>
    <w:rsid w:val="00FC576E"/>
    <w:rsid w:val="00FC5C0E"/>
    <w:rsid w:val="00FC633B"/>
    <w:rsid w:val="00FD06AC"/>
    <w:rsid w:val="00FD06C8"/>
    <w:rsid w:val="00FD0729"/>
    <w:rsid w:val="00FD09E0"/>
    <w:rsid w:val="00FD1AD5"/>
    <w:rsid w:val="00FD225A"/>
    <w:rsid w:val="00FD2B01"/>
    <w:rsid w:val="00FD3E45"/>
    <w:rsid w:val="00FD4524"/>
    <w:rsid w:val="00FD5216"/>
    <w:rsid w:val="00FD53BC"/>
    <w:rsid w:val="00FD6FE7"/>
    <w:rsid w:val="00FE0402"/>
    <w:rsid w:val="00FE1955"/>
    <w:rsid w:val="00FE1B5F"/>
    <w:rsid w:val="00FE3112"/>
    <w:rsid w:val="00FE3454"/>
    <w:rsid w:val="00FE34D8"/>
    <w:rsid w:val="00FE38B8"/>
    <w:rsid w:val="00FE4B9D"/>
    <w:rsid w:val="00FE4BA4"/>
    <w:rsid w:val="00FE5135"/>
    <w:rsid w:val="00FE5A9B"/>
    <w:rsid w:val="00FE686E"/>
    <w:rsid w:val="00FE6926"/>
    <w:rsid w:val="00FE70FF"/>
    <w:rsid w:val="00FE7903"/>
    <w:rsid w:val="00FE7F7F"/>
    <w:rsid w:val="00FF02D9"/>
    <w:rsid w:val="00FF10D1"/>
    <w:rsid w:val="00FF19D4"/>
    <w:rsid w:val="00FF1CB0"/>
    <w:rsid w:val="00FF22CF"/>
    <w:rsid w:val="00FF29A2"/>
    <w:rsid w:val="00FF2A3F"/>
    <w:rsid w:val="00FF308C"/>
    <w:rsid w:val="00FF395C"/>
    <w:rsid w:val="00FF4361"/>
    <w:rsid w:val="00FF4C8F"/>
    <w:rsid w:val="00FF60F2"/>
    <w:rsid w:val="00FF690D"/>
    <w:rsid w:val="1EFEDA84"/>
    <w:rsid w:val="2DDDA643"/>
    <w:rsid w:val="36492E6D"/>
    <w:rsid w:val="37965D8C"/>
    <w:rsid w:val="37EF4F6E"/>
    <w:rsid w:val="380744FF"/>
    <w:rsid w:val="3F51DAC3"/>
    <w:rsid w:val="3FFBC6DE"/>
    <w:rsid w:val="58A7B4B7"/>
    <w:rsid w:val="5DFB663A"/>
    <w:rsid w:val="5FE411A7"/>
    <w:rsid w:val="5FFDC269"/>
    <w:rsid w:val="5FFF15A2"/>
    <w:rsid w:val="6D060E6D"/>
    <w:rsid w:val="6DBEA1B1"/>
    <w:rsid w:val="6F190A7B"/>
    <w:rsid w:val="6FEF8B5D"/>
    <w:rsid w:val="6FEFEF24"/>
    <w:rsid w:val="744C1920"/>
    <w:rsid w:val="767F0F9F"/>
    <w:rsid w:val="76D76594"/>
    <w:rsid w:val="77E5A59A"/>
    <w:rsid w:val="7D6A54B7"/>
    <w:rsid w:val="7DBFA63A"/>
    <w:rsid w:val="7DDE2AF6"/>
    <w:rsid w:val="7ED6DF6D"/>
    <w:rsid w:val="7EEBD9D4"/>
    <w:rsid w:val="7EEF6830"/>
    <w:rsid w:val="7EFBB364"/>
    <w:rsid w:val="7EFCC4C2"/>
    <w:rsid w:val="7F59CCEC"/>
    <w:rsid w:val="7FFF5CD0"/>
    <w:rsid w:val="7FFF9ECE"/>
    <w:rsid w:val="ABDEFC83"/>
    <w:rsid w:val="B2A3F22D"/>
    <w:rsid w:val="D79FD2BE"/>
    <w:rsid w:val="D8FBEA59"/>
    <w:rsid w:val="DA42E70A"/>
    <w:rsid w:val="DC9F8FA1"/>
    <w:rsid w:val="DE3FA39D"/>
    <w:rsid w:val="DFEF09AA"/>
    <w:rsid w:val="DFFD0C58"/>
    <w:rsid w:val="DFFDE430"/>
    <w:rsid w:val="E03C498B"/>
    <w:rsid w:val="EE9D09B0"/>
    <w:rsid w:val="F63F5B40"/>
    <w:rsid w:val="F7348DEC"/>
    <w:rsid w:val="FBF78116"/>
    <w:rsid w:val="FCBD4E6F"/>
    <w:rsid w:val="FDFFBAA5"/>
    <w:rsid w:val="FEDD3E34"/>
    <w:rsid w:val="FEFF01D9"/>
    <w:rsid w:val="FF645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33"/>
    <w:qFormat/>
    <w:uiPriority w:val="0"/>
    <w:pPr>
      <w:spacing w:beforeLines="50" w:afterLines="50"/>
      <w:jc w:val="center"/>
      <w:outlineLvl w:val="0"/>
    </w:pPr>
    <w:rPr>
      <w:rFonts w:eastAsia="宋体" w:cs="Arial"/>
      <w:b/>
      <w:bCs/>
      <w:w w:val="95"/>
      <w:kern w:val="32"/>
      <w:sz w:val="44"/>
      <w:szCs w:val="44"/>
    </w:rPr>
  </w:style>
  <w:style w:type="paragraph" w:styleId="3">
    <w:name w:val="heading 2"/>
    <w:basedOn w:val="1"/>
    <w:next w:val="1"/>
    <w:link w:val="38"/>
    <w:unhideWhenUsed/>
    <w:qFormat/>
    <w:uiPriority w:val="9"/>
    <w:pPr>
      <w:keepNext/>
      <w:keepLines/>
      <w:spacing w:line="416" w:lineRule="auto"/>
      <w:jc w:val="center"/>
      <w:outlineLvl w:val="1"/>
    </w:pPr>
    <w:rPr>
      <w:rFonts w:eastAsia="宋体" w:cstheme="majorBidi"/>
      <w:b/>
      <w:bCs/>
      <w:sz w:val="44"/>
      <w:szCs w:val="32"/>
    </w:rPr>
  </w:style>
  <w:style w:type="paragraph" w:styleId="4">
    <w:name w:val="heading 3"/>
    <w:basedOn w:val="1"/>
    <w:next w:val="1"/>
    <w:link w:val="39"/>
    <w:unhideWhenUsed/>
    <w:qFormat/>
    <w:uiPriority w:val="9"/>
    <w:pPr>
      <w:keepNext/>
      <w:keepLines/>
      <w:numPr>
        <w:ilvl w:val="0"/>
        <w:numId w:val="1"/>
      </w:numPr>
      <w:outlineLvl w:val="2"/>
    </w:pPr>
    <w:rPr>
      <w:rFonts w:eastAsia="黑体"/>
      <w:b/>
      <w:bCs/>
      <w:szCs w:val="32"/>
    </w:rPr>
  </w:style>
  <w:style w:type="paragraph" w:styleId="5">
    <w:name w:val="heading 4"/>
    <w:basedOn w:val="1"/>
    <w:next w:val="1"/>
    <w:link w:val="41"/>
    <w:unhideWhenUsed/>
    <w:qFormat/>
    <w:uiPriority w:val="9"/>
    <w:pPr>
      <w:keepNext/>
      <w:keepLines/>
      <w:spacing w:line="376" w:lineRule="auto"/>
      <w:outlineLvl w:val="3"/>
    </w:pPr>
    <w:rPr>
      <w:rFonts w:eastAsia="楷体" w:asciiTheme="majorHAnsi" w:hAnsiTheme="majorHAnsi" w:cstheme="majorBidi"/>
      <w:bCs/>
      <w:szCs w:val="28"/>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6"/>
    <w:semiHidden/>
    <w:unhideWhenUsed/>
    <w:qFormat/>
    <w:uiPriority w:val="99"/>
    <w:rPr>
      <w:b/>
      <w:bCs/>
    </w:rPr>
  </w:style>
  <w:style w:type="paragraph" w:styleId="7">
    <w:name w:val="annotation text"/>
    <w:basedOn w:val="1"/>
    <w:link w:val="35"/>
    <w:semiHidden/>
    <w:unhideWhenUsed/>
    <w:qFormat/>
    <w:uiPriority w:val="99"/>
    <w:pPr>
      <w:jc w:val="left"/>
    </w:pPr>
  </w:style>
  <w:style w:type="paragraph" w:styleId="8">
    <w:name w:val="caption"/>
    <w:basedOn w:val="1"/>
    <w:next w:val="1"/>
    <w:unhideWhenUsed/>
    <w:qFormat/>
    <w:uiPriority w:val="35"/>
    <w:rPr>
      <w:rFonts w:asciiTheme="majorHAnsi" w:hAnsiTheme="majorHAnsi" w:cstheme="majorBidi"/>
      <w:b/>
      <w:sz w:val="24"/>
      <w:szCs w:val="20"/>
    </w:rPr>
  </w:style>
  <w:style w:type="paragraph" w:styleId="9">
    <w:name w:val="Body Text"/>
    <w:basedOn w:val="1"/>
    <w:link w:val="28"/>
    <w:qFormat/>
    <w:uiPriority w:val="1"/>
    <w:pPr>
      <w:autoSpaceDE w:val="0"/>
      <w:autoSpaceDN w:val="0"/>
      <w:adjustRightInd w:val="0"/>
      <w:ind w:left="40"/>
      <w:jc w:val="left"/>
    </w:pPr>
    <w:rPr>
      <w:rFonts w:ascii="Arial" w:hAnsi="Arial" w:cs="Arial"/>
      <w:kern w:val="0"/>
      <w:sz w:val="19"/>
      <w:szCs w:val="19"/>
    </w:rPr>
  </w:style>
  <w:style w:type="paragraph" w:styleId="10">
    <w:name w:val="toc 3"/>
    <w:basedOn w:val="1"/>
    <w:next w:val="1"/>
    <w:unhideWhenUsed/>
    <w:qFormat/>
    <w:uiPriority w:val="39"/>
    <w:pPr>
      <w:ind w:left="840" w:leftChars="400"/>
    </w:pPr>
  </w:style>
  <w:style w:type="paragraph" w:styleId="11">
    <w:name w:val="endnote text"/>
    <w:basedOn w:val="1"/>
    <w:link w:val="42"/>
    <w:semiHidden/>
    <w:unhideWhenUsed/>
    <w:qFormat/>
    <w:uiPriority w:val="99"/>
    <w:pPr>
      <w:snapToGrid w:val="0"/>
      <w:jc w:val="left"/>
    </w:pPr>
  </w:style>
  <w:style w:type="paragraph" w:styleId="12">
    <w:name w:val="Balloon Text"/>
    <w:basedOn w:val="1"/>
    <w:link w:val="27"/>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pPr>
  </w:style>
  <w:style w:type="paragraph" w:styleId="16">
    <w:name w:val="toc 2"/>
    <w:basedOn w:val="1"/>
    <w:next w:val="1"/>
    <w:unhideWhenUsed/>
    <w:qFormat/>
    <w:uiPriority w:val="39"/>
    <w:pPr>
      <w:tabs>
        <w:tab w:val="right" w:leader="dot" w:pos="8296"/>
      </w:tabs>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9">
    <w:name w:val="Strong"/>
    <w:basedOn w:val="18"/>
    <w:qFormat/>
    <w:uiPriority w:val="22"/>
    <w:rPr>
      <w:b/>
      <w:bCs/>
    </w:rPr>
  </w:style>
  <w:style w:type="character" w:styleId="20">
    <w:name w:val="endnote reference"/>
    <w:basedOn w:val="18"/>
    <w:semiHidden/>
    <w:unhideWhenUsed/>
    <w:qFormat/>
    <w:uiPriority w:val="99"/>
    <w:rPr>
      <w:vertAlign w:val="superscript"/>
    </w:rPr>
  </w:style>
  <w:style w:type="character" w:styleId="21">
    <w:name w:val="Emphasis"/>
    <w:basedOn w:val="18"/>
    <w:qFormat/>
    <w:uiPriority w:val="20"/>
    <w:rPr>
      <w:i/>
      <w:iCs/>
    </w:rPr>
  </w:style>
  <w:style w:type="character" w:styleId="22">
    <w:name w:val="Hyperlink"/>
    <w:basedOn w:val="18"/>
    <w:unhideWhenUsed/>
    <w:qFormat/>
    <w:uiPriority w:val="99"/>
    <w:rPr>
      <w:color w:val="0000FF" w:themeColor="hyperlink"/>
      <w:u w:val="single"/>
      <w14:textFill>
        <w14:solidFill>
          <w14:schemeClr w14:val="hlink"/>
        </w14:solidFill>
      </w14:textFill>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6">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27">
    <w:name w:val="批注框文本 字符"/>
    <w:basedOn w:val="18"/>
    <w:link w:val="12"/>
    <w:semiHidden/>
    <w:qFormat/>
    <w:uiPriority w:val="99"/>
    <w:rPr>
      <w:sz w:val="18"/>
      <w:szCs w:val="18"/>
    </w:rPr>
  </w:style>
  <w:style w:type="character" w:customStyle="1" w:styleId="28">
    <w:name w:val="正文文本 字符"/>
    <w:basedOn w:val="18"/>
    <w:link w:val="9"/>
    <w:qFormat/>
    <w:uiPriority w:val="1"/>
    <w:rPr>
      <w:rFonts w:ascii="Arial" w:hAnsi="Arial" w:cs="Arial"/>
      <w:kern w:val="0"/>
      <w:sz w:val="19"/>
      <w:szCs w:val="19"/>
    </w:rPr>
  </w:style>
  <w:style w:type="character" w:customStyle="1" w:styleId="29">
    <w:name w:val="页眉 字符"/>
    <w:basedOn w:val="18"/>
    <w:link w:val="14"/>
    <w:qFormat/>
    <w:uiPriority w:val="99"/>
    <w:rPr>
      <w:sz w:val="18"/>
      <w:szCs w:val="18"/>
    </w:rPr>
  </w:style>
  <w:style w:type="character" w:customStyle="1" w:styleId="30">
    <w:name w:val="页脚 字符"/>
    <w:basedOn w:val="18"/>
    <w:link w:val="13"/>
    <w:qFormat/>
    <w:uiPriority w:val="99"/>
    <w:rPr>
      <w:sz w:val="18"/>
      <w:szCs w:val="18"/>
    </w:rPr>
  </w:style>
  <w:style w:type="paragraph" w:customStyle="1" w:styleId="31">
    <w:name w:val="Char"/>
    <w:basedOn w:val="1"/>
    <w:qFormat/>
    <w:uiPriority w:val="0"/>
    <w:rPr>
      <w:rFonts w:ascii="Tahoma" w:hAnsi="Tahoma" w:eastAsia="宋体" w:cs="Times New Roman"/>
      <w:sz w:val="24"/>
      <w:szCs w:val="20"/>
    </w:rPr>
  </w:style>
  <w:style w:type="paragraph" w:customStyle="1" w:styleId="3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33">
    <w:name w:val="标题 1 字符"/>
    <w:basedOn w:val="18"/>
    <w:link w:val="2"/>
    <w:qFormat/>
    <w:uiPriority w:val="0"/>
    <w:rPr>
      <w:rFonts w:ascii="Times New Roman" w:hAnsi="Times New Roman" w:eastAsia="宋体" w:cs="Arial"/>
      <w:b/>
      <w:bCs/>
      <w:w w:val="95"/>
      <w:kern w:val="32"/>
      <w:sz w:val="44"/>
      <w:szCs w:val="44"/>
    </w:rPr>
  </w:style>
  <w:style w:type="paragraph" w:customStyle="1" w:styleId="34">
    <w:name w:val="Char1"/>
    <w:basedOn w:val="1"/>
    <w:qFormat/>
    <w:uiPriority w:val="0"/>
    <w:rPr>
      <w:rFonts w:ascii="Tahoma" w:hAnsi="Tahoma" w:eastAsia="宋体" w:cs="Times New Roman"/>
      <w:sz w:val="24"/>
      <w:szCs w:val="20"/>
    </w:rPr>
  </w:style>
  <w:style w:type="character" w:customStyle="1" w:styleId="35">
    <w:name w:val="批注文字 字符"/>
    <w:basedOn w:val="18"/>
    <w:link w:val="7"/>
    <w:semiHidden/>
    <w:qFormat/>
    <w:uiPriority w:val="99"/>
  </w:style>
  <w:style w:type="character" w:customStyle="1" w:styleId="36">
    <w:name w:val="批注主题 字符"/>
    <w:basedOn w:val="35"/>
    <w:link w:val="6"/>
    <w:semiHidden/>
    <w:qFormat/>
    <w:uiPriority w:val="99"/>
    <w:rPr>
      <w:b/>
      <w:bCs/>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标题 2 字符"/>
    <w:basedOn w:val="18"/>
    <w:link w:val="3"/>
    <w:qFormat/>
    <w:uiPriority w:val="9"/>
    <w:rPr>
      <w:rFonts w:ascii="Times New Roman" w:hAnsi="Times New Roman" w:eastAsia="宋体" w:cstheme="majorBidi"/>
      <w:b/>
      <w:bCs/>
      <w:sz w:val="44"/>
      <w:szCs w:val="32"/>
    </w:rPr>
  </w:style>
  <w:style w:type="character" w:customStyle="1" w:styleId="39">
    <w:name w:val="标题 3 字符"/>
    <w:basedOn w:val="18"/>
    <w:link w:val="4"/>
    <w:qFormat/>
    <w:uiPriority w:val="9"/>
    <w:rPr>
      <w:rFonts w:ascii="Times New Roman" w:hAnsi="Times New Roman" w:eastAsia="黑体"/>
      <w:b/>
      <w:bCs/>
      <w:sz w:val="32"/>
      <w:szCs w:val="32"/>
    </w:rPr>
  </w:style>
  <w:style w:type="paragraph" w:customStyle="1" w:styleId="40">
    <w:name w:val="TOC Heading"/>
    <w:basedOn w:val="2"/>
    <w:next w:val="1"/>
    <w:unhideWhenUsed/>
    <w:qFormat/>
    <w:uiPriority w:val="39"/>
    <w:pPr>
      <w:keepNext/>
      <w:keepLines/>
      <w:widowControl/>
      <w:spacing w:beforeLines="0" w:afterLines="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41">
    <w:name w:val="标题 4 字符"/>
    <w:basedOn w:val="18"/>
    <w:link w:val="5"/>
    <w:qFormat/>
    <w:uiPriority w:val="9"/>
    <w:rPr>
      <w:rFonts w:eastAsia="楷体" w:asciiTheme="majorHAnsi" w:hAnsiTheme="majorHAnsi" w:cstheme="majorBidi"/>
      <w:bCs/>
      <w:sz w:val="32"/>
      <w:szCs w:val="28"/>
    </w:rPr>
  </w:style>
  <w:style w:type="character" w:customStyle="1" w:styleId="42">
    <w:name w:val="尾注文本 字符"/>
    <w:basedOn w:val="18"/>
    <w:link w:val="11"/>
    <w:semiHidden/>
    <w:qFormat/>
    <w:uiPriority w:val="99"/>
  </w:style>
  <w:style w:type="character" w:customStyle="1" w:styleId="43">
    <w:name w:val="fontstyle01"/>
    <w:basedOn w:val="18"/>
    <w:qFormat/>
    <w:uiPriority w:val="0"/>
    <w:rPr>
      <w:rFonts w:hint="default" w:ascii="FZKTK--GBK1-0" w:hAnsi="FZKTK--GBK1-0"/>
      <w:color w:val="000000"/>
      <w:sz w:val="20"/>
      <w:szCs w:val="20"/>
    </w:rPr>
  </w:style>
  <w:style w:type="character" w:customStyle="1" w:styleId="44">
    <w:name w:val="fontstyle11"/>
    <w:basedOn w:val="18"/>
    <w:qFormat/>
    <w:uiPriority w:val="0"/>
    <w:rPr>
      <w:rFonts w:hint="default" w:ascii="E-B6" w:hAnsi="E-B6"/>
      <w:color w:val="000000"/>
      <w:sz w:val="20"/>
      <w:szCs w:val="20"/>
    </w:rPr>
  </w:style>
  <w:style w:type="character" w:customStyle="1" w:styleId="45">
    <w:name w:val="fontstyle31"/>
    <w:basedOn w:val="18"/>
    <w:qFormat/>
    <w:uiPriority w:val="0"/>
    <w:rPr>
      <w:rFonts w:hint="default" w:ascii="E-BZ" w:hAnsi="E-BZ"/>
      <w:color w:val="000000"/>
      <w:sz w:val="20"/>
      <w:szCs w:val="20"/>
    </w:rPr>
  </w:style>
  <w:style w:type="paragraph" w:customStyle="1" w:styleId="46">
    <w:name w:val="headingancho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h2"/>
    <w:basedOn w:val="18"/>
    <w:qFormat/>
    <w:uiPriority w:val="0"/>
  </w:style>
  <w:style w:type="character" w:customStyle="1" w:styleId="48">
    <w:name w:val="headingendmark"/>
    <w:basedOn w:val="18"/>
    <w:qFormat/>
    <w:uiPriority w:val="0"/>
  </w:style>
  <w:style w:type="paragraph" w:customStyle="1" w:styleId="49">
    <w:name w:val="bulletindent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0">
    <w:name w:val="glyph"/>
    <w:basedOn w:val="18"/>
    <w:qFormat/>
    <w:uiPriority w:val="0"/>
  </w:style>
  <w:style w:type="character" w:customStyle="1" w:styleId="51">
    <w:name w:val="nowrap"/>
    <w:basedOn w:val="18"/>
    <w:qFormat/>
    <w:uiPriority w:val="0"/>
  </w:style>
  <w:style w:type="table" w:customStyle="1" w:styleId="52">
    <w:name w:val="网格表 1 浅色 - 着色 61"/>
    <w:basedOn w:val="24"/>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53">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2817</Words>
  <Characters>16060</Characters>
  <Lines>133</Lines>
  <Paragraphs>37</Paragraphs>
  <TotalTime>101</TotalTime>
  <ScaleCrop>false</ScaleCrop>
  <LinksUpToDate>false</LinksUpToDate>
  <CharactersWithSpaces>18840</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2020-08-12T00:55:00Z</dcterms:created>
  <dc:creator>LHB</dc:creator>
  <cp:lastModifiedBy>医政医管局,医疗管理处,张文宝</cp:lastModifiedBy>
  <cp:lastPrinted>2019-01-26T22:59:00Z</cp:lastPrinted>
  <dcterms:modified xsi:type="dcterms:W3CDTF">2020-11-25T14:11:10Z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