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72" w:rsidRPr="00686681" w:rsidRDefault="006A3F72" w:rsidP="006A3F72">
      <w:pPr>
        <w:rPr>
          <w:rFonts w:ascii="黑体" w:eastAsia="黑体" w:hAnsi="黑体"/>
          <w:sz w:val="32"/>
          <w:szCs w:val="32"/>
        </w:rPr>
      </w:pPr>
      <w:r w:rsidRPr="00686681">
        <w:rPr>
          <w:rFonts w:ascii="黑体" w:eastAsia="黑体" w:hAnsi="黑体" w:hint="eastAsia"/>
          <w:sz w:val="32"/>
          <w:szCs w:val="32"/>
        </w:rPr>
        <w:t>附件</w:t>
      </w:r>
      <w:r w:rsidR="00181207">
        <w:rPr>
          <w:rFonts w:ascii="黑体" w:eastAsia="黑体" w:hAnsi="黑体" w:hint="eastAsia"/>
          <w:sz w:val="32"/>
          <w:szCs w:val="32"/>
        </w:rPr>
        <w:t>1</w:t>
      </w:r>
    </w:p>
    <w:p w:rsidR="006A3F72" w:rsidRPr="00511557" w:rsidRDefault="006A3F72" w:rsidP="006A3F72">
      <w:pPr>
        <w:jc w:val="center"/>
        <w:rPr>
          <w:rFonts w:ascii="宋体" w:hAnsi="宋体"/>
          <w:b/>
          <w:sz w:val="44"/>
          <w:szCs w:val="44"/>
        </w:rPr>
      </w:pPr>
      <w:r w:rsidRPr="00511557">
        <w:rPr>
          <w:rFonts w:ascii="宋体" w:hAnsi="宋体" w:hint="eastAsia"/>
          <w:b/>
          <w:sz w:val="44"/>
          <w:szCs w:val="44"/>
        </w:rPr>
        <w:t>抗菌药物临床应用管理</w:t>
      </w:r>
      <w:r w:rsidR="00755F20">
        <w:rPr>
          <w:rFonts w:ascii="宋体" w:hAnsi="宋体" w:hint="eastAsia"/>
          <w:b/>
          <w:sz w:val="44"/>
          <w:szCs w:val="44"/>
        </w:rPr>
        <w:t>评价</w:t>
      </w:r>
      <w:bookmarkStart w:id="0" w:name="_GoBack"/>
      <w:bookmarkEnd w:id="0"/>
      <w:r w:rsidRPr="00511557">
        <w:rPr>
          <w:rFonts w:ascii="宋体" w:hAnsi="宋体" w:hint="eastAsia"/>
          <w:b/>
          <w:sz w:val="44"/>
          <w:szCs w:val="44"/>
        </w:rPr>
        <w:t>指标及要求</w:t>
      </w:r>
    </w:p>
    <w:p w:rsidR="006A3F72" w:rsidRPr="00511557" w:rsidRDefault="006A3F72" w:rsidP="006A3F72">
      <w:pPr>
        <w:jc w:val="center"/>
        <w:rPr>
          <w:rFonts w:ascii="宋体" w:hAnsi="宋体"/>
          <w:b/>
          <w:sz w:val="44"/>
          <w:szCs w:val="44"/>
        </w:rPr>
      </w:pPr>
    </w:p>
    <w:tbl>
      <w:tblPr>
        <w:tblW w:w="1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80"/>
        <w:gridCol w:w="1167"/>
        <w:gridCol w:w="3180"/>
        <w:gridCol w:w="1276"/>
        <w:gridCol w:w="1439"/>
        <w:gridCol w:w="636"/>
        <w:gridCol w:w="636"/>
        <w:gridCol w:w="691"/>
        <w:gridCol w:w="850"/>
        <w:gridCol w:w="1134"/>
        <w:gridCol w:w="851"/>
        <w:gridCol w:w="1086"/>
        <w:gridCol w:w="236"/>
      </w:tblGrid>
      <w:tr w:rsidR="006A3F72" w:rsidRPr="00112A53" w:rsidTr="00AB6799">
        <w:trPr>
          <w:gridAfter w:val="1"/>
          <w:wAfter w:w="236" w:type="dxa"/>
          <w:trHeight w:val="38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A3F72" w:rsidRPr="00112A53" w:rsidRDefault="006A3F72" w:rsidP="00565B32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指标</w:t>
            </w:r>
          </w:p>
        </w:tc>
        <w:tc>
          <w:tcPr>
            <w:tcW w:w="5895" w:type="dxa"/>
            <w:gridSpan w:val="3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公式（或释义）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要求</w:t>
            </w:r>
          </w:p>
        </w:tc>
      </w:tr>
      <w:tr w:rsidR="000E36DF" w:rsidRPr="00112A53" w:rsidTr="000E36DF">
        <w:trPr>
          <w:trHeight w:val="1463"/>
        </w:trPr>
        <w:tc>
          <w:tcPr>
            <w:tcW w:w="426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三级综合医院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二级综合医院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口腔医院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肿瘤医院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儿童医院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精神病医院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0E36DF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妇产医院（妇幼保健院）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0E36DF">
        <w:trPr>
          <w:trHeight w:val="100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</w:tc>
        <w:tc>
          <w:tcPr>
            <w:tcW w:w="1747" w:type="dxa"/>
            <w:gridSpan w:val="2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抗菌药物品种</w:t>
            </w:r>
            <w:r>
              <w:rPr>
                <w:rFonts w:ascii="仿宋_GB2312" w:eastAsia="仿宋_GB2312" w:hAnsi="宋体" w:hint="eastAsia"/>
                <w:szCs w:val="21"/>
              </w:rPr>
              <w:t>、品</w:t>
            </w:r>
            <w:proofErr w:type="gramStart"/>
            <w:r w:rsidR="00EC5A2E"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数量要求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112A53" w:rsidRDefault="000E36DF" w:rsidP="00A64A6E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抗菌药物品种数=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本医疗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机构</w:t>
            </w:r>
            <w:r w:rsidR="0098420C">
              <w:rPr>
                <w:rFonts w:ascii="仿宋_GB2312" w:eastAsia="仿宋_GB2312" w:hAnsi="宋体" w:hint="eastAsia"/>
                <w:szCs w:val="21"/>
              </w:rPr>
              <w:t>药品</w:t>
            </w:r>
            <w:r w:rsidRPr="00112A53">
              <w:rPr>
                <w:rFonts w:ascii="仿宋_GB2312" w:eastAsia="仿宋_GB2312" w:hAnsi="宋体" w:hint="eastAsia"/>
                <w:szCs w:val="21"/>
              </w:rPr>
              <w:t>采购</w:t>
            </w:r>
            <w:r w:rsidR="0098420C">
              <w:rPr>
                <w:rFonts w:ascii="仿宋_GB2312" w:eastAsia="仿宋_GB2312" w:hAnsi="宋体" w:hint="eastAsia"/>
                <w:szCs w:val="21"/>
              </w:rPr>
              <w:t>目录中</w:t>
            </w:r>
            <w:r w:rsidRPr="00112A53">
              <w:rPr>
                <w:rFonts w:ascii="仿宋_GB2312" w:eastAsia="仿宋_GB2312" w:hAnsi="宋体" w:hint="eastAsia"/>
                <w:szCs w:val="21"/>
              </w:rPr>
              <w:t>抗菌药物品种数</w:t>
            </w:r>
            <w:r w:rsidR="00A64A6E">
              <w:rPr>
                <w:rFonts w:ascii="仿宋_GB2312" w:eastAsia="仿宋_GB2312" w:hAnsi="宋体" w:hint="eastAsia"/>
                <w:szCs w:val="21"/>
              </w:rPr>
              <w:t>,</w:t>
            </w:r>
            <w:r w:rsidR="00A30693" w:rsidRPr="00A30693">
              <w:rPr>
                <w:rFonts w:ascii="仿宋_GB2312" w:eastAsia="仿宋_GB2312" w:hAnsi="宋体" w:hint="eastAsia"/>
                <w:szCs w:val="21"/>
              </w:rPr>
              <w:t>复方磺胺甲</w:t>
            </w:r>
            <w:r w:rsidR="00A30693" w:rsidRPr="00A30693">
              <w:rPr>
                <w:rFonts w:ascii="宋体" w:hAnsi="宋体" w:cs="宋体" w:hint="eastAsia"/>
                <w:szCs w:val="21"/>
              </w:rPr>
              <w:t>噁</w:t>
            </w:r>
            <w:proofErr w:type="gramStart"/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唑</w:t>
            </w:r>
            <w:proofErr w:type="gramEnd"/>
            <w:r w:rsidR="00A64A6E"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磺胺甲</w:t>
            </w:r>
            <w:r w:rsidR="00A30693" w:rsidRPr="00A30693">
              <w:rPr>
                <w:rFonts w:ascii="宋体" w:hAnsi="宋体" w:cs="宋体" w:hint="eastAsia"/>
                <w:szCs w:val="21"/>
              </w:rPr>
              <w:t>噁</w:t>
            </w:r>
            <w:proofErr w:type="gramStart"/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唑</w:t>
            </w:r>
            <w:proofErr w:type="gramEnd"/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与甲氧</w:t>
            </w:r>
            <w:proofErr w:type="gramStart"/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苄啶</w:t>
            </w:r>
            <w:proofErr w:type="gramEnd"/>
            <w:r w:rsidR="00A30693" w:rsidRPr="00A30693">
              <w:rPr>
                <w:rFonts w:ascii="仿宋_GB2312" w:eastAsia="仿宋_GB2312" w:hAnsi="仿宋_GB2312" w:cs="仿宋_GB2312" w:hint="eastAsia"/>
                <w:szCs w:val="21"/>
              </w:rPr>
              <w:t>，</w:t>
            </w:r>
            <w:r w:rsidR="00A30693" w:rsidRPr="00A30693">
              <w:rPr>
                <w:rFonts w:ascii="仿宋_GB2312" w:eastAsia="仿宋_GB2312" w:hAnsi="宋体" w:hint="eastAsia"/>
                <w:szCs w:val="21"/>
              </w:rPr>
              <w:t>SMZ/TMP）</w:t>
            </w:r>
            <w:r w:rsidR="00A64A6E">
              <w:rPr>
                <w:rFonts w:ascii="仿宋_GB2312" w:eastAsia="仿宋_GB2312" w:hAnsi="宋体" w:hint="eastAsia"/>
                <w:szCs w:val="21"/>
              </w:rPr>
              <w:t>、</w:t>
            </w:r>
            <w:r w:rsidR="00A30693" w:rsidRPr="00A30693">
              <w:rPr>
                <w:rFonts w:ascii="仿宋_GB2312" w:eastAsia="仿宋_GB2312" w:hAnsi="宋体" w:hint="eastAsia"/>
                <w:szCs w:val="21"/>
              </w:rPr>
              <w:t>呋喃妥因、青霉素G、</w:t>
            </w:r>
            <w:proofErr w:type="gramStart"/>
            <w:r w:rsidR="002F4E95">
              <w:rPr>
                <w:rFonts w:ascii="仿宋_GB2312" w:eastAsia="仿宋_GB2312" w:hAnsi="宋体" w:hint="eastAsia"/>
                <w:szCs w:val="21"/>
              </w:rPr>
              <w:t>苄</w:t>
            </w:r>
            <w:proofErr w:type="gramEnd"/>
            <w:r w:rsidR="002F4E95">
              <w:rPr>
                <w:rFonts w:ascii="仿宋_GB2312" w:eastAsia="仿宋_GB2312" w:hAnsi="宋体" w:hint="eastAsia"/>
                <w:szCs w:val="21"/>
              </w:rPr>
              <w:t>星青霉素、</w:t>
            </w:r>
            <w:r w:rsidR="0098420C">
              <w:rPr>
                <w:rFonts w:ascii="仿宋_GB2312" w:eastAsia="仿宋_GB2312" w:hAnsi="宋体" w:hint="eastAsia"/>
                <w:szCs w:val="21"/>
              </w:rPr>
              <w:t>5-氟胞嘧啶</w:t>
            </w:r>
            <w:r w:rsidR="00A30693" w:rsidRPr="00A30693">
              <w:rPr>
                <w:rFonts w:ascii="仿宋_GB2312" w:eastAsia="仿宋_GB2312" w:hAnsi="宋体" w:hint="eastAsia"/>
                <w:szCs w:val="21"/>
              </w:rPr>
              <w:t>可不计在品种数内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≤50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≤35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≤10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≤40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693" w:rsidRPr="00112A53" w:rsidTr="00A30693">
        <w:trPr>
          <w:trHeight w:val="270"/>
        </w:trPr>
        <w:tc>
          <w:tcPr>
            <w:tcW w:w="426" w:type="dxa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80" w:type="dxa"/>
            <w:vMerge w:val="restart"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同一通用名称</w:t>
            </w:r>
            <w:r>
              <w:rPr>
                <w:rFonts w:ascii="仿宋_GB2312" w:eastAsia="仿宋_GB2312" w:hAnsi="宋体" w:hint="eastAsia"/>
                <w:szCs w:val="21"/>
              </w:rPr>
              <w:t>抗菌药物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注射剂型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A30693" w:rsidRPr="00112A53" w:rsidRDefault="00A30693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≤2种，具有相似或相同药理学特征的抗菌药物不得重复采购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693" w:rsidRPr="00112A53" w:rsidTr="00A30693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180" w:type="dxa"/>
            <w:vMerge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口服剂型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A30693" w:rsidRPr="00112A53" w:rsidRDefault="000A7006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0A7006">
              <w:rPr>
                <w:rFonts w:ascii="仿宋_GB2312" w:eastAsia="仿宋_GB2312" w:hAnsi="宋体" w:hint="eastAsia"/>
                <w:szCs w:val="21"/>
              </w:rPr>
              <w:t>≤2种，具有相似或相同药理学特征的抗菌药物不得重复采购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285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112A53" w:rsidRDefault="006A3F72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头霉素类抗菌药物品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≤2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693" w:rsidRPr="00112A53" w:rsidTr="00A30693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56" w:type="dxa"/>
            <w:gridSpan w:val="2"/>
            <w:vMerge w:val="restart"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三代及四代头孢菌素（含复方制剂）类抗菌药物</w:t>
            </w:r>
            <w:r>
              <w:rPr>
                <w:rFonts w:ascii="仿宋_GB2312" w:eastAsia="仿宋_GB2312" w:hAnsi="宋体" w:hint="eastAsia"/>
                <w:szCs w:val="21"/>
              </w:rPr>
              <w:t>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1439" w:type="dxa"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  <w:r w:rsidRPr="00A30693">
              <w:rPr>
                <w:rFonts w:ascii="仿宋_GB2312" w:eastAsia="仿宋_GB2312" w:hAnsi="宋体" w:hint="eastAsia"/>
                <w:szCs w:val="21"/>
              </w:rPr>
              <w:t>口服剂型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A30693" w:rsidRPr="00112A53" w:rsidRDefault="00A30693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≤5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A30693" w:rsidRPr="00112A53" w:rsidTr="00A30693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4456" w:type="dxa"/>
            <w:gridSpan w:val="2"/>
            <w:vMerge/>
            <w:shd w:val="clear" w:color="auto" w:fill="auto"/>
            <w:vAlign w:val="center"/>
          </w:tcPr>
          <w:p w:rsidR="00A30693" w:rsidRPr="00112A53" w:rsidRDefault="00A30693" w:rsidP="00A30693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注射剂型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A30693" w:rsidRPr="00112A53" w:rsidRDefault="00A30693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≤8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30693" w:rsidRPr="00112A53" w:rsidRDefault="00A30693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碳氢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霉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烯类抗菌药物注射剂型</w:t>
            </w:r>
            <w:r>
              <w:rPr>
                <w:rFonts w:ascii="仿宋_GB2312" w:eastAsia="仿宋_GB2312" w:hAnsi="宋体" w:hint="eastAsia"/>
                <w:szCs w:val="21"/>
              </w:rPr>
              <w:t>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≤3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285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氟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喹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诺酮类抗菌药物口服剂型</w:t>
            </w:r>
            <w:r>
              <w:rPr>
                <w:rFonts w:ascii="仿宋_GB2312" w:eastAsia="仿宋_GB2312" w:hAnsi="宋体" w:hint="eastAsia"/>
                <w:szCs w:val="21"/>
              </w:rPr>
              <w:t>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≤4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112A53" w:rsidRDefault="006A3F72" w:rsidP="00A30693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氟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喹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诺酮类抗菌药物</w:t>
            </w:r>
            <w:r w:rsidR="00A30693">
              <w:rPr>
                <w:rFonts w:ascii="仿宋_GB2312" w:eastAsia="仿宋_GB2312" w:hAnsi="宋体" w:hint="eastAsia"/>
                <w:szCs w:val="21"/>
              </w:rPr>
              <w:t>注射剂</w:t>
            </w:r>
            <w:r w:rsidRPr="00112A53">
              <w:rPr>
                <w:rFonts w:ascii="仿宋_GB2312" w:eastAsia="仿宋_GB2312" w:hAnsi="宋体" w:hint="eastAsia"/>
                <w:szCs w:val="21"/>
              </w:rPr>
              <w:t>型</w:t>
            </w:r>
            <w:r>
              <w:rPr>
                <w:rFonts w:ascii="仿宋_GB2312" w:eastAsia="仿宋_GB2312" w:hAnsi="宋体" w:hint="eastAsia"/>
                <w:szCs w:val="21"/>
              </w:rPr>
              <w:t>品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规</w:t>
            </w:r>
            <w:proofErr w:type="gramEnd"/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≤4</w:t>
            </w:r>
            <w:r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330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747" w:type="dxa"/>
            <w:gridSpan w:val="2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9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深部抗真菌类药物品种</w:t>
            </w:r>
          </w:p>
        </w:tc>
        <w:tc>
          <w:tcPr>
            <w:tcW w:w="5884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A3F72" w:rsidRPr="00112A53" w:rsidRDefault="006A3F72" w:rsidP="0043706D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43706D">
              <w:rPr>
                <w:rFonts w:ascii="仿宋_GB2312" w:eastAsia="仿宋_GB2312" w:hAnsi="宋体" w:hint="eastAsia"/>
                <w:szCs w:val="21"/>
              </w:rPr>
              <w:t>5</w:t>
            </w:r>
            <w:r w:rsidRPr="00112A53">
              <w:rPr>
                <w:rFonts w:ascii="仿宋_GB2312" w:eastAsia="仿宋_GB2312" w:hAnsi="宋体" w:hint="eastAsia"/>
                <w:szCs w:val="21"/>
              </w:rPr>
              <w:t>个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1553"/>
        </w:trPr>
        <w:tc>
          <w:tcPr>
            <w:tcW w:w="426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2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6A3F72" w:rsidRPr="00112A53" w:rsidRDefault="0098420C" w:rsidP="0098420C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特殊使用级</w:t>
            </w:r>
            <w:r w:rsidR="00C745C4" w:rsidRPr="00112A53">
              <w:rPr>
                <w:rFonts w:ascii="仿宋_GB2312" w:eastAsia="仿宋_GB2312" w:hAnsi="宋体" w:hint="eastAsia"/>
                <w:szCs w:val="21"/>
              </w:rPr>
              <w:t>抗菌药物</w:t>
            </w:r>
            <w:r w:rsidR="006A3F72" w:rsidRPr="00112A53">
              <w:rPr>
                <w:rFonts w:ascii="仿宋_GB2312" w:eastAsia="仿宋_GB2312" w:hAnsi="宋体" w:hint="eastAsia"/>
                <w:szCs w:val="21"/>
              </w:rPr>
              <w:t>使用量占比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0D4FBA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特殊使用级抗菌药物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占抗菌药物使用量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百分率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特殊使用级抗菌药物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使用量（累计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DDD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数）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使用量（累计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DDD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数）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0E36DF">
        <w:trPr>
          <w:trHeight w:val="58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抗菌药物使用率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门诊患者抗菌药物使用率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门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诊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患者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使用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抗菌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药物的百分率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门诊患者使用抗菌药物人次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同期门诊总人次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25%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5%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0E36DF">
        <w:trPr>
          <w:trHeight w:val="525"/>
        </w:trPr>
        <w:tc>
          <w:tcPr>
            <w:tcW w:w="426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急诊患者抗菌药物使用率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ParaPr>
                <m:jc m:val="center"/>
              </m:oMathParaPr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急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诊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患者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使用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抗菌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药物的百分率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急诊患者使用抗菌药物人次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同期急诊总人次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50%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50%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10%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0E36DF">
        <w:trPr>
          <w:trHeight w:val="480"/>
        </w:trPr>
        <w:tc>
          <w:tcPr>
            <w:tcW w:w="426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住院患者抗菌药物使用率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444CA7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住院患者使用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抗菌药物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的百分率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出院患者使用抗菌药物总例数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同期出院总例数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60%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60%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70%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60%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5%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60%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0E36DF">
        <w:trPr>
          <w:gridAfter w:val="1"/>
          <w:wAfter w:w="236" w:type="dxa"/>
          <w:trHeight w:val="1955"/>
        </w:trPr>
        <w:tc>
          <w:tcPr>
            <w:tcW w:w="42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0E36DF" w:rsidRPr="00112A53" w:rsidRDefault="00E9142D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住院患者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抗菌药物使用强度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抗菌药物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使用强度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住院患者抗菌药物消耗量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（累计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DDD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数）</m:t>
                        </m:r>
                      </m:e>
                    </m:eqAr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同期收治患者人天数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</m:t>
                </m:r>
              </m:oMath>
            </m:oMathPara>
          </w:p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注：同期收治患者人天数＝同期出院患者人数</w:t>
            </w:r>
            <m:oMath>
              <m:r>
                <m:rPr>
                  <m:sty m:val="p"/>
                </m:rPr>
                <w:rPr>
                  <w:rFonts w:ascii="Cambria Math" w:eastAsia="仿宋_GB2312" w:hAnsi="Cambria Math" w:hint="eastAsia"/>
                  <w:szCs w:val="21"/>
                </w:rPr>
                <m:t>×</m:t>
              </m:r>
            </m:oMath>
            <w:r w:rsidRPr="00112A53">
              <w:rPr>
                <w:rFonts w:ascii="仿宋_GB2312" w:eastAsia="仿宋_GB2312" w:hAnsi="宋体" w:hint="eastAsia"/>
                <w:szCs w:val="21"/>
              </w:rPr>
              <w:t>同期出院患者平均住院天数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30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20DDDs（按照成人规定日剂量标准计算）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5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5A1A9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≤</w:t>
            </w:r>
            <w:r w:rsidR="000E36DF" w:rsidRPr="00112A53">
              <w:rPr>
                <w:rFonts w:ascii="仿宋_GB2312" w:eastAsia="仿宋_GB2312" w:hAnsi="宋体" w:hint="eastAsia"/>
                <w:szCs w:val="21"/>
              </w:rPr>
              <w:t>40</w:t>
            </w:r>
          </w:p>
          <w:p w:rsidR="000E36DF" w:rsidRPr="00112A53" w:rsidRDefault="000E36DF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DDDs</w:t>
            </w:r>
          </w:p>
        </w:tc>
      </w:tr>
      <w:tr w:rsidR="006A3F72" w:rsidRPr="00112A53" w:rsidTr="00AB6799">
        <w:trPr>
          <w:gridAfter w:val="1"/>
          <w:wAfter w:w="236" w:type="dxa"/>
          <w:trHeight w:val="480"/>
        </w:trPr>
        <w:tc>
          <w:tcPr>
            <w:tcW w:w="426" w:type="dxa"/>
            <w:tcBorders>
              <w:top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</w:t>
            </w:r>
          </w:p>
        </w:tc>
        <w:tc>
          <w:tcPr>
            <w:tcW w:w="174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I类切口手术预防用抗菌药物比例</w:t>
            </w:r>
          </w:p>
        </w:tc>
        <w:tc>
          <w:tcPr>
            <w:tcW w:w="589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6A3F72" w:rsidRPr="006A3F72" w:rsidRDefault="008578F1" w:rsidP="00A0706D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类切口手术预防用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抗菌药物百分率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类切口手术预防用药例数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类切口手术总例数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I类切口手术患者预防使用抗菌药物比例不超过30%，原则上不联合预防使用抗菌药物。其中，腹股沟疝修补术（包括补片修补术）、甲状腺疾病手术、乳腺疾病手术、关节镜检查手术、颈动脉内膜剥脱手术、颅骨肿物切除手术和经血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管途径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介入诊断手术患者原则上不预防使用抗菌药物</w:t>
            </w:r>
          </w:p>
        </w:tc>
      </w:tr>
      <w:tr w:rsidR="006A3F72" w:rsidRPr="00112A53" w:rsidTr="00AB6799">
        <w:trPr>
          <w:trHeight w:val="151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6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I类切口手术预防使用抗菌药物合理情况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Ⅰ类切口手术预防用抗菌药物疗程≤24小时的百分率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AA6FDD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类切口手术预防用药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疗程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≤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24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小时百分率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Ⅰ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类切口手术预防用药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≤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24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小时的例数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Ⅰ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类切口手术预防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用药总例数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/>
                    <w:szCs w:val="21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43706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391F89">
        <w:trPr>
          <w:trHeight w:val="1995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Ⅰ类切口手术预防用抗菌药物时机合理率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5D6D3D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类切口手术预防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用药时机合理率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Ⅰ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类切口手术前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0.5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1.0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小时内给药例数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类切口手术预防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用药总例数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/>
                    <w:szCs w:val="21"/>
                  </w:rPr>
                  <m:t>×100%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CA12C2" w:rsidP="00391F89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100%</w: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AB6799">
        <w:trPr>
          <w:trHeight w:val="2355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Ⅰ类切口手术预防用抗菌药物品种选择合理率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3D6E72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Ⅰ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类切口手术预防用药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品种选择适宜的百分率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Ⅰ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类切口手术预防用药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品种选择符合指南的例数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类切口手术预防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用药总例数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/>
                    <w:szCs w:val="21"/>
                  </w:rPr>
                  <m:t>×100%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D51209">
        <w:trPr>
          <w:trHeight w:val="2355"/>
        </w:trPr>
        <w:tc>
          <w:tcPr>
            <w:tcW w:w="42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7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住院患者抗菌药物静脉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输液占</w:t>
            </w:r>
            <w:proofErr w:type="gramEnd"/>
            <w:r w:rsidRPr="00112A53">
              <w:rPr>
                <w:rFonts w:ascii="仿宋_GB2312" w:eastAsia="仿宋_GB2312" w:hAnsi="宋体" w:hint="eastAsia"/>
                <w:szCs w:val="21"/>
              </w:rPr>
              <w:t>比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 w:hint="eastAsia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住院患者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抗菌药物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静脉输液</m:t>
                        </m:r>
                      </m:e>
                    </m:eqAr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占静脉输液百分率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住院患者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静脉输液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 w:hint="eastAsia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住院患者静脉输液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总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例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36DF" w:rsidRPr="00112A53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49.1pt;margin-top:-59.95pt;width:186.95pt;height:23.5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" strokecolor="white">
                  <v:textbox style="mso-fit-shape-to-text:t">
                    <w:txbxContent>
                      <w:p w:rsidR="00C3020E" w:rsidRPr="00C3020E" w:rsidRDefault="00C3020E">
                        <w:pPr>
                          <w:rPr>
                            <w:color w:val="D0FFE8" w:themeColor="background1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D51209">
        <w:trPr>
          <w:trHeight w:val="70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8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静脉输液使用率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门诊患者静脉输液使用率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门诊患者静脉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输液使用率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门诊患者静脉输液使用人次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同期门诊患者总人次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D51209">
        <w:trPr>
          <w:trHeight w:val="765"/>
        </w:trPr>
        <w:tc>
          <w:tcPr>
            <w:tcW w:w="426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5621B4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急诊患者静脉</w:t>
            </w:r>
            <w:r w:rsidR="005621B4">
              <w:rPr>
                <w:rFonts w:ascii="仿宋_GB2312" w:eastAsia="仿宋_GB2312" w:hAnsi="宋体" w:hint="eastAsia"/>
                <w:szCs w:val="21"/>
              </w:rPr>
              <w:t>输液</w:t>
            </w:r>
            <w:r w:rsidRPr="00112A53">
              <w:rPr>
                <w:rFonts w:ascii="仿宋_GB2312" w:eastAsia="仿宋_GB2312" w:hAnsi="宋体" w:hint="eastAsia"/>
                <w:szCs w:val="21"/>
              </w:rPr>
              <w:t>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急诊患者静脉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输液使用率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急诊患者静脉输液使用人次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同期急诊患者总人次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D51209">
        <w:trPr>
          <w:trHeight w:val="870"/>
        </w:trPr>
        <w:tc>
          <w:tcPr>
            <w:tcW w:w="426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住院患者静脉输液使用率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AB6799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住院患者静脉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输液使用率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住院患者静脉输液使用例数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同期住院患者总例数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E36DF" w:rsidRPr="00112A53" w:rsidTr="00D51209">
        <w:trPr>
          <w:trHeight w:val="1868"/>
        </w:trPr>
        <w:tc>
          <w:tcPr>
            <w:tcW w:w="42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9</w:t>
            </w:r>
          </w:p>
        </w:tc>
        <w:tc>
          <w:tcPr>
            <w:tcW w:w="1747" w:type="dxa"/>
            <w:gridSpan w:val="2"/>
            <w:shd w:val="clear" w:color="auto" w:fill="auto"/>
            <w:vAlign w:val="center"/>
          </w:tcPr>
          <w:p w:rsidR="000E36DF" w:rsidRPr="000B5047" w:rsidRDefault="000E36DF" w:rsidP="00C3020E">
            <w:pPr>
              <w:rPr>
                <w:rFonts w:ascii="仿宋_GB2312" w:eastAsia="仿宋_GB2312" w:hAnsi="宋体"/>
                <w:szCs w:val="21"/>
              </w:rPr>
            </w:pPr>
            <w:r w:rsidRPr="00135F68">
              <w:rPr>
                <w:rFonts w:ascii="仿宋_GB2312" w:eastAsia="仿宋_GB2312" w:hAnsi="宋体" w:hint="eastAsia"/>
                <w:szCs w:val="21"/>
              </w:rPr>
              <w:t>住院患者静脉输液</w:t>
            </w:r>
            <w:r w:rsidR="00C3020E">
              <w:rPr>
                <w:rFonts w:ascii="仿宋_GB2312" w:eastAsia="仿宋_GB2312" w:hAnsi="宋体" w:hint="eastAsia"/>
                <w:szCs w:val="21"/>
              </w:rPr>
              <w:t>平均</w:t>
            </w:r>
            <w:r w:rsidR="00704DB6">
              <w:rPr>
                <w:rFonts w:ascii="仿宋_GB2312" w:eastAsia="仿宋_GB2312" w:hAnsi="宋体" w:hint="eastAsia"/>
                <w:szCs w:val="21"/>
              </w:rPr>
              <w:t>每</w:t>
            </w:r>
            <w:r w:rsidR="008C53C1">
              <w:rPr>
                <w:rFonts w:ascii="仿宋_GB2312" w:eastAsia="仿宋_GB2312" w:hAnsi="宋体" w:hint="eastAsia"/>
                <w:szCs w:val="21"/>
              </w:rPr>
              <w:t>床日</w:t>
            </w:r>
            <w:r w:rsidRPr="00135F68">
              <w:rPr>
                <w:rFonts w:ascii="仿宋_GB2312" w:eastAsia="仿宋_GB2312" w:hAnsi="宋体" w:hint="eastAsia"/>
                <w:szCs w:val="21"/>
              </w:rPr>
              <w:t>使用</w:t>
            </w:r>
            <w:r w:rsidR="003C4E1F">
              <w:rPr>
                <w:rFonts w:ascii="仿宋_GB2312" w:eastAsia="仿宋_GB2312" w:hAnsi="宋体" w:hint="eastAsia"/>
                <w:szCs w:val="21"/>
              </w:rPr>
              <w:t>袋（瓶）数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0E36DF" w:rsidRPr="006A3F72" w:rsidRDefault="008578F1" w:rsidP="006864B2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住院患者静脉输液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平均每床日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使用袋（瓶）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数</m:t>
                        </m:r>
                        <m:ctrlPr>
                          <w:rPr>
                            <w:rFonts w:ascii="Cambria Math" w:eastAsia="仿宋_GB2312" w:hAnsi="Cambria Math" w:hint="eastAsia"/>
                            <w:szCs w:val="21"/>
                          </w:rPr>
                        </m:ctrlP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住院患者静脉输液总袋</m:t>
                    </m:r>
                    <m:d>
                      <m:dPr>
                        <m:begChr m:val="（"/>
                        <m:endChr m:val="）"/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瓶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数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同期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住院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患者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实际开放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总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床日数</m:t>
                    </m:r>
                  </m:den>
                </m:f>
              </m:oMath>
            </m:oMathPara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E36DF" w:rsidRPr="00112A53" w:rsidRDefault="000E36DF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955145">
        <w:trPr>
          <w:trHeight w:val="151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lastRenderedPageBreak/>
              <w:t>10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接受抗菌药物治疗的住院患者抗菌药物使用前微生物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送检率</w:t>
            </w:r>
            <w:proofErr w:type="gramEnd"/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接受抗菌药物治疗的住院患者抗菌药物使用前微生物（合格标本）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送检率</w:t>
            </w:r>
            <w:proofErr w:type="gramEnd"/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955145">
            <w:pPr>
              <w:jc w:val="center"/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接受抗菌药物</m:t>
                    </m: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微生物送检率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使用抗菌药物治疗的住院患者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微生物标本送检例数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3F72" w:rsidRPr="00112A53" w:rsidRDefault="00A44CD8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CD8">
              <w:rPr>
                <w:rFonts w:ascii="仿宋_GB2312" w:eastAsia="仿宋_GB2312" w:hAnsi="宋体" w:hint="eastAsia"/>
                <w:szCs w:val="21"/>
              </w:rPr>
              <w:t>≥</w:t>
            </w:r>
            <w:r w:rsidR="006A3F72" w:rsidRPr="00112A53">
              <w:rPr>
                <w:rFonts w:ascii="仿宋_GB2312" w:eastAsia="仿宋_GB2312" w:hAnsi="宋体" w:hint="eastAsia"/>
                <w:szCs w:val="21"/>
              </w:rPr>
              <w:t>30%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767181">
        <w:trPr>
          <w:trHeight w:val="3020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接受限制使用级抗菌药物治疗的住院患者抗菌药物使用前微生物（合格标本）</w:t>
            </w:r>
            <w:proofErr w:type="gramStart"/>
            <w:r w:rsidRPr="00112A53">
              <w:rPr>
                <w:rFonts w:ascii="仿宋_GB2312" w:eastAsia="仿宋_GB2312" w:hAnsi="宋体" w:hint="eastAsia"/>
                <w:szCs w:val="21"/>
              </w:rPr>
              <w:t>送检率</w:t>
            </w:r>
            <w:proofErr w:type="gramEnd"/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742428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 w:hint="eastAsia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接受限制使用级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抗菌药物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微生物送检率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使用限制使用级抗菌药物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</m:t>
                        </m:r>
                        <m:ctrlPr>
                          <w:rPr>
                            <w:rFonts w:ascii="Cambria Math" w:eastAsia="Cambria Math" w:hAnsi="Cambria Math" w:cs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微生物标本送检例数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使用限制使用级抗菌药物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A44CD8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CD8">
              <w:rPr>
                <w:rFonts w:ascii="仿宋_GB2312" w:eastAsia="仿宋_GB2312" w:hAnsi="宋体" w:hint="eastAsia"/>
                <w:szCs w:val="21"/>
              </w:rPr>
              <w:t>≥</w:t>
            </w:r>
            <w:r w:rsidR="006A3F72" w:rsidRPr="00112A53">
              <w:rPr>
                <w:rFonts w:ascii="仿宋_GB2312" w:eastAsia="仿宋_GB2312" w:hAnsi="宋体" w:hint="eastAsia"/>
                <w:szCs w:val="21"/>
              </w:rPr>
              <w:t>50%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9870E0">
        <w:trPr>
          <w:trHeight w:val="1278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住院用特殊使用级抗菌药物患者病原学（合格标</w:t>
            </w:r>
          </w:p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本）检查百分率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742428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 w:hint="eastAsia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接受特殊使用级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抗菌药物</m:t>
                        </m: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微生物送检率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使用特殊使用级抗菌药物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</m:t>
                        </m:r>
                        <m:ctrlPr>
                          <w:rPr>
                            <w:rFonts w:ascii="Cambria Math" w:eastAsia="Cambria Math" w:hAnsi="Cambria Math" w:cs="Cambria Math"/>
                            <w:szCs w:val="21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微生物标本送检例数</m:t>
                        </m:r>
                      </m:e>
                    </m:eqArr>
                  </m:num>
                  <m:den>
                    <m:eqArr>
                      <m:eqArrPr>
                        <m:ctrlPr>
                          <w:rPr>
                            <w:rFonts w:ascii="Cambria Math" w:eastAsia="仿宋_GB2312" w:hAnsi="Cambria Math"/>
                            <w:szCs w:val="21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 w:hint="eastAsia"/>
                            <w:szCs w:val="21"/>
                          </w:rPr>
                          <m:t>同期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使用特殊使用级抗菌药物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仿宋_GB2312" w:hAnsi="Cambria Math"/>
                            <w:szCs w:val="21"/>
                          </w:rPr>
                          <m:t>治疗的住院患者总例数</m:t>
                        </m:r>
                      </m:e>
                    </m:eqAr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A44CD8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A44CD8">
              <w:rPr>
                <w:rFonts w:ascii="仿宋_GB2312" w:eastAsia="仿宋_GB2312" w:hAnsi="宋体" w:hint="eastAsia"/>
                <w:szCs w:val="21"/>
              </w:rPr>
              <w:t>≥</w:t>
            </w:r>
            <w:r w:rsidR="006A3F72" w:rsidRPr="00112A53">
              <w:rPr>
                <w:rFonts w:ascii="仿宋_GB2312" w:eastAsia="仿宋_GB2312" w:hAnsi="宋体" w:hint="eastAsia"/>
                <w:szCs w:val="21"/>
              </w:rPr>
              <w:t>80%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9870E0">
        <w:trPr>
          <w:trHeight w:val="675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lastRenderedPageBreak/>
              <w:t>1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</w:p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 w:val="restart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处方点评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每月接受处方点评的医师比例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6A3F72" w:rsidRPr="006A3F72" w:rsidRDefault="008578F1" w:rsidP="00CA12C2">
            <w:pPr>
              <w:rPr>
                <w:rFonts w:ascii="仿宋_GB2312" w:eastAsia="仿宋_GB2312" w:hAnsi="宋体"/>
                <w:szCs w:val="21"/>
              </w:rPr>
            </w:pPr>
            <m:oMathPara>
              <m:oMath>
                <m:f>
                  <m:fPr>
                    <m:type m:val="noBar"/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每月接受处方点评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的医师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比率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=</m:t>
                </m:r>
                <m:f>
                  <m:fPr>
                    <m:ctrlPr>
                      <w:rPr>
                        <w:rFonts w:ascii="Cambria Math" w:eastAsia="仿宋_GB2312" w:hAnsi="Cambria Math"/>
                        <w:szCs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每月接受处方点评的医师人次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仿宋_GB2312" w:hAnsi="Cambria Math" w:hint="eastAsia"/>
                        <w:szCs w:val="21"/>
                      </w:rPr>
                      <m:t>具有抗菌药物处方权的医师</m:t>
                    </m:r>
                    <m:r>
                      <m:rPr>
                        <m:sty m:val="p"/>
                      </m:rPr>
                      <w:rPr>
                        <w:rFonts w:ascii="Cambria Math" w:eastAsia="仿宋_GB2312" w:hAnsi="Cambria Math"/>
                        <w:szCs w:val="21"/>
                      </w:rPr>
                      <m:t>人次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仿宋_GB2312" w:hAnsi="Cambria Math" w:hint="eastAsia"/>
                    <w:szCs w:val="21"/>
                  </w:rPr>
                  <m:t>100%</m:t>
                </m:r>
              </m:oMath>
            </m:oMathPara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≥25%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6A3F72" w:rsidRPr="00112A53" w:rsidTr="009870E0">
        <w:trPr>
          <w:trHeight w:val="588"/>
        </w:trPr>
        <w:tc>
          <w:tcPr>
            <w:tcW w:w="426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62" w:type="dxa"/>
            <w:gridSpan w:val="4"/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每位接受处方点评医师被点评处方（医嘱）数量</w:t>
            </w:r>
          </w:p>
        </w:tc>
        <w:tc>
          <w:tcPr>
            <w:tcW w:w="5884" w:type="dxa"/>
            <w:gridSpan w:val="7"/>
            <w:shd w:val="clear" w:color="auto" w:fill="auto"/>
            <w:vAlign w:val="center"/>
          </w:tcPr>
          <w:p w:rsidR="006A3F72" w:rsidRPr="00112A53" w:rsidRDefault="006A3F72" w:rsidP="00AB6799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A53">
              <w:rPr>
                <w:rFonts w:ascii="仿宋_GB2312" w:eastAsia="仿宋_GB2312" w:hAnsi="宋体" w:hint="eastAsia"/>
                <w:szCs w:val="21"/>
              </w:rPr>
              <w:t>不少于50份处方（或50条医嘱）</w:t>
            </w: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A3F72" w:rsidRPr="00112A53" w:rsidRDefault="006A3F72" w:rsidP="00AB6799">
            <w:pPr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A30693" w:rsidRDefault="00A30693" w:rsidP="00A30693">
      <w:pPr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说明：</w:t>
      </w:r>
    </w:p>
    <w:p w:rsidR="00A30693" w:rsidRPr="00E56EE7" w:rsidRDefault="00A30693" w:rsidP="00A30693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1.</w:t>
      </w:r>
      <w:r w:rsidRPr="00E56EE7">
        <w:t xml:space="preserve"> </w:t>
      </w:r>
      <w:r w:rsidRPr="00E56EE7">
        <w:rPr>
          <w:rFonts w:ascii="仿宋_GB2312" w:eastAsia="仿宋_GB2312" w:hAnsi="宋体" w:cs="仿宋_GB2312" w:hint="eastAsia"/>
          <w:sz w:val="32"/>
          <w:szCs w:val="32"/>
        </w:rPr>
        <w:t>医疗机构确因</w:t>
      </w:r>
      <w:r>
        <w:rPr>
          <w:rFonts w:ascii="仿宋_GB2312" w:eastAsia="仿宋_GB2312" w:hAnsi="宋体" w:cs="仿宋_GB2312" w:hint="eastAsia"/>
          <w:sz w:val="32"/>
          <w:szCs w:val="32"/>
        </w:rPr>
        <w:t>诊疗</w:t>
      </w:r>
      <w:r w:rsidRPr="00E56EE7">
        <w:rPr>
          <w:rFonts w:ascii="仿宋_GB2312" w:eastAsia="仿宋_GB2312" w:hAnsi="宋体" w:cs="仿宋_GB2312" w:hint="eastAsia"/>
          <w:sz w:val="32"/>
          <w:szCs w:val="32"/>
        </w:rPr>
        <w:t>工作需要，采购的抗菌药物品种和品</w:t>
      </w:r>
      <w:proofErr w:type="gramStart"/>
      <w:r w:rsidRPr="00E56EE7">
        <w:rPr>
          <w:rFonts w:ascii="仿宋_GB2312" w:eastAsia="仿宋_GB2312" w:hAnsi="宋体" w:cs="仿宋_GB2312" w:hint="eastAsia"/>
          <w:sz w:val="32"/>
          <w:szCs w:val="32"/>
        </w:rPr>
        <w:t>规</w:t>
      </w:r>
      <w:proofErr w:type="gramEnd"/>
      <w:r w:rsidRPr="00E56EE7">
        <w:rPr>
          <w:rFonts w:ascii="仿宋_GB2312" w:eastAsia="仿宋_GB2312" w:hAnsi="宋体" w:cs="仿宋_GB2312" w:hint="eastAsia"/>
          <w:sz w:val="32"/>
          <w:szCs w:val="32"/>
        </w:rPr>
        <w:t>数量超过上述规定</w:t>
      </w:r>
      <w:r>
        <w:rPr>
          <w:rFonts w:ascii="仿宋_GB2312" w:eastAsia="仿宋_GB2312" w:hAnsi="宋体" w:cs="仿宋_GB2312" w:hint="eastAsia"/>
          <w:sz w:val="32"/>
          <w:szCs w:val="32"/>
        </w:rPr>
        <w:t>的</w:t>
      </w:r>
      <w:r w:rsidRPr="00E56EE7">
        <w:rPr>
          <w:rFonts w:ascii="仿宋_GB2312" w:eastAsia="仿宋_GB2312" w:hAnsi="宋体" w:cs="仿宋_GB2312" w:hint="eastAsia"/>
          <w:sz w:val="32"/>
          <w:szCs w:val="32"/>
        </w:rPr>
        <w:t>，</w:t>
      </w:r>
      <w:r>
        <w:rPr>
          <w:rFonts w:ascii="仿宋_GB2312" w:eastAsia="仿宋_GB2312" w:hAnsi="宋体" w:cs="仿宋_GB2312" w:hint="eastAsia"/>
          <w:sz w:val="32"/>
          <w:szCs w:val="32"/>
        </w:rPr>
        <w:t>按照《抗菌药物临床应用管理办法》办理。</w:t>
      </w:r>
    </w:p>
    <w:p w:rsidR="00A30693" w:rsidRDefault="00A30693" w:rsidP="00A30693">
      <w:pPr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sz w:val="32"/>
          <w:szCs w:val="32"/>
        </w:rPr>
        <w:t>表格中的空白项，表明该指标</w:t>
      </w:r>
      <w:r w:rsidRPr="00120A7A">
        <w:rPr>
          <w:rFonts w:ascii="仿宋_GB2312" w:eastAsia="仿宋_GB2312" w:hAnsi="宋体" w:cs="仿宋_GB2312" w:hint="eastAsia"/>
          <w:sz w:val="32"/>
          <w:szCs w:val="32"/>
        </w:rPr>
        <w:t>未设定</w:t>
      </w:r>
      <w:r>
        <w:rPr>
          <w:rFonts w:ascii="仿宋_GB2312" w:eastAsia="仿宋_GB2312" w:hAnsi="宋体" w:cs="仿宋_GB2312" w:hint="eastAsia"/>
          <w:sz w:val="32"/>
          <w:szCs w:val="32"/>
        </w:rPr>
        <w:t>标准</w:t>
      </w:r>
      <w:r w:rsidRPr="00120A7A">
        <w:rPr>
          <w:rFonts w:ascii="仿宋_GB2312" w:eastAsia="仿宋_GB2312" w:hAnsi="宋体" w:cs="仿宋_GB2312" w:hint="eastAsia"/>
          <w:sz w:val="32"/>
          <w:szCs w:val="32"/>
        </w:rPr>
        <w:t>要求，医疗机构应当做好相关</w:t>
      </w:r>
      <w:r>
        <w:rPr>
          <w:rFonts w:ascii="仿宋_GB2312" w:eastAsia="仿宋_GB2312" w:hAnsi="宋体" w:cs="仿宋_GB2312" w:hint="eastAsia"/>
          <w:sz w:val="32"/>
          <w:szCs w:val="32"/>
        </w:rPr>
        <w:t>指标</w:t>
      </w:r>
      <w:r w:rsidRPr="00120A7A">
        <w:rPr>
          <w:rFonts w:ascii="仿宋_GB2312" w:eastAsia="仿宋_GB2312" w:hAnsi="宋体" w:cs="仿宋_GB2312" w:hint="eastAsia"/>
          <w:sz w:val="32"/>
          <w:szCs w:val="32"/>
        </w:rPr>
        <w:t>数据的统计</w:t>
      </w:r>
      <w:r>
        <w:rPr>
          <w:rFonts w:ascii="仿宋_GB2312" w:eastAsia="仿宋_GB2312" w:hAnsi="宋体" w:cs="仿宋_GB2312" w:hint="eastAsia"/>
          <w:sz w:val="32"/>
          <w:szCs w:val="32"/>
        </w:rPr>
        <w:t>、分析</w:t>
      </w:r>
      <w:r w:rsidRPr="00120A7A">
        <w:rPr>
          <w:rFonts w:ascii="仿宋_GB2312" w:eastAsia="仿宋_GB2312" w:hAnsi="宋体" w:cs="仿宋_GB2312" w:hint="eastAsia"/>
          <w:sz w:val="32"/>
          <w:szCs w:val="32"/>
        </w:rPr>
        <w:t>工作。</w:t>
      </w:r>
    </w:p>
    <w:p w:rsidR="00651655" w:rsidRDefault="00A30693" w:rsidP="00A30693">
      <w:pPr>
        <w:ind w:firstLineChars="200" w:firstLine="640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>3.</w:t>
      </w:r>
      <w:r w:rsidR="00651655">
        <w:rPr>
          <w:rFonts w:ascii="仿宋_GB2312" w:eastAsia="仿宋_GB2312" w:hAnsi="宋体" w:cs="仿宋_GB2312" w:hint="eastAsia"/>
          <w:sz w:val="32"/>
          <w:szCs w:val="32"/>
        </w:rPr>
        <w:t>表格中所称</w:t>
      </w:r>
      <w:r w:rsidR="00651655" w:rsidRPr="00651655">
        <w:rPr>
          <w:rFonts w:ascii="仿宋_GB2312" w:eastAsia="仿宋_GB2312" w:hAnsi="宋体" w:cs="仿宋_GB2312" w:hint="eastAsia"/>
          <w:sz w:val="32"/>
          <w:szCs w:val="32"/>
        </w:rPr>
        <w:t>合格标本是指下呼吸道</w:t>
      </w:r>
      <w:proofErr w:type="gramStart"/>
      <w:r w:rsidR="00651655" w:rsidRPr="00651655">
        <w:rPr>
          <w:rFonts w:ascii="仿宋_GB2312" w:eastAsia="仿宋_GB2312" w:hAnsi="宋体" w:cs="仿宋_GB2312" w:hint="eastAsia"/>
          <w:sz w:val="32"/>
          <w:szCs w:val="32"/>
        </w:rPr>
        <w:t>痰</w:t>
      </w:r>
      <w:proofErr w:type="gramEnd"/>
      <w:r w:rsidR="00651655" w:rsidRPr="00651655">
        <w:rPr>
          <w:rFonts w:ascii="仿宋_GB2312" w:eastAsia="仿宋_GB2312" w:hAnsi="宋体" w:cs="仿宋_GB2312" w:hint="eastAsia"/>
          <w:sz w:val="32"/>
          <w:szCs w:val="32"/>
        </w:rPr>
        <w:t>标本（上皮细胞＜10个/低倍视野、白细胞数＞25个/低倍视野）、肺泡灌洗液、清洁中段尿液、组织和血液、脑脊液等无菌体液标本。</w:t>
      </w:r>
    </w:p>
    <w:p w:rsidR="00CB7C8D" w:rsidRPr="00A30693" w:rsidRDefault="004C52C4" w:rsidP="00D56DD7">
      <w:pPr>
        <w:ind w:firstLineChars="200" w:firstLine="640"/>
        <w:jc w:val="left"/>
      </w:pPr>
      <w:r>
        <w:rPr>
          <w:rFonts w:ascii="仿宋_GB2312" w:eastAsia="仿宋_GB2312" w:hAnsi="宋体" w:cs="仿宋_GB2312" w:hint="eastAsia"/>
          <w:sz w:val="32"/>
          <w:szCs w:val="32"/>
        </w:rPr>
        <w:t>4</w:t>
      </w:r>
      <w:r w:rsidR="00D601D9">
        <w:rPr>
          <w:rFonts w:ascii="仿宋_GB2312" w:eastAsia="仿宋_GB2312" w:hAnsi="宋体" w:cs="仿宋_GB2312" w:hint="eastAsia"/>
          <w:sz w:val="32"/>
          <w:szCs w:val="32"/>
        </w:rPr>
        <w:t>.表格中第8项</w:t>
      </w:r>
      <w:r w:rsidR="00820DEA">
        <w:rPr>
          <w:rFonts w:ascii="仿宋_GB2312" w:eastAsia="仿宋_GB2312" w:hAnsi="宋体" w:cs="仿宋_GB2312" w:hint="eastAsia"/>
          <w:sz w:val="32"/>
          <w:szCs w:val="32"/>
        </w:rPr>
        <w:t>“</w:t>
      </w:r>
      <w:r w:rsidR="00D601D9" w:rsidRPr="00D601D9">
        <w:rPr>
          <w:rFonts w:ascii="仿宋_GB2312" w:eastAsia="仿宋_GB2312" w:hAnsi="宋体" w:cs="仿宋_GB2312" w:hint="eastAsia"/>
          <w:sz w:val="32"/>
          <w:szCs w:val="32"/>
        </w:rPr>
        <w:t>静脉输液使用率</w:t>
      </w:r>
      <w:r w:rsidR="00820DEA">
        <w:rPr>
          <w:rFonts w:ascii="仿宋_GB2312" w:eastAsia="仿宋_GB2312" w:hAnsi="宋体" w:cs="仿宋_GB2312" w:hint="eastAsia"/>
          <w:sz w:val="32"/>
          <w:szCs w:val="32"/>
        </w:rPr>
        <w:t>”</w:t>
      </w:r>
      <w:r w:rsidR="00D601D9">
        <w:rPr>
          <w:rFonts w:ascii="仿宋_GB2312" w:eastAsia="仿宋_GB2312" w:hAnsi="宋体" w:cs="仿宋_GB2312" w:hint="eastAsia"/>
          <w:sz w:val="32"/>
          <w:szCs w:val="32"/>
        </w:rPr>
        <w:t>、第9项</w:t>
      </w:r>
      <w:r w:rsidR="00820DEA">
        <w:rPr>
          <w:rFonts w:ascii="仿宋_GB2312" w:eastAsia="仿宋_GB2312" w:hAnsi="宋体" w:cs="仿宋_GB2312" w:hint="eastAsia"/>
          <w:sz w:val="32"/>
          <w:szCs w:val="32"/>
        </w:rPr>
        <w:t>“</w:t>
      </w:r>
      <w:r w:rsidR="00D601D9" w:rsidRPr="00D601D9">
        <w:rPr>
          <w:rFonts w:ascii="仿宋_GB2312" w:eastAsia="仿宋_GB2312" w:hAnsi="宋体" w:cs="仿宋_GB2312" w:hint="eastAsia"/>
          <w:sz w:val="32"/>
          <w:szCs w:val="32"/>
        </w:rPr>
        <w:t>住院患者静脉输液平均每床日使用袋（瓶）数</w:t>
      </w:r>
      <w:r w:rsidR="00820DEA">
        <w:rPr>
          <w:rFonts w:ascii="仿宋_GB2312" w:eastAsia="仿宋_GB2312" w:hAnsi="宋体" w:cs="仿宋_GB2312" w:hint="eastAsia"/>
          <w:sz w:val="32"/>
          <w:szCs w:val="32"/>
        </w:rPr>
        <w:t>”</w:t>
      </w:r>
      <w:r w:rsidR="00D601D9">
        <w:rPr>
          <w:rFonts w:ascii="仿宋_GB2312" w:eastAsia="仿宋_GB2312" w:hAnsi="宋体" w:cs="仿宋_GB2312" w:hint="eastAsia"/>
          <w:sz w:val="32"/>
          <w:szCs w:val="32"/>
        </w:rPr>
        <w:t>是指所有药物的静脉输液，不单指抗菌药物的静脉输液。</w:t>
      </w:r>
    </w:p>
    <w:sectPr w:rsidR="00CB7C8D" w:rsidRPr="00A30693" w:rsidSect="00A334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F1" w:rsidRDefault="008578F1" w:rsidP="006A3F72">
      <w:r>
        <w:separator/>
      </w:r>
    </w:p>
  </w:endnote>
  <w:endnote w:type="continuationSeparator" w:id="0">
    <w:p w:rsidR="008578F1" w:rsidRDefault="008578F1" w:rsidP="006A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F1" w:rsidRDefault="008578F1" w:rsidP="006A3F72">
      <w:r>
        <w:separator/>
      </w:r>
    </w:p>
  </w:footnote>
  <w:footnote w:type="continuationSeparator" w:id="0">
    <w:p w:rsidR="008578F1" w:rsidRDefault="008578F1" w:rsidP="006A3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24A5"/>
    <w:multiLevelType w:val="hybridMultilevel"/>
    <w:tmpl w:val="83C21FA8"/>
    <w:lvl w:ilvl="0" w:tplc="F84898DA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3B4"/>
    <w:rsid w:val="00001410"/>
    <w:rsid w:val="00033AE1"/>
    <w:rsid w:val="00071848"/>
    <w:rsid w:val="00072396"/>
    <w:rsid w:val="00080578"/>
    <w:rsid w:val="00082409"/>
    <w:rsid w:val="000A7006"/>
    <w:rsid w:val="000B5047"/>
    <w:rsid w:val="000D4FBA"/>
    <w:rsid w:val="000E36DF"/>
    <w:rsid w:val="00120A7A"/>
    <w:rsid w:val="00131470"/>
    <w:rsid w:val="00135F68"/>
    <w:rsid w:val="00163F50"/>
    <w:rsid w:val="00181207"/>
    <w:rsid w:val="001D00FA"/>
    <w:rsid w:val="002363F8"/>
    <w:rsid w:val="00295523"/>
    <w:rsid w:val="00297A04"/>
    <w:rsid w:val="002F4E95"/>
    <w:rsid w:val="0030066C"/>
    <w:rsid w:val="00381EE7"/>
    <w:rsid w:val="00391F89"/>
    <w:rsid w:val="003A6977"/>
    <w:rsid w:val="003C4E1F"/>
    <w:rsid w:val="003D6E72"/>
    <w:rsid w:val="004013B4"/>
    <w:rsid w:val="00416CBC"/>
    <w:rsid w:val="0043706D"/>
    <w:rsid w:val="00444CA7"/>
    <w:rsid w:val="00475B32"/>
    <w:rsid w:val="004C4BA0"/>
    <w:rsid w:val="004C52C4"/>
    <w:rsid w:val="004D155C"/>
    <w:rsid w:val="004E0E64"/>
    <w:rsid w:val="004E75EE"/>
    <w:rsid w:val="00527637"/>
    <w:rsid w:val="005621B4"/>
    <w:rsid w:val="0056368F"/>
    <w:rsid w:val="00565B32"/>
    <w:rsid w:val="005929AA"/>
    <w:rsid w:val="005A1A92"/>
    <w:rsid w:val="005A680C"/>
    <w:rsid w:val="005B192F"/>
    <w:rsid w:val="005D5BFD"/>
    <w:rsid w:val="005D6D3D"/>
    <w:rsid w:val="005E4A7C"/>
    <w:rsid w:val="00650757"/>
    <w:rsid w:val="006508B3"/>
    <w:rsid w:val="00651655"/>
    <w:rsid w:val="006864B2"/>
    <w:rsid w:val="006A1DD7"/>
    <w:rsid w:val="006A3F72"/>
    <w:rsid w:val="006E13F0"/>
    <w:rsid w:val="00701927"/>
    <w:rsid w:val="00704DB6"/>
    <w:rsid w:val="00742428"/>
    <w:rsid w:val="00755F20"/>
    <w:rsid w:val="00767181"/>
    <w:rsid w:val="00820DEA"/>
    <w:rsid w:val="008578F1"/>
    <w:rsid w:val="00863203"/>
    <w:rsid w:val="008C53C1"/>
    <w:rsid w:val="00904881"/>
    <w:rsid w:val="00955145"/>
    <w:rsid w:val="00976AE0"/>
    <w:rsid w:val="009774A4"/>
    <w:rsid w:val="0098420C"/>
    <w:rsid w:val="009870E0"/>
    <w:rsid w:val="009B1217"/>
    <w:rsid w:val="009E2793"/>
    <w:rsid w:val="00A0706D"/>
    <w:rsid w:val="00A167BF"/>
    <w:rsid w:val="00A1763F"/>
    <w:rsid w:val="00A30693"/>
    <w:rsid w:val="00A44CD8"/>
    <w:rsid w:val="00A64A6E"/>
    <w:rsid w:val="00AA6FDD"/>
    <w:rsid w:val="00AF5D1A"/>
    <w:rsid w:val="00B05259"/>
    <w:rsid w:val="00B06501"/>
    <w:rsid w:val="00B71D9C"/>
    <w:rsid w:val="00C23C9B"/>
    <w:rsid w:val="00C3020E"/>
    <w:rsid w:val="00C44A43"/>
    <w:rsid w:val="00C61EC9"/>
    <w:rsid w:val="00C624E4"/>
    <w:rsid w:val="00C745C4"/>
    <w:rsid w:val="00CA12C2"/>
    <w:rsid w:val="00CB7C8D"/>
    <w:rsid w:val="00D03663"/>
    <w:rsid w:val="00D1329B"/>
    <w:rsid w:val="00D51209"/>
    <w:rsid w:val="00D56DD7"/>
    <w:rsid w:val="00D601D9"/>
    <w:rsid w:val="00D910FE"/>
    <w:rsid w:val="00D91EA3"/>
    <w:rsid w:val="00DB3D59"/>
    <w:rsid w:val="00E313E5"/>
    <w:rsid w:val="00E56EE7"/>
    <w:rsid w:val="00E82B45"/>
    <w:rsid w:val="00E9142D"/>
    <w:rsid w:val="00EC5A2E"/>
    <w:rsid w:val="00EF4B18"/>
    <w:rsid w:val="00F12D48"/>
    <w:rsid w:val="00F32901"/>
    <w:rsid w:val="00F936AF"/>
    <w:rsid w:val="00F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F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3F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3F72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0B50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F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A3F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3F72"/>
    <w:rPr>
      <w:rFonts w:ascii="Calibri" w:eastAsia="宋体" w:hAnsi="Calibri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0B5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0FF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14F1-976F-4FDD-A89E-5657AFFA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415</Words>
  <Characters>2372</Characters>
  <Application>Microsoft Office Word</Application>
  <DocSecurity>0</DocSecurity>
  <Lines>19</Lines>
  <Paragraphs>5</Paragraphs>
  <ScaleCrop>false</ScaleCrop>
  <Company>BMA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zhm</cp:lastModifiedBy>
  <cp:revision>41</cp:revision>
  <cp:lastPrinted>2015-05-13T04:11:00Z</cp:lastPrinted>
  <dcterms:created xsi:type="dcterms:W3CDTF">2015-05-08T07:59:00Z</dcterms:created>
  <dcterms:modified xsi:type="dcterms:W3CDTF">2015-08-03T06:17:00Z</dcterms:modified>
</cp:coreProperties>
</file>