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38AF4" w14:textId="77777777" w:rsidR="002A65E3" w:rsidRPr="002A65E3" w:rsidRDefault="002A65E3" w:rsidP="002A65E3">
      <w:pPr>
        <w:widowControl/>
        <w:spacing w:line="600" w:lineRule="atLeast"/>
        <w:jc w:val="center"/>
        <w:rPr>
          <w:rFonts w:ascii="Calibri" w:eastAsia="宋体" w:hAnsi="Calibri" w:cs="宋体"/>
          <w:kern w:val="0"/>
          <w:szCs w:val="21"/>
        </w:rPr>
      </w:pPr>
      <w:bookmarkStart w:id="0" w:name="_GoBack"/>
      <w:r w:rsidRPr="002A65E3">
        <w:rPr>
          <w:rFonts w:ascii="宋体" w:eastAsia="宋体" w:hAnsi="宋体" w:cs="宋体" w:hint="eastAsia"/>
          <w:b/>
          <w:bCs/>
          <w:kern w:val="0"/>
          <w:sz w:val="44"/>
          <w:szCs w:val="44"/>
        </w:rPr>
        <w:t>β内酰胺类抗菌药物皮肤试验指导原则</w:t>
      </w:r>
    </w:p>
    <w:bookmarkEnd w:id="0"/>
    <w:p w14:paraId="1FA6916D" w14:textId="77777777" w:rsidR="002A65E3" w:rsidRPr="002A65E3" w:rsidRDefault="002A65E3" w:rsidP="002A65E3">
      <w:pPr>
        <w:widowControl/>
        <w:spacing w:line="600" w:lineRule="atLeast"/>
        <w:jc w:val="center"/>
        <w:rPr>
          <w:rFonts w:ascii="Calibri" w:eastAsia="宋体" w:hAnsi="Calibri" w:cs="宋体"/>
          <w:kern w:val="0"/>
          <w:szCs w:val="21"/>
        </w:rPr>
      </w:pPr>
      <w:r w:rsidRPr="002A65E3">
        <w:rPr>
          <w:rFonts w:ascii="楷体_GB2312" w:eastAsia="楷体_GB2312" w:hAnsi="Calibri" w:cs="宋体" w:hint="eastAsia"/>
          <w:kern w:val="0"/>
          <w:sz w:val="32"/>
          <w:szCs w:val="32"/>
        </w:rPr>
        <w:t>（2021年版）</w:t>
      </w:r>
    </w:p>
    <w:p w14:paraId="5425D3D2" w14:textId="77777777" w:rsidR="002A65E3" w:rsidRPr="002A65E3" w:rsidRDefault="002A65E3" w:rsidP="002A65E3">
      <w:pPr>
        <w:widowControl/>
        <w:spacing w:line="600" w:lineRule="atLeast"/>
        <w:ind w:firstLine="566"/>
        <w:jc w:val="left"/>
        <w:rPr>
          <w:rFonts w:ascii="宋体" w:eastAsia="宋体" w:hAnsi="宋体" w:cs="宋体"/>
          <w:kern w:val="0"/>
          <w:sz w:val="27"/>
          <w:szCs w:val="27"/>
        </w:rPr>
      </w:pPr>
      <w:r w:rsidRPr="002A65E3">
        <w:rPr>
          <w:rFonts w:ascii="仿宋_GB2312" w:eastAsia="仿宋_GB2312" w:hAnsi="宋体" w:cs="宋体" w:hint="eastAsia"/>
          <w:kern w:val="0"/>
          <w:sz w:val="32"/>
          <w:szCs w:val="32"/>
        </w:rPr>
        <w:t> </w:t>
      </w:r>
    </w:p>
    <w:p w14:paraId="4A3BF53B"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β内酰胺类抗菌药物是目前临床应用最多且具有重要临床价值的一类抗菌药物。由于医务人员对该类药物诱发过敏反应存在担忧，青霉素和头孢菌素皮肤试验被广泛应用于用药前预测过敏反应。然而，因为对药物过敏反应机制、皮试意义的认识误区，许多医务人员在临床实践中过于依赖皮试，过敏史甄别欠细致、皮试适应证偏宽泛、皮试操作不规范、结果判读不正确等现象仍普遍存在。由此可能导致过敏反应急救应对不足，浪费医疗资源，延误患者治疗，缩窄抗菌药物选择范围等后果。基于当前存在的问题和皮试的重要影响，为澄清药物过敏反应机制和皮试的临床意义，规范β内酰胺类抗菌药物过敏史甄别和皮试临床实践，保障患者安全，促进抗菌药物合理应用，特制定本指导原则。</w:t>
      </w:r>
    </w:p>
    <w:p w14:paraId="793BBF62"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黑体" w:eastAsia="黑体" w:hAnsi="黑体" w:cs="宋体" w:hint="eastAsia"/>
          <w:kern w:val="0"/>
          <w:sz w:val="32"/>
          <w:szCs w:val="32"/>
        </w:rPr>
        <w:t>一、皮肤试验及其诊断价值</w:t>
      </w:r>
    </w:p>
    <w:p w14:paraId="042A0279"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皮肤试验包括点刺试验和皮内试验，目前国内抗菌药物皮肤试验常规采用皮内试验。以下提到的皮肤试验均指皮内试验，简称皮试。</w:t>
      </w:r>
    </w:p>
    <w:p w14:paraId="5AAD96C6"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楷体_GB2312" w:eastAsia="楷体_GB2312" w:hAnsi="宋体" w:cs="宋体" w:hint="eastAsia"/>
          <w:kern w:val="0"/>
          <w:sz w:val="32"/>
          <w:szCs w:val="32"/>
        </w:rPr>
        <w:t>（一）药物过敏反应与皮试的预测作用。</w:t>
      </w:r>
    </w:p>
    <w:p w14:paraId="507E1A52" w14:textId="77777777" w:rsidR="002A65E3" w:rsidRPr="002A65E3" w:rsidRDefault="002A65E3" w:rsidP="002A65E3">
      <w:pPr>
        <w:widowControl/>
        <w:spacing w:line="600" w:lineRule="atLeast"/>
        <w:ind w:firstLine="640"/>
        <w:rPr>
          <w:rFonts w:ascii="宋体" w:eastAsia="宋体" w:hAnsi="宋体" w:cs="宋体" w:hint="eastAsia"/>
          <w:kern w:val="0"/>
          <w:sz w:val="24"/>
          <w:szCs w:val="24"/>
        </w:rPr>
      </w:pPr>
      <w:r w:rsidRPr="002A65E3">
        <w:rPr>
          <w:rFonts w:ascii="仿宋_GB2312" w:eastAsia="仿宋_GB2312" w:hAnsi="宋体" w:cs="宋体" w:hint="eastAsia"/>
          <w:kern w:val="0"/>
          <w:sz w:val="32"/>
          <w:szCs w:val="32"/>
        </w:rPr>
        <w:lastRenderedPageBreak/>
        <w:t>药物过敏反应根据免疫机制的不同分为Ⅰ、Ⅱ、Ⅲ、Ⅳ四型。Ⅰ型为</w:t>
      </w:r>
      <w:proofErr w:type="spellStart"/>
      <w:r w:rsidRPr="002A65E3">
        <w:rPr>
          <w:rFonts w:ascii="仿宋_GB2312" w:eastAsia="仿宋_GB2312" w:hAnsi="宋体" w:cs="宋体" w:hint="eastAsia"/>
          <w:kern w:val="0"/>
          <w:sz w:val="32"/>
          <w:szCs w:val="32"/>
        </w:rPr>
        <w:t>IgE</w:t>
      </w:r>
      <w:proofErr w:type="spellEnd"/>
      <w:proofErr w:type="gramStart"/>
      <w:r w:rsidRPr="002A65E3">
        <w:rPr>
          <w:rFonts w:ascii="仿宋_GB2312" w:eastAsia="仿宋_GB2312" w:hAnsi="宋体" w:cs="宋体" w:hint="eastAsia"/>
          <w:kern w:val="0"/>
          <w:sz w:val="32"/>
          <w:szCs w:val="32"/>
        </w:rPr>
        <w:t>介</w:t>
      </w:r>
      <w:proofErr w:type="gramEnd"/>
      <w:r w:rsidRPr="002A65E3">
        <w:rPr>
          <w:rFonts w:ascii="仿宋_GB2312" w:eastAsia="仿宋_GB2312" w:hAnsi="宋体" w:cs="宋体" w:hint="eastAsia"/>
          <w:kern w:val="0"/>
          <w:sz w:val="32"/>
          <w:szCs w:val="32"/>
        </w:rPr>
        <w:t>导的速发型过敏反应，通常在给药后数分钟到1小时之内发生，典型临床表现为荨麻疹、血管神经性水肿、支气管痉挛、过敏性休克等。Ⅱ型为抗体</w:t>
      </w:r>
      <w:proofErr w:type="gramStart"/>
      <w:r w:rsidRPr="002A65E3">
        <w:rPr>
          <w:rFonts w:ascii="仿宋_GB2312" w:eastAsia="仿宋_GB2312" w:hAnsi="宋体" w:cs="宋体" w:hint="eastAsia"/>
          <w:kern w:val="0"/>
          <w:sz w:val="32"/>
          <w:szCs w:val="32"/>
        </w:rPr>
        <w:t>介</w:t>
      </w:r>
      <w:proofErr w:type="gramEnd"/>
      <w:r w:rsidRPr="002A65E3">
        <w:rPr>
          <w:rFonts w:ascii="仿宋_GB2312" w:eastAsia="仿宋_GB2312" w:hAnsi="宋体" w:cs="宋体" w:hint="eastAsia"/>
          <w:kern w:val="0"/>
          <w:sz w:val="32"/>
          <w:szCs w:val="32"/>
        </w:rPr>
        <w:t>导的溶靶细胞过程，例如药物诱发的血小板减少性紫癜。Ⅲ型为免疫复合物</w:t>
      </w:r>
      <w:proofErr w:type="gramStart"/>
      <w:r w:rsidRPr="002A65E3">
        <w:rPr>
          <w:rFonts w:ascii="仿宋_GB2312" w:eastAsia="仿宋_GB2312" w:hAnsi="宋体" w:cs="宋体" w:hint="eastAsia"/>
          <w:kern w:val="0"/>
          <w:sz w:val="32"/>
          <w:szCs w:val="32"/>
        </w:rPr>
        <w:t>介</w:t>
      </w:r>
      <w:proofErr w:type="gramEnd"/>
      <w:r w:rsidRPr="002A65E3">
        <w:rPr>
          <w:rFonts w:ascii="仿宋_GB2312" w:eastAsia="仿宋_GB2312" w:hAnsi="宋体" w:cs="宋体" w:hint="eastAsia"/>
          <w:kern w:val="0"/>
          <w:sz w:val="32"/>
          <w:szCs w:val="32"/>
        </w:rPr>
        <w:t>导，例如血清病、药物相关性血管炎等。Ⅳ型为T细胞</w:t>
      </w:r>
      <w:proofErr w:type="gramStart"/>
      <w:r w:rsidRPr="002A65E3">
        <w:rPr>
          <w:rFonts w:ascii="仿宋_GB2312" w:eastAsia="仿宋_GB2312" w:hAnsi="宋体" w:cs="宋体" w:hint="eastAsia"/>
          <w:kern w:val="0"/>
          <w:sz w:val="32"/>
          <w:szCs w:val="32"/>
        </w:rPr>
        <w:t>介</w:t>
      </w:r>
      <w:proofErr w:type="gramEnd"/>
      <w:r w:rsidRPr="002A65E3">
        <w:rPr>
          <w:rFonts w:ascii="仿宋_GB2312" w:eastAsia="仿宋_GB2312" w:hAnsi="宋体" w:cs="宋体" w:hint="eastAsia"/>
          <w:kern w:val="0"/>
          <w:sz w:val="32"/>
          <w:szCs w:val="32"/>
        </w:rPr>
        <w:t>导，例如药物接触性皮炎、固定性药疹、Stevens/Johnson综合征、中毒性表皮坏死松解症等。Ⅱ、Ⅲ、Ⅳ型为非</w:t>
      </w:r>
      <w:proofErr w:type="spellStart"/>
      <w:r w:rsidRPr="002A65E3">
        <w:rPr>
          <w:rFonts w:ascii="仿宋_GB2312" w:eastAsia="仿宋_GB2312" w:hAnsi="宋体" w:cs="宋体" w:hint="eastAsia"/>
          <w:kern w:val="0"/>
          <w:sz w:val="32"/>
          <w:szCs w:val="32"/>
        </w:rPr>
        <w:t>IgE</w:t>
      </w:r>
      <w:proofErr w:type="spellEnd"/>
      <w:proofErr w:type="gramStart"/>
      <w:r w:rsidRPr="002A65E3">
        <w:rPr>
          <w:rFonts w:ascii="仿宋_GB2312" w:eastAsia="仿宋_GB2312" w:hAnsi="宋体" w:cs="宋体" w:hint="eastAsia"/>
          <w:kern w:val="0"/>
          <w:sz w:val="32"/>
          <w:szCs w:val="32"/>
        </w:rPr>
        <w:t>介</w:t>
      </w:r>
      <w:proofErr w:type="gramEnd"/>
      <w:r w:rsidRPr="002A65E3">
        <w:rPr>
          <w:rFonts w:ascii="仿宋_GB2312" w:eastAsia="仿宋_GB2312" w:hAnsi="宋体" w:cs="宋体" w:hint="eastAsia"/>
          <w:kern w:val="0"/>
          <w:sz w:val="32"/>
          <w:szCs w:val="32"/>
        </w:rPr>
        <w:t>导的迟发型过敏反应，通常在给药1小时之后直至数天发生。</w:t>
      </w:r>
    </w:p>
    <w:p w14:paraId="10C4A750" w14:textId="77777777" w:rsidR="002A65E3" w:rsidRPr="002A65E3" w:rsidRDefault="002A65E3" w:rsidP="002A65E3">
      <w:pPr>
        <w:widowControl/>
        <w:spacing w:line="600" w:lineRule="atLeast"/>
        <w:ind w:firstLine="640"/>
        <w:rPr>
          <w:rFonts w:ascii="宋体" w:eastAsia="宋体" w:hAnsi="宋体" w:cs="宋体" w:hint="eastAsia"/>
          <w:kern w:val="0"/>
          <w:sz w:val="24"/>
          <w:szCs w:val="24"/>
        </w:rPr>
      </w:pPr>
      <w:r w:rsidRPr="002A65E3">
        <w:rPr>
          <w:rFonts w:ascii="仿宋_GB2312" w:eastAsia="仿宋_GB2312" w:hAnsi="宋体" w:cs="宋体" w:hint="eastAsia"/>
          <w:kern w:val="0"/>
          <w:sz w:val="32"/>
          <w:szCs w:val="32"/>
        </w:rPr>
        <w:t>β内酰胺类抗菌药物皮试的主要目的，是通过检测患者体内是否有针对该类药物及</w:t>
      </w:r>
      <w:bookmarkStart w:id="1" w:name="_Hlk42931611"/>
      <w:r w:rsidRPr="002A65E3">
        <w:rPr>
          <w:rFonts w:ascii="仿宋_GB2312" w:eastAsia="仿宋_GB2312" w:hAnsi="宋体" w:cs="宋体" w:hint="eastAsia"/>
          <w:kern w:val="0"/>
          <w:sz w:val="32"/>
          <w:szCs w:val="32"/>
        </w:rPr>
        <w:t>其代谢、降解产物</w:t>
      </w:r>
      <w:bookmarkEnd w:id="1"/>
      <w:r w:rsidRPr="002A65E3">
        <w:rPr>
          <w:rFonts w:ascii="仿宋_GB2312" w:eastAsia="仿宋_GB2312" w:hAnsi="宋体" w:cs="宋体" w:hint="eastAsia"/>
          <w:kern w:val="0"/>
          <w:sz w:val="32"/>
          <w:szCs w:val="32"/>
        </w:rPr>
        <w:t>的特异性</w:t>
      </w:r>
      <w:proofErr w:type="spellStart"/>
      <w:r w:rsidRPr="002A65E3">
        <w:rPr>
          <w:rFonts w:ascii="仿宋_GB2312" w:eastAsia="仿宋_GB2312" w:hAnsi="宋体" w:cs="宋体" w:hint="eastAsia"/>
          <w:kern w:val="0"/>
          <w:sz w:val="32"/>
          <w:szCs w:val="32"/>
        </w:rPr>
        <w:t>IgE</w:t>
      </w:r>
      <w:proofErr w:type="spellEnd"/>
      <w:r w:rsidRPr="002A65E3">
        <w:rPr>
          <w:rFonts w:ascii="仿宋_GB2312" w:eastAsia="仿宋_GB2312" w:hAnsi="宋体" w:cs="宋体" w:hint="eastAsia"/>
          <w:kern w:val="0"/>
          <w:sz w:val="32"/>
          <w:szCs w:val="32"/>
        </w:rPr>
        <w:t xml:space="preserve">抗体（specific </w:t>
      </w:r>
      <w:proofErr w:type="spellStart"/>
      <w:r w:rsidRPr="002A65E3">
        <w:rPr>
          <w:rFonts w:ascii="仿宋_GB2312" w:eastAsia="仿宋_GB2312" w:hAnsi="宋体" w:cs="宋体" w:hint="eastAsia"/>
          <w:kern w:val="0"/>
          <w:sz w:val="32"/>
          <w:szCs w:val="32"/>
        </w:rPr>
        <w:t>IgE</w:t>
      </w:r>
      <w:proofErr w:type="spellEnd"/>
      <w:r w:rsidRPr="002A65E3">
        <w:rPr>
          <w:rFonts w:ascii="仿宋_GB2312" w:eastAsia="仿宋_GB2312" w:hAnsi="宋体" w:cs="宋体" w:hint="eastAsia"/>
          <w:kern w:val="0"/>
          <w:sz w:val="32"/>
          <w:szCs w:val="32"/>
        </w:rPr>
        <w:t xml:space="preserve">, </w:t>
      </w:r>
      <w:proofErr w:type="spellStart"/>
      <w:r w:rsidRPr="002A65E3">
        <w:rPr>
          <w:rFonts w:ascii="仿宋_GB2312" w:eastAsia="仿宋_GB2312" w:hAnsi="宋体" w:cs="宋体" w:hint="eastAsia"/>
          <w:kern w:val="0"/>
          <w:sz w:val="32"/>
          <w:szCs w:val="32"/>
        </w:rPr>
        <w:t>sIgE</w:t>
      </w:r>
      <w:proofErr w:type="spellEnd"/>
      <w:r w:rsidRPr="002A65E3">
        <w:rPr>
          <w:rFonts w:ascii="仿宋_GB2312" w:eastAsia="仿宋_GB2312" w:hAnsi="宋体" w:cs="宋体" w:hint="eastAsia"/>
          <w:kern w:val="0"/>
          <w:sz w:val="32"/>
          <w:szCs w:val="32"/>
        </w:rPr>
        <w:t>），预测发生Ⅰ型（速发型）过敏反应的可能性，降低发生过敏性休克等严重过敏反应风险。预测Ⅱ、Ⅲ、Ⅳ型过敏反应不是皮试的目的，皮试也无法检测药品中是否含有杂质成分。</w:t>
      </w:r>
    </w:p>
    <w:p w14:paraId="635374A3" w14:textId="77777777" w:rsidR="002A65E3" w:rsidRPr="002A65E3" w:rsidRDefault="002A65E3" w:rsidP="002A65E3">
      <w:pPr>
        <w:widowControl/>
        <w:spacing w:line="600" w:lineRule="atLeast"/>
        <w:ind w:firstLine="640"/>
        <w:rPr>
          <w:rFonts w:ascii="宋体" w:eastAsia="宋体" w:hAnsi="宋体" w:cs="宋体" w:hint="eastAsia"/>
          <w:kern w:val="0"/>
          <w:sz w:val="24"/>
          <w:szCs w:val="24"/>
        </w:rPr>
      </w:pPr>
      <w:r w:rsidRPr="002A65E3">
        <w:rPr>
          <w:rFonts w:ascii="楷体_GB2312" w:eastAsia="楷体_GB2312" w:hAnsi="宋体" w:cs="宋体" w:hint="eastAsia"/>
          <w:kern w:val="0"/>
          <w:sz w:val="32"/>
          <w:szCs w:val="32"/>
        </w:rPr>
        <w:t>（二）青霉素</w:t>
      </w:r>
      <w:bookmarkStart w:id="2" w:name="OLE_LINK5"/>
      <w:bookmarkStart w:id="3" w:name="OLE_LINK6"/>
      <w:bookmarkEnd w:id="2"/>
      <w:r w:rsidRPr="002A65E3">
        <w:rPr>
          <w:rFonts w:ascii="楷体_GB2312" w:eastAsia="楷体_GB2312" w:hAnsi="宋体" w:cs="宋体" w:hint="eastAsia"/>
          <w:kern w:val="0"/>
          <w:sz w:val="32"/>
          <w:szCs w:val="32"/>
        </w:rPr>
        <w:t>皮试</w:t>
      </w:r>
      <w:bookmarkEnd w:id="3"/>
      <w:r w:rsidRPr="002A65E3">
        <w:rPr>
          <w:rFonts w:ascii="楷体_GB2312" w:eastAsia="楷体_GB2312" w:hAnsi="宋体" w:cs="宋体" w:hint="eastAsia"/>
          <w:kern w:val="0"/>
          <w:sz w:val="32"/>
          <w:szCs w:val="32"/>
        </w:rPr>
        <w:t>。</w:t>
      </w:r>
    </w:p>
    <w:p w14:paraId="13AE837C" w14:textId="77777777" w:rsidR="002A65E3" w:rsidRPr="002A65E3" w:rsidRDefault="002A65E3" w:rsidP="002A65E3">
      <w:pPr>
        <w:widowControl/>
        <w:spacing w:line="600" w:lineRule="atLeast"/>
        <w:ind w:firstLine="640"/>
        <w:rPr>
          <w:rFonts w:ascii="Calibri" w:eastAsia="宋体" w:hAnsi="Calibri" w:cs="宋体" w:hint="eastAsia"/>
          <w:kern w:val="0"/>
          <w:szCs w:val="21"/>
        </w:rPr>
      </w:pPr>
      <w:r w:rsidRPr="002A65E3">
        <w:rPr>
          <w:rFonts w:ascii="仿宋_GB2312" w:eastAsia="仿宋_GB2312" w:hAnsi="Calibri" w:cs="宋体" w:hint="eastAsia"/>
          <w:kern w:val="0"/>
          <w:sz w:val="32"/>
          <w:szCs w:val="32"/>
        </w:rPr>
        <w:t>青霉素本身的分子量小，为半抗原，其代谢、降解产物与蛋白质或多肽结合形成可引发过敏反应的完全抗原。青霉素的β内酰胺环开环形成的青霉噻唑基，占其分解产物大多数，被称为主要抗原决定簇，其相应的批准上市皮试试剂由青霉噻唑基与多聚赖氨酸共价结合制备而成，称为青霉</w:t>
      </w:r>
      <w:proofErr w:type="gramStart"/>
      <w:r w:rsidRPr="002A65E3">
        <w:rPr>
          <w:rFonts w:ascii="仿宋_GB2312" w:eastAsia="仿宋_GB2312" w:hAnsi="Calibri" w:cs="宋体" w:hint="eastAsia"/>
          <w:kern w:val="0"/>
          <w:sz w:val="32"/>
          <w:szCs w:val="32"/>
        </w:rPr>
        <w:t>噻唑</w:t>
      </w:r>
      <w:r w:rsidRPr="002A65E3">
        <w:rPr>
          <w:rFonts w:ascii="仿宋_GB2312" w:eastAsia="仿宋_GB2312" w:hAnsi="Calibri" w:cs="宋体" w:hint="eastAsia"/>
          <w:kern w:val="0"/>
          <w:sz w:val="32"/>
          <w:szCs w:val="32"/>
        </w:rPr>
        <w:lastRenderedPageBreak/>
        <w:t>酰多聚</w:t>
      </w:r>
      <w:proofErr w:type="gramEnd"/>
      <w:r w:rsidRPr="002A65E3">
        <w:rPr>
          <w:rFonts w:ascii="仿宋_GB2312" w:eastAsia="仿宋_GB2312" w:hAnsi="Calibri" w:cs="宋体" w:hint="eastAsia"/>
          <w:kern w:val="0"/>
          <w:sz w:val="32"/>
          <w:szCs w:val="32"/>
        </w:rPr>
        <w:t>赖氨酸（</w:t>
      </w:r>
      <w:proofErr w:type="spellStart"/>
      <w:r w:rsidRPr="002A65E3">
        <w:rPr>
          <w:rFonts w:ascii="仿宋_GB2312" w:eastAsia="仿宋_GB2312" w:hAnsi="Calibri" w:cs="宋体" w:hint="eastAsia"/>
          <w:kern w:val="0"/>
          <w:sz w:val="32"/>
          <w:szCs w:val="32"/>
        </w:rPr>
        <w:t>penicilloyl</w:t>
      </w:r>
      <w:proofErr w:type="spellEnd"/>
      <w:r w:rsidRPr="002A65E3">
        <w:rPr>
          <w:rFonts w:ascii="仿宋_GB2312" w:eastAsia="仿宋_GB2312" w:hAnsi="Calibri" w:cs="宋体" w:hint="eastAsia"/>
          <w:kern w:val="0"/>
          <w:sz w:val="32"/>
          <w:szCs w:val="32"/>
        </w:rPr>
        <w:t>-poly-lysine，PPL)。</w:t>
      </w:r>
      <w:bookmarkStart w:id="4" w:name="OLE_LINK7"/>
      <w:bookmarkStart w:id="5" w:name="OLE_LINK8"/>
      <w:bookmarkEnd w:id="4"/>
      <w:r w:rsidRPr="002A65E3">
        <w:rPr>
          <w:rFonts w:ascii="仿宋_GB2312" w:eastAsia="仿宋_GB2312" w:hAnsi="Calibri" w:cs="宋体" w:hint="eastAsia"/>
          <w:kern w:val="0"/>
          <w:sz w:val="32"/>
          <w:szCs w:val="32"/>
        </w:rPr>
        <w:t>青霉素还可形成其他降解物、重排物或降解中间体，例如青霉酸、</w:t>
      </w:r>
      <w:bookmarkStart w:id="6" w:name="_Hlk42887923"/>
      <w:bookmarkEnd w:id="5"/>
      <w:bookmarkEnd w:id="6"/>
      <w:r w:rsidRPr="002A65E3">
        <w:rPr>
          <w:rFonts w:ascii="仿宋_GB2312" w:eastAsia="仿宋_GB2312" w:hAnsi="Calibri" w:cs="宋体" w:hint="eastAsia"/>
          <w:kern w:val="0"/>
          <w:sz w:val="32"/>
          <w:szCs w:val="32"/>
        </w:rPr>
        <w:t>青霉噻唑酸、脱羧青霉噻唑酸、青霉烯酸、青霉胺等。这些分解产物量少，构成次要抗原决定簇，其批准上市皮试试剂包括青霉酸、脱羧青霉噻唑酸等次要抗原决定簇混合物（</w:t>
      </w:r>
      <w:bookmarkStart w:id="7" w:name="OLE_LINK1"/>
      <w:bookmarkStart w:id="8" w:name="OLE_LINK2"/>
      <w:bookmarkEnd w:id="7"/>
      <w:r w:rsidRPr="002A65E3">
        <w:rPr>
          <w:rFonts w:ascii="仿宋_GB2312" w:eastAsia="仿宋_GB2312" w:hAnsi="Calibri" w:cs="宋体" w:hint="eastAsia"/>
          <w:kern w:val="0"/>
          <w:sz w:val="32"/>
          <w:szCs w:val="32"/>
        </w:rPr>
        <w:t>minor determinant mixture</w:t>
      </w:r>
      <w:bookmarkEnd w:id="8"/>
      <w:r w:rsidRPr="002A65E3">
        <w:rPr>
          <w:rFonts w:ascii="仿宋_GB2312" w:eastAsia="仿宋_GB2312" w:hAnsi="Calibri" w:cs="宋体" w:hint="eastAsia"/>
          <w:kern w:val="0"/>
          <w:sz w:val="32"/>
          <w:szCs w:val="32"/>
        </w:rPr>
        <w:t>，MDM）。青霉素G本身亦可归为次要抗原决定簇。所谓的“主要”和“次要”是指两类分解产物量上的差异，两者免疫学及临床重要性等同。国内目前暂无已批准上市的PPL及MDM试剂。此外，半合成青霉素侧链结构也可成为抗原决定簇，诱发过敏反应。</w:t>
      </w:r>
    </w:p>
    <w:p w14:paraId="28F6DF99"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青霉素皮试是目前预测青霉素速发型过敏反应</w:t>
      </w:r>
      <w:proofErr w:type="gramStart"/>
      <w:r w:rsidRPr="002A65E3">
        <w:rPr>
          <w:rFonts w:ascii="仿宋_GB2312" w:eastAsia="仿宋_GB2312" w:hAnsi="Calibri" w:cs="宋体" w:hint="eastAsia"/>
          <w:kern w:val="0"/>
          <w:sz w:val="32"/>
          <w:szCs w:val="32"/>
        </w:rPr>
        <w:t>最</w:t>
      </w:r>
      <w:proofErr w:type="gramEnd"/>
      <w:r w:rsidRPr="002A65E3">
        <w:rPr>
          <w:rFonts w:ascii="仿宋_GB2312" w:eastAsia="仿宋_GB2312" w:hAnsi="Calibri" w:cs="宋体" w:hint="eastAsia"/>
          <w:kern w:val="0"/>
          <w:sz w:val="32"/>
          <w:szCs w:val="32"/>
        </w:rPr>
        <w:t>快速、灵敏、有效的检测方法。完整的青霉素皮试，其检测试剂应包含青霉素G、MDM、PPL、半合成青霉素，并做阴性对照（生理盐水）及阳性对照（组胺）。研究表明，通过完整、规范的皮试诊断方法，青霉素皮试的阳性预测值为50%，阴性预测值为70%～97%。</w:t>
      </w:r>
    </w:p>
    <w:p w14:paraId="21ECC939"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楷体_GB2312" w:eastAsia="楷体_GB2312" w:hAnsi="Calibri" w:cs="宋体" w:hint="eastAsia"/>
          <w:kern w:val="0"/>
          <w:sz w:val="32"/>
          <w:szCs w:val="32"/>
        </w:rPr>
        <w:t>（三）头孢菌素皮试。</w:t>
      </w:r>
    </w:p>
    <w:p w14:paraId="13F064FA" w14:textId="77777777" w:rsidR="002A65E3" w:rsidRPr="002A65E3" w:rsidRDefault="002A65E3" w:rsidP="002A65E3">
      <w:pPr>
        <w:widowControl/>
        <w:spacing w:line="600" w:lineRule="atLeast"/>
        <w:rPr>
          <w:rFonts w:ascii="Calibri" w:eastAsia="宋体" w:hAnsi="Calibri" w:cs="宋体"/>
          <w:kern w:val="0"/>
          <w:szCs w:val="21"/>
        </w:rPr>
      </w:pP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头孢菌素分解产物尚未完全明确，但现有的证据表明头孢菌素类的抗原决定簇主要由其侧链结构所构成。头孢菌素之间的交叉过敏性可能主要是由于具有相同或相似的C</w:t>
      </w:r>
      <w:r w:rsidRPr="002A65E3">
        <w:rPr>
          <w:rFonts w:ascii="仿宋_GB2312" w:eastAsia="仿宋_GB2312" w:hAnsi="Calibri" w:cs="宋体" w:hint="eastAsia"/>
          <w:kern w:val="0"/>
          <w:sz w:val="32"/>
          <w:szCs w:val="32"/>
          <w:vertAlign w:val="subscript"/>
        </w:rPr>
        <w:t>7</w:t>
      </w:r>
      <w:r w:rsidRPr="002A65E3">
        <w:rPr>
          <w:rFonts w:ascii="仿宋_GB2312" w:eastAsia="仿宋_GB2312" w:hAnsi="Calibri" w:cs="宋体" w:hint="eastAsia"/>
          <w:kern w:val="0"/>
          <w:sz w:val="32"/>
          <w:szCs w:val="32"/>
        </w:rPr>
        <w:t>位的R</w:t>
      </w:r>
      <w:r w:rsidRPr="002A65E3">
        <w:rPr>
          <w:rFonts w:ascii="仿宋_GB2312" w:eastAsia="仿宋_GB2312" w:hAnsi="Calibri" w:cs="宋体" w:hint="eastAsia"/>
          <w:kern w:val="0"/>
          <w:sz w:val="32"/>
          <w:szCs w:val="32"/>
          <w:vertAlign w:val="subscript"/>
        </w:rPr>
        <w:t>1</w:t>
      </w:r>
      <w:r w:rsidRPr="002A65E3">
        <w:rPr>
          <w:rFonts w:ascii="仿宋_GB2312" w:eastAsia="仿宋_GB2312" w:hAnsi="Calibri" w:cs="宋体" w:hint="eastAsia"/>
          <w:kern w:val="0"/>
          <w:sz w:val="32"/>
          <w:szCs w:val="32"/>
        </w:rPr>
        <w:t>侧链（见附表）。迄今尚无批准上市的头孢菌素皮试试剂，</w:t>
      </w:r>
      <w:r w:rsidRPr="002A65E3">
        <w:rPr>
          <w:rFonts w:ascii="仿宋_GB2312" w:eastAsia="仿宋_GB2312" w:hAnsi="Calibri" w:cs="宋体" w:hint="eastAsia"/>
          <w:kern w:val="0"/>
          <w:sz w:val="32"/>
          <w:szCs w:val="32"/>
        </w:rPr>
        <w:lastRenderedPageBreak/>
        <w:t>且皮试的灵敏度、特异度、阳性预测值及阴性预测值亦未确定。</w:t>
      </w:r>
    </w:p>
    <w:p w14:paraId="085E996C"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楷体_GB2312" w:eastAsia="楷体_GB2312" w:hAnsi="Calibri" w:cs="宋体" w:hint="eastAsia"/>
          <w:kern w:val="0"/>
          <w:sz w:val="32"/>
          <w:szCs w:val="32"/>
        </w:rPr>
        <w:t>（四）青霉素与头孢菌素的交叉过敏反应。</w:t>
      </w:r>
    </w:p>
    <w:p w14:paraId="30308C77" w14:textId="77777777" w:rsidR="002A65E3" w:rsidRPr="002A65E3" w:rsidRDefault="002A65E3" w:rsidP="002A65E3">
      <w:pPr>
        <w:widowControl/>
        <w:spacing w:line="600" w:lineRule="atLeast"/>
        <w:rPr>
          <w:rFonts w:ascii="Calibri" w:eastAsia="宋体" w:hAnsi="Calibri" w:cs="宋体"/>
          <w:kern w:val="0"/>
          <w:szCs w:val="21"/>
        </w:rPr>
      </w:pP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青霉素与第一代头孢菌素之间的交叉过敏性较多见，可达10%。但第二代头孢菌素与青霉素之间的交叉过敏反应率仅为2%～3%，第三、四代头孢菌素与青霉素之间的交叉过敏反应率更低至0.17%～0.7%。目前研究认为头孢菌素C</w:t>
      </w:r>
      <w:r w:rsidRPr="002A65E3">
        <w:rPr>
          <w:rFonts w:ascii="仿宋_GB2312" w:eastAsia="仿宋_GB2312" w:hAnsi="Calibri" w:cs="宋体" w:hint="eastAsia"/>
          <w:kern w:val="0"/>
          <w:sz w:val="32"/>
          <w:szCs w:val="32"/>
          <w:vertAlign w:val="subscript"/>
        </w:rPr>
        <w:t>7</w:t>
      </w:r>
      <w:r w:rsidRPr="002A65E3">
        <w:rPr>
          <w:rFonts w:ascii="仿宋_GB2312" w:eastAsia="仿宋_GB2312" w:hAnsi="Calibri" w:cs="宋体" w:hint="eastAsia"/>
          <w:kern w:val="0"/>
          <w:sz w:val="32"/>
          <w:szCs w:val="32"/>
        </w:rPr>
        <w:t>位的R</w:t>
      </w:r>
      <w:r w:rsidRPr="002A65E3">
        <w:rPr>
          <w:rFonts w:ascii="仿宋_GB2312" w:eastAsia="仿宋_GB2312" w:hAnsi="Calibri" w:cs="宋体" w:hint="eastAsia"/>
          <w:kern w:val="0"/>
          <w:sz w:val="32"/>
          <w:szCs w:val="32"/>
          <w:vertAlign w:val="subscript"/>
        </w:rPr>
        <w:t>1</w:t>
      </w:r>
      <w:r w:rsidRPr="002A65E3">
        <w:rPr>
          <w:rFonts w:ascii="仿宋_GB2312" w:eastAsia="仿宋_GB2312" w:hAnsi="Calibri" w:cs="宋体" w:hint="eastAsia"/>
          <w:kern w:val="0"/>
          <w:sz w:val="32"/>
          <w:szCs w:val="32"/>
        </w:rPr>
        <w:t>侧链与青霉素C</w:t>
      </w:r>
      <w:r w:rsidRPr="002A65E3">
        <w:rPr>
          <w:rFonts w:ascii="仿宋_GB2312" w:eastAsia="仿宋_GB2312" w:hAnsi="Calibri" w:cs="宋体" w:hint="eastAsia"/>
          <w:kern w:val="0"/>
          <w:sz w:val="32"/>
          <w:szCs w:val="32"/>
          <w:vertAlign w:val="subscript"/>
        </w:rPr>
        <w:t>6</w:t>
      </w:r>
      <w:r w:rsidRPr="002A65E3">
        <w:rPr>
          <w:rFonts w:ascii="仿宋_GB2312" w:eastAsia="仿宋_GB2312" w:hAnsi="Calibri" w:cs="宋体" w:hint="eastAsia"/>
          <w:kern w:val="0"/>
          <w:sz w:val="32"/>
          <w:szCs w:val="32"/>
        </w:rPr>
        <w:t>位的侧链结构相同或相似是导致交叉过敏反应的主要因素（见附表）。</w:t>
      </w:r>
    </w:p>
    <w:p w14:paraId="51898EF7" w14:textId="77777777" w:rsidR="002A65E3" w:rsidRPr="002A65E3" w:rsidRDefault="002A65E3" w:rsidP="002A65E3">
      <w:pPr>
        <w:widowControl/>
        <w:spacing w:line="600" w:lineRule="atLeast"/>
        <w:ind w:firstLine="640"/>
        <w:jc w:val="left"/>
        <w:rPr>
          <w:rFonts w:ascii="宋体" w:eastAsia="宋体" w:hAnsi="宋体" w:cs="宋体"/>
          <w:kern w:val="0"/>
          <w:sz w:val="27"/>
          <w:szCs w:val="27"/>
        </w:rPr>
      </w:pPr>
      <w:r w:rsidRPr="002A65E3">
        <w:rPr>
          <w:rFonts w:ascii="黑体" w:eastAsia="黑体" w:hAnsi="黑体" w:cs="宋体" w:hint="eastAsia"/>
          <w:kern w:val="0"/>
          <w:sz w:val="32"/>
          <w:szCs w:val="32"/>
        </w:rPr>
        <w:t>二、皮试适应证</w:t>
      </w:r>
    </w:p>
    <w:p w14:paraId="253E7C7D" w14:textId="77777777" w:rsidR="002A65E3" w:rsidRPr="002A65E3" w:rsidRDefault="002A65E3" w:rsidP="002A65E3">
      <w:pPr>
        <w:widowControl/>
        <w:spacing w:line="600" w:lineRule="atLeast"/>
        <w:ind w:firstLine="640"/>
        <w:rPr>
          <w:rFonts w:ascii="Calibri" w:eastAsia="宋体" w:hAnsi="Calibri" w:cs="宋体" w:hint="eastAsia"/>
          <w:kern w:val="0"/>
          <w:szCs w:val="21"/>
        </w:rPr>
      </w:pPr>
      <w:r w:rsidRPr="002A65E3">
        <w:rPr>
          <w:rFonts w:ascii="仿宋_GB2312" w:eastAsia="仿宋_GB2312" w:hAnsi="Calibri" w:cs="宋体" w:hint="eastAsia"/>
          <w:kern w:val="0"/>
          <w:sz w:val="32"/>
          <w:szCs w:val="32"/>
        </w:rPr>
        <w:t>使用β内酰胺类抗菌药物前是否需要进行皮试，由医师基于以下适应证判定。需进行皮试者，应由医师开具皮试医嘱后进行。</w:t>
      </w:r>
    </w:p>
    <w:p w14:paraId="693A8A52"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楷体_GB2312" w:eastAsia="楷体_GB2312" w:hAnsi="Calibri" w:cs="宋体" w:hint="eastAsia"/>
          <w:kern w:val="0"/>
          <w:sz w:val="32"/>
          <w:szCs w:val="32"/>
        </w:rPr>
        <w:t>（一）青霉素类。</w:t>
      </w:r>
    </w:p>
    <w:p w14:paraId="05D94D80" w14:textId="77777777" w:rsidR="002A65E3" w:rsidRPr="002A65E3" w:rsidRDefault="002A65E3" w:rsidP="002A65E3">
      <w:pPr>
        <w:widowControl/>
        <w:spacing w:line="600" w:lineRule="atLeast"/>
        <w:rPr>
          <w:rFonts w:ascii="Calibri" w:eastAsia="宋体" w:hAnsi="Calibri" w:cs="宋体"/>
          <w:kern w:val="0"/>
          <w:szCs w:val="21"/>
        </w:rPr>
      </w:pP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目前我国青霉素类抗菌药物说明书、《抗菌药物临床应用指导原则》和《中华人民共和国药典临床用药须知》均要求在使用青霉素类抗菌药物之前需常规做青霉素皮试。</w:t>
      </w:r>
    </w:p>
    <w:p w14:paraId="7C7ED594"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楷体_GB2312" w:eastAsia="楷体_GB2312" w:hAnsi="Calibri" w:cs="宋体" w:hint="eastAsia"/>
          <w:kern w:val="0"/>
          <w:sz w:val="32"/>
          <w:szCs w:val="32"/>
        </w:rPr>
        <w:t>（二）头孢菌素类。</w:t>
      </w:r>
    </w:p>
    <w:p w14:paraId="28D483CE"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头孢菌素给药前常规皮试对过敏反应的临床预测价值无充分循证医学证据支持，大多数头孢菌素类抗菌药物的说明书、《抗菌药物临床应用指导原则》和《中华人民共和国药典临床用药须知》均未要求头孢菌素用药前常规进行皮试。</w:t>
      </w:r>
    </w:p>
    <w:p w14:paraId="7BD1452F"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lastRenderedPageBreak/>
        <w:t>不推荐在使用头孢菌素前常规进行皮试，仅以下情况需要皮试：①既往有明确的青霉素或头孢菌素Ⅰ型（速发型）过敏史患者。此类患者如临床确有必要使用头孢菌素，并具有专业人员、急救条件，在获得患者知情同意后，选用与过敏药物侧链不同的头孢菌素（见附表）进行皮试，其结果具有一定的参考价值；②药品说明书中规定需进行皮试的。应当向药品提供者进一步了解药品引发过敏反应的机理，皮试的灵敏度、特异度、阳性预测值和阴性预测值，并要求提供相应皮试试剂。</w:t>
      </w:r>
    </w:p>
    <w:p w14:paraId="265803A1"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有过敏性疾病病史，如过敏性鼻炎、过敏性哮喘、特应性皮炎、食物过敏和其他药物（非β内酰胺类抗菌药物）过敏，发生头孢菌素过敏的几率并不高于普通人群，应用头孢菌素前也无需常规进行皮试。但上述患者用药后一旦出现过敏反应，症状可能会更重，应加强用药后观察。</w:t>
      </w:r>
    </w:p>
    <w:p w14:paraId="198FEC2A"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楷体_GB2312" w:eastAsia="楷体_GB2312" w:hAnsi="Calibri" w:cs="宋体" w:hint="eastAsia"/>
          <w:kern w:val="0"/>
          <w:sz w:val="32"/>
          <w:szCs w:val="32"/>
        </w:rPr>
        <w:t>（三）其他β内酰胺类。</w:t>
      </w:r>
    </w:p>
    <w:p w14:paraId="4163D555"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青霉素类、头孢菌素类的β内酰胺酶抑制剂复方制剂，皮试适应证和方法可分别参照青霉素类、头孢菌素类药物。</w:t>
      </w:r>
    </w:p>
    <w:p w14:paraId="2DFC020F"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单环类、头霉素类、氧头孢烯类、碳青霉烯类、青霉烯类等其他β内酰胺类抗菌药物均无循证医学证据支持皮试预测作用，给药前无需常规进行皮试。若这些类别药物的说明书要求使用前皮试，参照头孢菌素类处理。</w:t>
      </w:r>
      <w:proofErr w:type="gramStart"/>
      <w:r w:rsidRPr="002A65E3">
        <w:rPr>
          <w:rFonts w:ascii="仿宋_GB2312" w:eastAsia="仿宋_GB2312" w:hAnsi="Calibri" w:cs="宋体" w:hint="eastAsia"/>
          <w:kern w:val="0"/>
          <w:sz w:val="32"/>
          <w:szCs w:val="32"/>
        </w:rPr>
        <w:t>氨曲南</w:t>
      </w:r>
      <w:proofErr w:type="gramEnd"/>
      <w:r w:rsidRPr="002A65E3">
        <w:rPr>
          <w:rFonts w:ascii="仿宋_GB2312" w:eastAsia="仿宋_GB2312" w:hAnsi="Calibri" w:cs="宋体" w:hint="eastAsia"/>
          <w:kern w:val="0"/>
          <w:sz w:val="32"/>
          <w:szCs w:val="32"/>
        </w:rPr>
        <w:t>侧链结</w:t>
      </w:r>
      <w:r w:rsidRPr="002A65E3">
        <w:rPr>
          <w:rFonts w:ascii="仿宋_GB2312" w:eastAsia="仿宋_GB2312" w:hAnsi="Calibri" w:cs="宋体" w:hint="eastAsia"/>
          <w:kern w:val="0"/>
          <w:sz w:val="32"/>
          <w:szCs w:val="32"/>
        </w:rPr>
        <w:lastRenderedPageBreak/>
        <w:t>构与头</w:t>
      </w:r>
      <w:proofErr w:type="gramStart"/>
      <w:r w:rsidRPr="002A65E3">
        <w:rPr>
          <w:rFonts w:ascii="仿宋_GB2312" w:eastAsia="仿宋_GB2312" w:hAnsi="Calibri" w:cs="宋体" w:hint="eastAsia"/>
          <w:kern w:val="0"/>
          <w:sz w:val="32"/>
          <w:szCs w:val="32"/>
        </w:rPr>
        <w:t>孢</w:t>
      </w:r>
      <w:proofErr w:type="gramEnd"/>
      <w:r w:rsidRPr="002A65E3">
        <w:rPr>
          <w:rFonts w:ascii="仿宋_GB2312" w:eastAsia="仿宋_GB2312" w:hAnsi="Calibri" w:cs="宋体" w:hint="eastAsia"/>
          <w:kern w:val="0"/>
          <w:sz w:val="32"/>
          <w:szCs w:val="32"/>
        </w:rPr>
        <w:t>他</w:t>
      </w:r>
      <w:proofErr w:type="gramStart"/>
      <w:r w:rsidRPr="002A65E3">
        <w:rPr>
          <w:rFonts w:ascii="仿宋_GB2312" w:eastAsia="仿宋_GB2312" w:hAnsi="Calibri" w:cs="宋体" w:hint="eastAsia"/>
          <w:kern w:val="0"/>
          <w:sz w:val="32"/>
          <w:szCs w:val="32"/>
        </w:rPr>
        <w:t>啶</w:t>
      </w:r>
      <w:proofErr w:type="gramEnd"/>
      <w:r w:rsidRPr="002A65E3">
        <w:rPr>
          <w:rFonts w:ascii="仿宋_GB2312" w:eastAsia="仿宋_GB2312" w:hAnsi="Calibri" w:cs="宋体" w:hint="eastAsia"/>
          <w:kern w:val="0"/>
          <w:sz w:val="32"/>
          <w:szCs w:val="32"/>
        </w:rPr>
        <w:t>C</w:t>
      </w:r>
      <w:r w:rsidRPr="002A65E3">
        <w:rPr>
          <w:rFonts w:ascii="仿宋_GB2312" w:eastAsia="仿宋_GB2312" w:hAnsi="Calibri" w:cs="宋体" w:hint="eastAsia"/>
          <w:kern w:val="0"/>
          <w:sz w:val="32"/>
          <w:szCs w:val="32"/>
          <w:vertAlign w:val="subscript"/>
        </w:rPr>
        <w:t>7</w:t>
      </w:r>
      <w:r w:rsidRPr="002A65E3">
        <w:rPr>
          <w:rFonts w:ascii="仿宋_GB2312" w:eastAsia="仿宋_GB2312" w:hAnsi="Calibri" w:cs="宋体" w:hint="eastAsia"/>
          <w:kern w:val="0"/>
          <w:sz w:val="32"/>
          <w:szCs w:val="32"/>
        </w:rPr>
        <w:t>位侧链结构相同，研究报道二者之间存在交叉过敏，有明确头</w:t>
      </w:r>
      <w:proofErr w:type="gramStart"/>
      <w:r w:rsidRPr="002A65E3">
        <w:rPr>
          <w:rFonts w:ascii="仿宋_GB2312" w:eastAsia="仿宋_GB2312" w:hAnsi="Calibri" w:cs="宋体" w:hint="eastAsia"/>
          <w:kern w:val="0"/>
          <w:sz w:val="32"/>
          <w:szCs w:val="32"/>
        </w:rPr>
        <w:t>孢</w:t>
      </w:r>
      <w:proofErr w:type="gramEnd"/>
      <w:r w:rsidRPr="002A65E3">
        <w:rPr>
          <w:rFonts w:ascii="仿宋_GB2312" w:eastAsia="仿宋_GB2312" w:hAnsi="Calibri" w:cs="宋体" w:hint="eastAsia"/>
          <w:kern w:val="0"/>
          <w:sz w:val="32"/>
          <w:szCs w:val="32"/>
        </w:rPr>
        <w:t>他</w:t>
      </w:r>
      <w:proofErr w:type="gramStart"/>
      <w:r w:rsidRPr="002A65E3">
        <w:rPr>
          <w:rFonts w:ascii="仿宋_GB2312" w:eastAsia="仿宋_GB2312" w:hAnsi="Calibri" w:cs="宋体" w:hint="eastAsia"/>
          <w:kern w:val="0"/>
          <w:sz w:val="32"/>
          <w:szCs w:val="32"/>
        </w:rPr>
        <w:t>啶</w:t>
      </w:r>
      <w:proofErr w:type="gramEnd"/>
      <w:r w:rsidRPr="002A65E3">
        <w:rPr>
          <w:rFonts w:ascii="仿宋_GB2312" w:eastAsia="仿宋_GB2312" w:hAnsi="Calibri" w:cs="宋体" w:hint="eastAsia"/>
          <w:kern w:val="0"/>
          <w:sz w:val="32"/>
          <w:szCs w:val="32"/>
        </w:rPr>
        <w:t>过敏史患者应避免</w:t>
      </w:r>
      <w:proofErr w:type="gramStart"/>
      <w:r w:rsidRPr="002A65E3">
        <w:rPr>
          <w:rFonts w:ascii="仿宋_GB2312" w:eastAsia="仿宋_GB2312" w:hAnsi="Calibri" w:cs="宋体" w:hint="eastAsia"/>
          <w:kern w:val="0"/>
          <w:sz w:val="32"/>
          <w:szCs w:val="32"/>
        </w:rPr>
        <w:t>使用氨曲南</w:t>
      </w:r>
      <w:proofErr w:type="gramEnd"/>
      <w:r w:rsidRPr="002A65E3">
        <w:rPr>
          <w:rFonts w:ascii="仿宋_GB2312" w:eastAsia="仿宋_GB2312" w:hAnsi="Calibri" w:cs="宋体" w:hint="eastAsia"/>
          <w:kern w:val="0"/>
          <w:sz w:val="32"/>
          <w:szCs w:val="32"/>
        </w:rPr>
        <w:t>。</w:t>
      </w:r>
    </w:p>
    <w:p w14:paraId="37E7CDAB" w14:textId="77777777" w:rsidR="002A65E3" w:rsidRPr="002A65E3" w:rsidRDefault="002A65E3" w:rsidP="002A65E3">
      <w:pPr>
        <w:widowControl/>
        <w:spacing w:line="600" w:lineRule="atLeast"/>
        <w:ind w:firstLine="640"/>
        <w:jc w:val="left"/>
        <w:rPr>
          <w:rFonts w:ascii="宋体" w:eastAsia="宋体" w:hAnsi="宋体" w:cs="宋体"/>
          <w:kern w:val="0"/>
          <w:sz w:val="27"/>
          <w:szCs w:val="27"/>
        </w:rPr>
      </w:pPr>
      <w:r w:rsidRPr="002A65E3">
        <w:rPr>
          <w:rFonts w:ascii="黑体" w:eastAsia="黑体" w:hAnsi="黑体" w:cs="宋体" w:hint="eastAsia"/>
          <w:kern w:val="0"/>
          <w:sz w:val="32"/>
          <w:szCs w:val="32"/>
        </w:rPr>
        <w:t>三、皮试操作基本原则与结果判读</w:t>
      </w:r>
      <w:r w:rsidRPr="002A65E3">
        <w:rPr>
          <w:rFonts w:ascii="黑体" w:eastAsia="黑体" w:hAnsi="黑体" w:cs="宋体" w:hint="eastAsia"/>
          <w:kern w:val="0"/>
          <w:sz w:val="32"/>
          <w:szCs w:val="32"/>
        </w:rPr>
        <w:t> </w:t>
      </w:r>
    </w:p>
    <w:p w14:paraId="52C9F941" w14:textId="77777777" w:rsidR="002A65E3" w:rsidRPr="002A65E3" w:rsidRDefault="002A65E3" w:rsidP="002A65E3">
      <w:pPr>
        <w:widowControl/>
        <w:spacing w:line="600" w:lineRule="atLeast"/>
        <w:ind w:firstLine="640"/>
        <w:rPr>
          <w:rFonts w:ascii="宋体" w:eastAsia="宋体" w:hAnsi="宋体" w:cs="宋体" w:hint="eastAsia"/>
          <w:kern w:val="0"/>
          <w:sz w:val="27"/>
          <w:szCs w:val="27"/>
        </w:rPr>
      </w:pPr>
      <w:r w:rsidRPr="002A65E3">
        <w:rPr>
          <w:rFonts w:ascii="楷体_GB2312" w:eastAsia="楷体_GB2312" w:hAnsi="宋体" w:cs="宋体" w:hint="eastAsia"/>
          <w:kern w:val="0"/>
          <w:sz w:val="32"/>
          <w:szCs w:val="32"/>
        </w:rPr>
        <w:t>（一）皮试液配制。</w:t>
      </w:r>
    </w:p>
    <w:p w14:paraId="296C0E2D" w14:textId="77777777" w:rsidR="002A65E3" w:rsidRPr="002A65E3" w:rsidRDefault="002A65E3" w:rsidP="002A65E3">
      <w:pPr>
        <w:widowControl/>
        <w:spacing w:line="600" w:lineRule="atLeast"/>
        <w:ind w:firstLine="480"/>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青霉素皮试液配制：根据《中华人民共和国药典临床用药须知》规定，以注射用青霉素G或青霉素G皮试制剂稀释为500U/ml的皮试液。前者需多步稀释；后者仅一步稀释，可节约操作时间和人力，并减少误差及污染。</w:t>
      </w:r>
    </w:p>
    <w:p w14:paraId="3168ACD7" w14:textId="77777777" w:rsidR="002A65E3" w:rsidRPr="002A65E3" w:rsidRDefault="002A65E3" w:rsidP="002A65E3">
      <w:pPr>
        <w:widowControl/>
        <w:spacing w:line="600" w:lineRule="atLeast"/>
        <w:ind w:firstLine="480"/>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头孢菌素皮试液配制：头孢菌素皮试</w:t>
      </w:r>
      <w:proofErr w:type="gramStart"/>
      <w:r w:rsidRPr="002A65E3">
        <w:rPr>
          <w:rFonts w:ascii="仿宋_GB2312" w:eastAsia="仿宋_GB2312" w:hAnsi="宋体" w:cs="宋体" w:hint="eastAsia"/>
          <w:kern w:val="0"/>
          <w:sz w:val="32"/>
          <w:szCs w:val="32"/>
        </w:rPr>
        <w:t>不</w:t>
      </w:r>
      <w:proofErr w:type="gramEnd"/>
      <w:r w:rsidRPr="002A65E3">
        <w:rPr>
          <w:rFonts w:ascii="仿宋_GB2312" w:eastAsia="仿宋_GB2312" w:hAnsi="宋体" w:cs="宋体" w:hint="eastAsia"/>
          <w:kern w:val="0"/>
          <w:sz w:val="32"/>
          <w:szCs w:val="32"/>
        </w:rPr>
        <w:t>引发皮肤非特异性刺激反应的推荐浓度为2mg/ml。若确需进行皮试，需将拟使用的头孢菌素加生理盐水稀释至2mg/ml浓度配制成皮试液。</w:t>
      </w:r>
    </w:p>
    <w:p w14:paraId="17BB7B71" w14:textId="77777777" w:rsidR="002A65E3" w:rsidRPr="002A65E3" w:rsidRDefault="002A65E3" w:rsidP="002A65E3">
      <w:pPr>
        <w:widowControl/>
        <w:spacing w:line="600" w:lineRule="atLeast"/>
        <w:ind w:firstLine="480"/>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设立阴性对照（生理盐水）及阳性对照（0.01mg/ml磷酸组胺），有助于排除假阳性反应及假阴性反应。</w:t>
      </w:r>
    </w:p>
    <w:p w14:paraId="0E7B4E88" w14:textId="77777777" w:rsidR="002A65E3" w:rsidRPr="002A65E3" w:rsidRDefault="002A65E3" w:rsidP="002A65E3">
      <w:pPr>
        <w:widowControl/>
        <w:spacing w:line="600" w:lineRule="atLeast"/>
        <w:ind w:firstLine="640"/>
        <w:rPr>
          <w:rFonts w:ascii="宋体" w:eastAsia="宋体" w:hAnsi="宋体" w:cs="宋体" w:hint="eastAsia"/>
          <w:kern w:val="0"/>
          <w:sz w:val="27"/>
          <w:szCs w:val="27"/>
        </w:rPr>
      </w:pPr>
      <w:r w:rsidRPr="002A65E3">
        <w:rPr>
          <w:rFonts w:ascii="楷体_GB2312" w:eastAsia="楷体_GB2312" w:hAnsi="宋体" w:cs="宋体" w:hint="eastAsia"/>
          <w:kern w:val="0"/>
          <w:sz w:val="32"/>
          <w:szCs w:val="32"/>
        </w:rPr>
        <w:t>（二）皮试操作方法。</w:t>
      </w:r>
    </w:p>
    <w:p w14:paraId="2B807EE4" w14:textId="77777777" w:rsidR="002A65E3" w:rsidRPr="002A65E3" w:rsidRDefault="002A65E3" w:rsidP="002A65E3">
      <w:pPr>
        <w:widowControl/>
        <w:spacing w:line="600" w:lineRule="atLeast"/>
        <w:ind w:firstLine="640"/>
        <w:rPr>
          <w:rFonts w:ascii="Calibri" w:eastAsia="宋体" w:hAnsi="Calibri" w:cs="宋体" w:hint="eastAsia"/>
          <w:kern w:val="0"/>
          <w:szCs w:val="21"/>
        </w:rPr>
      </w:pPr>
      <w:r w:rsidRPr="002A65E3">
        <w:rPr>
          <w:rFonts w:ascii="仿宋_GB2312" w:eastAsia="仿宋_GB2312" w:hAnsi="Calibri" w:cs="宋体" w:hint="eastAsia"/>
          <w:kern w:val="0"/>
          <w:sz w:val="32"/>
          <w:szCs w:val="32"/>
        </w:rPr>
        <w:t>用75%乙醇消毒前臂掌侧下段皮肤，对乙醇敏感的患者可使用生理盐水清洁。使用1ml一次性注射器抽取皮试液，先排净针管内空气。用一手绷紧患者皮肤，另一手持针，针头斜面向上，与皮肤呈5～15°进针，皮内注射皮试液0.02～0.03ml，形成直径3mm的皮丘。</w:t>
      </w:r>
    </w:p>
    <w:p w14:paraId="7B90AF3D" w14:textId="77777777" w:rsidR="002A65E3" w:rsidRPr="002A65E3" w:rsidRDefault="002A65E3" w:rsidP="002A65E3">
      <w:pPr>
        <w:widowControl/>
        <w:spacing w:line="600" w:lineRule="atLeast"/>
        <w:ind w:firstLine="640"/>
        <w:rPr>
          <w:rFonts w:ascii="宋体" w:eastAsia="宋体" w:hAnsi="宋体" w:cs="宋体"/>
          <w:kern w:val="0"/>
          <w:sz w:val="27"/>
          <w:szCs w:val="27"/>
        </w:rPr>
      </w:pPr>
      <w:r w:rsidRPr="002A65E3">
        <w:rPr>
          <w:rFonts w:ascii="楷体_GB2312" w:eastAsia="楷体_GB2312" w:hAnsi="宋体" w:cs="宋体" w:hint="eastAsia"/>
          <w:kern w:val="0"/>
          <w:sz w:val="32"/>
          <w:szCs w:val="32"/>
        </w:rPr>
        <w:t>（三）皮试结果的判断与解读。</w:t>
      </w:r>
    </w:p>
    <w:p w14:paraId="789FC320" w14:textId="77777777" w:rsidR="002A65E3" w:rsidRPr="002A65E3" w:rsidRDefault="002A65E3" w:rsidP="002A65E3">
      <w:pPr>
        <w:widowControl/>
        <w:spacing w:line="600" w:lineRule="atLeast"/>
        <w:ind w:firstLine="640"/>
        <w:rPr>
          <w:rFonts w:ascii="Calibri" w:eastAsia="宋体" w:hAnsi="Calibri" w:cs="宋体" w:hint="eastAsia"/>
          <w:kern w:val="0"/>
          <w:szCs w:val="21"/>
        </w:rPr>
      </w:pPr>
      <w:r w:rsidRPr="002A65E3">
        <w:rPr>
          <w:rFonts w:ascii="仿宋_GB2312" w:eastAsia="仿宋_GB2312" w:hAnsi="Calibri" w:cs="宋体" w:hint="eastAsia"/>
          <w:kern w:val="0"/>
          <w:sz w:val="32"/>
          <w:szCs w:val="32"/>
        </w:rPr>
        <w:lastRenderedPageBreak/>
        <w:t>进行皮试后15～20分钟</w:t>
      </w:r>
      <w:proofErr w:type="gramStart"/>
      <w:r w:rsidRPr="002A65E3">
        <w:rPr>
          <w:rFonts w:ascii="仿宋_GB2312" w:eastAsia="仿宋_GB2312" w:hAnsi="Calibri" w:cs="宋体" w:hint="eastAsia"/>
          <w:kern w:val="0"/>
          <w:sz w:val="32"/>
          <w:szCs w:val="32"/>
        </w:rPr>
        <w:t>后判断</w:t>
      </w:r>
      <w:proofErr w:type="gramEnd"/>
      <w:r w:rsidRPr="002A65E3">
        <w:rPr>
          <w:rFonts w:ascii="仿宋_GB2312" w:eastAsia="仿宋_GB2312" w:hAnsi="Calibri" w:cs="宋体" w:hint="eastAsia"/>
          <w:kern w:val="0"/>
          <w:sz w:val="32"/>
          <w:szCs w:val="32"/>
        </w:rPr>
        <w:t>皮试结果，如</w:t>
      </w:r>
      <w:proofErr w:type="gramStart"/>
      <w:r w:rsidRPr="002A65E3">
        <w:rPr>
          <w:rFonts w:ascii="仿宋_GB2312" w:eastAsia="仿宋_GB2312" w:hAnsi="Calibri" w:cs="宋体" w:hint="eastAsia"/>
          <w:kern w:val="0"/>
          <w:sz w:val="32"/>
          <w:szCs w:val="32"/>
        </w:rPr>
        <w:t>皮丘较之前</w:t>
      </w:r>
      <w:proofErr w:type="gramEnd"/>
      <w:r w:rsidRPr="002A65E3">
        <w:rPr>
          <w:rFonts w:ascii="仿宋_GB2312" w:eastAsia="仿宋_GB2312" w:hAnsi="Calibri" w:cs="宋体" w:hint="eastAsia"/>
          <w:kern w:val="0"/>
          <w:sz w:val="32"/>
          <w:szCs w:val="32"/>
        </w:rPr>
        <w:t>注射形成的皮丘直径扩大≥3mm应判断为皮试阳性，伴有红晕或痒感更支持呈阳性反应。</w:t>
      </w:r>
    </w:p>
    <w:p w14:paraId="240D8828"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在排除假阳性反应的前提下，皮试阳性有临床意义，提示患者有发生</w:t>
      </w:r>
      <w:proofErr w:type="spellStart"/>
      <w:r w:rsidRPr="002A65E3">
        <w:rPr>
          <w:rFonts w:ascii="仿宋_GB2312" w:eastAsia="仿宋_GB2312" w:hAnsi="Calibri" w:cs="宋体" w:hint="eastAsia"/>
          <w:kern w:val="0"/>
          <w:sz w:val="32"/>
          <w:szCs w:val="32"/>
        </w:rPr>
        <w:t>IgE</w:t>
      </w:r>
      <w:proofErr w:type="spellEnd"/>
      <w:proofErr w:type="gramStart"/>
      <w:r w:rsidRPr="002A65E3">
        <w:rPr>
          <w:rFonts w:ascii="仿宋_GB2312" w:eastAsia="仿宋_GB2312" w:hAnsi="Calibri" w:cs="宋体" w:hint="eastAsia"/>
          <w:kern w:val="0"/>
          <w:sz w:val="32"/>
          <w:szCs w:val="32"/>
        </w:rPr>
        <w:t>介</w:t>
      </w:r>
      <w:proofErr w:type="gramEnd"/>
      <w:r w:rsidRPr="002A65E3">
        <w:rPr>
          <w:rFonts w:ascii="仿宋_GB2312" w:eastAsia="仿宋_GB2312" w:hAnsi="Calibri" w:cs="宋体" w:hint="eastAsia"/>
          <w:kern w:val="0"/>
          <w:sz w:val="32"/>
          <w:szCs w:val="32"/>
        </w:rPr>
        <w:t>导的速发型过敏反应的可能。皮试阳性（除非皮试诱发严重过敏反应）不应记录为“过敏”，而应记录为“皮试阳性”。</w:t>
      </w:r>
      <w:proofErr w:type="gramStart"/>
      <w:r w:rsidRPr="002A65E3">
        <w:rPr>
          <w:rFonts w:ascii="仿宋_GB2312" w:eastAsia="仿宋_GB2312" w:hAnsi="Calibri" w:cs="宋体" w:hint="eastAsia"/>
          <w:kern w:val="0"/>
          <w:sz w:val="32"/>
          <w:szCs w:val="32"/>
        </w:rPr>
        <w:t>既往仅</w:t>
      </w:r>
      <w:proofErr w:type="gramEnd"/>
      <w:r w:rsidRPr="002A65E3">
        <w:rPr>
          <w:rFonts w:ascii="仿宋_GB2312" w:eastAsia="仿宋_GB2312" w:hAnsi="Calibri" w:cs="宋体" w:hint="eastAsia"/>
          <w:kern w:val="0"/>
          <w:sz w:val="32"/>
          <w:szCs w:val="32"/>
        </w:rPr>
        <w:t>皮试阳性的患者，并非皮试的禁忌证，可在密切观察基础上重复皮试。</w:t>
      </w:r>
    </w:p>
    <w:p w14:paraId="362D1ECE"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皮试阴性不能完全排除过敏反应的可能，原因在于：①皮试仅对</w:t>
      </w:r>
      <w:proofErr w:type="spellStart"/>
      <w:r w:rsidRPr="002A65E3">
        <w:rPr>
          <w:rFonts w:ascii="仿宋_GB2312" w:eastAsia="仿宋_GB2312" w:hAnsi="Calibri" w:cs="宋体" w:hint="eastAsia"/>
          <w:kern w:val="0"/>
          <w:sz w:val="32"/>
          <w:szCs w:val="32"/>
        </w:rPr>
        <w:t>IgE</w:t>
      </w:r>
      <w:proofErr w:type="spellEnd"/>
      <w:proofErr w:type="gramStart"/>
      <w:r w:rsidRPr="002A65E3">
        <w:rPr>
          <w:rFonts w:ascii="仿宋_GB2312" w:eastAsia="仿宋_GB2312" w:hAnsi="Calibri" w:cs="宋体" w:hint="eastAsia"/>
          <w:kern w:val="0"/>
          <w:sz w:val="32"/>
          <w:szCs w:val="32"/>
        </w:rPr>
        <w:t>介</w:t>
      </w:r>
      <w:proofErr w:type="gramEnd"/>
      <w:r w:rsidRPr="002A65E3">
        <w:rPr>
          <w:rFonts w:ascii="仿宋_GB2312" w:eastAsia="仿宋_GB2312" w:hAnsi="Calibri" w:cs="宋体" w:hint="eastAsia"/>
          <w:kern w:val="0"/>
          <w:sz w:val="32"/>
          <w:szCs w:val="32"/>
        </w:rPr>
        <w:t>导的速发型过敏反应有预测价值，对非</w:t>
      </w:r>
      <w:proofErr w:type="spellStart"/>
      <w:r w:rsidRPr="002A65E3">
        <w:rPr>
          <w:rFonts w:ascii="仿宋_GB2312" w:eastAsia="仿宋_GB2312" w:hAnsi="Calibri" w:cs="宋体" w:hint="eastAsia"/>
          <w:kern w:val="0"/>
          <w:sz w:val="32"/>
          <w:szCs w:val="32"/>
        </w:rPr>
        <w:t>IgE</w:t>
      </w:r>
      <w:proofErr w:type="spellEnd"/>
      <w:proofErr w:type="gramStart"/>
      <w:r w:rsidRPr="002A65E3">
        <w:rPr>
          <w:rFonts w:ascii="仿宋_GB2312" w:eastAsia="仿宋_GB2312" w:hAnsi="Calibri" w:cs="宋体" w:hint="eastAsia"/>
          <w:kern w:val="0"/>
          <w:sz w:val="32"/>
          <w:szCs w:val="32"/>
        </w:rPr>
        <w:t>介</w:t>
      </w:r>
      <w:proofErr w:type="gramEnd"/>
      <w:r w:rsidRPr="002A65E3">
        <w:rPr>
          <w:rFonts w:ascii="仿宋_GB2312" w:eastAsia="仿宋_GB2312" w:hAnsi="Calibri" w:cs="宋体" w:hint="eastAsia"/>
          <w:kern w:val="0"/>
          <w:sz w:val="32"/>
          <w:szCs w:val="32"/>
        </w:rPr>
        <w:t>导的迟发型过敏反应无预测价值；②我国青霉素皮试检测试剂仅含青霉素G，部分医院加入了半合成青霉素，但未包含PPL、MDM，皮试的灵敏度有限；③未常规采用阳性对照，不能排除假阴性结果。因此即使皮试为阴性，在药物使用过程中仍需注意密切观察，并做好过敏反应抢救准备。</w:t>
      </w:r>
    </w:p>
    <w:p w14:paraId="7C03881E" w14:textId="77777777" w:rsidR="002A65E3" w:rsidRPr="002A65E3" w:rsidRDefault="002A65E3" w:rsidP="002A65E3">
      <w:pPr>
        <w:widowControl/>
        <w:spacing w:line="600" w:lineRule="atLeast"/>
        <w:ind w:firstLine="640"/>
        <w:rPr>
          <w:rFonts w:ascii="宋体" w:eastAsia="宋体" w:hAnsi="宋体" w:cs="宋体"/>
          <w:kern w:val="0"/>
          <w:sz w:val="27"/>
          <w:szCs w:val="27"/>
        </w:rPr>
      </w:pPr>
      <w:r w:rsidRPr="002A65E3">
        <w:rPr>
          <w:rFonts w:ascii="楷体_GB2312" w:eastAsia="楷体_GB2312" w:hAnsi="宋体" w:cs="宋体" w:hint="eastAsia"/>
          <w:kern w:val="0"/>
          <w:sz w:val="32"/>
          <w:szCs w:val="32"/>
        </w:rPr>
        <w:t>（四）皮试注意事项。</w:t>
      </w:r>
    </w:p>
    <w:p w14:paraId="2E89EB73"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1.皮试有诱发严重过敏反应甚至过敏性休克的可能，皮试区应常规备有相关抢救设备及药品，且相关人员应接受过严重过敏反应抢救的正规培训；4～6周内发生过β内酰胺类药物严重过敏反应的患者进行皮试，由于</w:t>
      </w:r>
      <w:proofErr w:type="spellStart"/>
      <w:r w:rsidRPr="002A65E3">
        <w:rPr>
          <w:rFonts w:ascii="仿宋_GB2312" w:eastAsia="仿宋_GB2312" w:hAnsi="宋体" w:cs="宋体" w:hint="eastAsia"/>
          <w:kern w:val="0"/>
          <w:sz w:val="32"/>
          <w:szCs w:val="32"/>
        </w:rPr>
        <w:t>sIgE</w:t>
      </w:r>
      <w:proofErr w:type="spellEnd"/>
      <w:r w:rsidRPr="002A65E3">
        <w:rPr>
          <w:rFonts w:ascii="仿宋_GB2312" w:eastAsia="仿宋_GB2312" w:hAnsi="宋体" w:cs="宋体" w:hint="eastAsia"/>
          <w:kern w:val="0"/>
          <w:sz w:val="32"/>
          <w:szCs w:val="32"/>
        </w:rPr>
        <w:t>在严重过敏反应发生时已被大量消耗，皮试可能出现假阴性结果。如需进行皮试，建议在反应发生4～6周后进行。</w:t>
      </w:r>
    </w:p>
    <w:p w14:paraId="7C1A5AB0"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lastRenderedPageBreak/>
        <w:t>2.有些药物可抑制皮肤反应，导致假阴性结果，故皮试前应询问近期用药史，并在病情允许时停用可能干扰皮试结果的药物。全身应用一代抗组胺药物停药至少2～3天，二代抗组胺药物停药至少3～7天，全身较长时间应用糖皮质激素停药至少7天，丙</w:t>
      </w:r>
      <w:proofErr w:type="gramStart"/>
      <w:r w:rsidRPr="002A65E3">
        <w:rPr>
          <w:rFonts w:ascii="仿宋_GB2312" w:eastAsia="仿宋_GB2312" w:hAnsi="宋体" w:cs="宋体" w:hint="eastAsia"/>
          <w:kern w:val="0"/>
          <w:sz w:val="32"/>
          <w:szCs w:val="32"/>
        </w:rPr>
        <w:t>咪嗪</w:t>
      </w:r>
      <w:proofErr w:type="gramEnd"/>
      <w:r w:rsidRPr="002A65E3">
        <w:rPr>
          <w:rFonts w:ascii="仿宋_GB2312" w:eastAsia="仿宋_GB2312" w:hAnsi="宋体" w:cs="宋体" w:hint="eastAsia"/>
          <w:kern w:val="0"/>
          <w:sz w:val="32"/>
          <w:szCs w:val="32"/>
        </w:rPr>
        <w:t>类抗抑郁药、</w:t>
      </w:r>
      <w:proofErr w:type="gramStart"/>
      <w:r w:rsidRPr="002A65E3">
        <w:rPr>
          <w:rFonts w:ascii="仿宋_GB2312" w:eastAsia="仿宋_GB2312" w:hAnsi="宋体" w:cs="宋体" w:hint="eastAsia"/>
          <w:kern w:val="0"/>
          <w:sz w:val="32"/>
          <w:szCs w:val="32"/>
        </w:rPr>
        <w:t>吩噻嗪</w:t>
      </w:r>
      <w:proofErr w:type="gramEnd"/>
      <w:r w:rsidRPr="002A65E3">
        <w:rPr>
          <w:rFonts w:ascii="仿宋_GB2312" w:eastAsia="仿宋_GB2312" w:hAnsi="宋体" w:cs="宋体" w:hint="eastAsia"/>
          <w:kern w:val="0"/>
          <w:sz w:val="32"/>
          <w:szCs w:val="32"/>
        </w:rPr>
        <w:t>类抗精神病药停药至少7天，对皮试的影响才能消除。如用药史不明，或因客观原因无法停药或停足够长时间，应以磷酸组胺作为阳性对照，明确皮肤反应性是否受抑制而导致假阴性。</w:t>
      </w:r>
    </w:p>
    <w:p w14:paraId="1A160FD2"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3.哮喘控制不佳或哮喘急性发作期患者进行皮试，一旦出现严重过敏反应，症状会更重，因此皮试最好在哮喘控制期进行；若必须在非控制期进行皮试，需加强监测。</w:t>
      </w:r>
    </w:p>
    <w:p w14:paraId="5B69A4C2"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4.β受体阻滞剂及血管紧张素转化酶抑制剂可影响对严重过敏反应的救治。有严重过敏反应高危因素的患者，皮试前应至少停此类药物24小时。</w:t>
      </w:r>
    </w:p>
    <w:p w14:paraId="7EE28C86"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5.皮试液浓度过高会引起皮肤非特异性刺激，操作者手法较重、注射量大及注入气泡等均可导致假阳性反应。</w:t>
      </w:r>
    </w:p>
    <w:p w14:paraId="54360004"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6.皮肤反应性增高（如部分荨麻疹、皮肤肥大细胞增多症）的患者可出现假阳性反应，影响结果判读，应以生理盐水作为阴性对照。</w:t>
      </w:r>
    </w:p>
    <w:p w14:paraId="36AB85BA"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7.婴幼儿及老年患者皮肤反应性差，可能出现假阴性结果。</w:t>
      </w:r>
    </w:p>
    <w:p w14:paraId="6D35F61A"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lastRenderedPageBreak/>
        <w:t>8.皮试液抗原性低或失效可导致假阴性反应，因此皮试液应尽量现配现用，如需保存应4℃冷藏，且保存时间不应超过24小时。</w:t>
      </w:r>
    </w:p>
    <w:p w14:paraId="4A2F32DD"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黑体" w:eastAsia="黑体" w:hAnsi="黑体" w:cs="宋体" w:hint="eastAsia"/>
          <w:kern w:val="0"/>
          <w:sz w:val="32"/>
          <w:szCs w:val="32"/>
        </w:rPr>
        <w:t>四、过敏史的甄别与严重过敏反应的救治</w:t>
      </w:r>
    </w:p>
    <w:p w14:paraId="0FBF2606"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皮试仅为预防过敏反应的措施之一，其预测作用仅限于少数药物引发的</w:t>
      </w:r>
      <w:proofErr w:type="spellStart"/>
      <w:r w:rsidRPr="002A65E3">
        <w:rPr>
          <w:rFonts w:ascii="仿宋_GB2312" w:eastAsia="仿宋_GB2312" w:hAnsi="宋体" w:cs="宋体" w:hint="eastAsia"/>
          <w:kern w:val="0"/>
          <w:sz w:val="32"/>
          <w:szCs w:val="32"/>
        </w:rPr>
        <w:t>IgE</w:t>
      </w:r>
      <w:proofErr w:type="spellEnd"/>
      <w:proofErr w:type="gramStart"/>
      <w:r w:rsidRPr="002A65E3">
        <w:rPr>
          <w:rFonts w:ascii="仿宋_GB2312" w:eastAsia="仿宋_GB2312" w:hAnsi="宋体" w:cs="宋体" w:hint="eastAsia"/>
          <w:kern w:val="0"/>
          <w:sz w:val="32"/>
          <w:szCs w:val="32"/>
        </w:rPr>
        <w:t>介</w:t>
      </w:r>
      <w:proofErr w:type="gramEnd"/>
      <w:r w:rsidRPr="002A65E3">
        <w:rPr>
          <w:rFonts w:ascii="仿宋_GB2312" w:eastAsia="仿宋_GB2312" w:hAnsi="宋体" w:cs="宋体" w:hint="eastAsia"/>
          <w:kern w:val="0"/>
          <w:sz w:val="32"/>
          <w:szCs w:val="32"/>
        </w:rPr>
        <w:t>导的速发型过敏反应。预防和降低过敏反应风险应更多依靠：①详细询问和甄别过敏史；②用药期间的密切观察；③配备过敏反应抢救药品和设备；④医务人员熟悉严重过敏反应救治措施。</w:t>
      </w:r>
    </w:p>
    <w:p w14:paraId="33227093" w14:textId="77777777" w:rsidR="002A65E3" w:rsidRPr="002A65E3" w:rsidRDefault="002A65E3" w:rsidP="002A65E3">
      <w:pPr>
        <w:widowControl/>
        <w:spacing w:line="600" w:lineRule="atLeast"/>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采集和甄别过敏史，应认真询问并详细记录：①可疑药物品种；②给药途径；③给药与出现疑似过敏反应的时间间隔；④临床表现；⑤处置与转归；⑥经治医师所做诊断。应注意鉴别患者所诉的“过敏反应”是否为非过敏性的药物不良反应。如考虑过敏反应，还应尽量区分为速发型还是迟发型。记录过敏史时，尽量具体到药物品种而非笼统表述为某类药物过敏；</w:t>
      </w:r>
      <w:proofErr w:type="gramStart"/>
      <w:r w:rsidRPr="002A65E3">
        <w:rPr>
          <w:rFonts w:ascii="仿宋_GB2312" w:eastAsia="仿宋_GB2312" w:hAnsi="宋体" w:cs="宋体" w:hint="eastAsia"/>
          <w:kern w:val="0"/>
          <w:sz w:val="32"/>
          <w:szCs w:val="32"/>
        </w:rPr>
        <w:t>既往仅</w:t>
      </w:r>
      <w:proofErr w:type="gramEnd"/>
      <w:r w:rsidRPr="002A65E3">
        <w:rPr>
          <w:rFonts w:ascii="仿宋_GB2312" w:eastAsia="仿宋_GB2312" w:hAnsi="宋体" w:cs="宋体" w:hint="eastAsia"/>
          <w:kern w:val="0"/>
          <w:sz w:val="32"/>
          <w:szCs w:val="32"/>
        </w:rPr>
        <w:t>皮试阳性患者，应为“既往皮试阳性”，而不应表述为“过敏”。</w:t>
      </w:r>
    </w:p>
    <w:p w14:paraId="4B457A50" w14:textId="77777777" w:rsidR="002A65E3" w:rsidRPr="002A65E3" w:rsidRDefault="002A65E3" w:rsidP="002A65E3">
      <w:pPr>
        <w:widowControl/>
        <w:spacing w:line="600" w:lineRule="atLeast"/>
        <w:jc w:val="left"/>
        <w:rPr>
          <w:rFonts w:ascii="宋体" w:eastAsia="宋体" w:hAnsi="宋体" w:cs="宋体" w:hint="eastAsia"/>
          <w:kern w:val="0"/>
          <w:sz w:val="27"/>
          <w:szCs w:val="27"/>
        </w:rPr>
      </w:pPr>
      <w:r w:rsidRPr="002A65E3">
        <w:rPr>
          <w:rFonts w:ascii="仿宋_GB2312" w:eastAsia="仿宋_GB2312" w:hAnsi="宋体" w:cs="宋体" w:hint="eastAsia"/>
          <w:kern w:val="0"/>
          <w:sz w:val="32"/>
          <w:szCs w:val="32"/>
        </w:rPr>
        <w:t>严重过敏反应的抢救必须争分夺秒，救治的首要目的是维持有效通气及循环。抢救的首选用药是肾上腺素。糖皮质激素及抗组胺药物并不是严重过敏反应的抢救首选用药。糖皮质激素起效慢，对于严重过敏反应急性期无效，仅适用于预防严重过敏反应迟发相反应（少数患者严重过敏反</w:t>
      </w:r>
      <w:r w:rsidRPr="002A65E3">
        <w:rPr>
          <w:rFonts w:ascii="仿宋_GB2312" w:eastAsia="仿宋_GB2312" w:hAnsi="宋体" w:cs="宋体" w:hint="eastAsia"/>
          <w:kern w:val="0"/>
          <w:sz w:val="32"/>
          <w:szCs w:val="32"/>
        </w:rPr>
        <w:lastRenderedPageBreak/>
        <w:t>应可为双相，即速发相反应消失4～8小时后症状再次出现，称为迟发相反应）。严重过敏反应的救治措施包括：①立即停用导致过敏药物，静脉给药者更换输液瓶及输液器，救治过程严密监控心率、血压、呼吸及血氧饱和度；②肾上腺素（1:1000）：14岁及以上患者单次0.3～0.5ml深部肌内注射，14岁以下患者0.01ml/kg体重深部肌内注射（单次最大剂量0.3ml），5～15分钟后效果不理想者可重复注射，注射最佳部位为大腿中部外侧；③保持气道通畅，吸氧，必要时气管插管或气管切开，如暂无条件建立人工气道，紧急情况下可先行环甲膜穿刺；④建立静脉通道（两条或两条以上），静滴晶体液维持血压（液体用量20ml/kg，根据患者情况调整剂量），必要时静脉点滴多巴胺维持血压；⑤若有支气管痉挛，可吸入β</w:t>
      </w:r>
      <w:r w:rsidRPr="002A65E3">
        <w:rPr>
          <w:rFonts w:ascii="仿宋_GB2312" w:eastAsia="仿宋_GB2312" w:hAnsi="宋体" w:cs="宋体" w:hint="eastAsia"/>
          <w:kern w:val="0"/>
          <w:sz w:val="32"/>
          <w:szCs w:val="32"/>
          <w:vertAlign w:val="subscript"/>
        </w:rPr>
        <w:t>2</w:t>
      </w:r>
      <w:r w:rsidRPr="002A65E3">
        <w:rPr>
          <w:rFonts w:ascii="仿宋_GB2312" w:eastAsia="仿宋_GB2312" w:hAnsi="宋体" w:cs="宋体" w:hint="eastAsia"/>
          <w:kern w:val="0"/>
          <w:sz w:val="32"/>
          <w:szCs w:val="32"/>
        </w:rPr>
        <w:t>受体激动剂；⑥抗组胺药：如苯海拉明1.25mg/kg，最大量50mg，肌内注射；⑦糖皮质激素：</w:t>
      </w:r>
      <w:proofErr w:type="gramStart"/>
      <w:r w:rsidRPr="002A65E3">
        <w:rPr>
          <w:rFonts w:ascii="仿宋_GB2312" w:eastAsia="仿宋_GB2312" w:hAnsi="宋体" w:cs="宋体" w:hint="eastAsia"/>
          <w:kern w:val="0"/>
          <w:sz w:val="32"/>
          <w:szCs w:val="32"/>
        </w:rPr>
        <w:t>静脉甲泼尼龙</w:t>
      </w:r>
      <w:proofErr w:type="gramEnd"/>
      <w:r w:rsidRPr="002A65E3">
        <w:rPr>
          <w:rFonts w:ascii="仿宋_GB2312" w:eastAsia="仿宋_GB2312" w:hAnsi="宋体" w:cs="宋体" w:hint="eastAsia"/>
          <w:kern w:val="0"/>
          <w:sz w:val="32"/>
          <w:szCs w:val="32"/>
        </w:rPr>
        <w:t>40mg/100ml生理盐水，或氢化可的松琥珀酸钠100mg～200mg；⑧任</w:t>
      </w:r>
      <w:proofErr w:type="gramStart"/>
      <w:r w:rsidRPr="002A65E3">
        <w:rPr>
          <w:rFonts w:ascii="仿宋_GB2312" w:eastAsia="仿宋_GB2312" w:hAnsi="宋体" w:cs="宋体" w:hint="eastAsia"/>
          <w:kern w:val="0"/>
          <w:sz w:val="32"/>
          <w:szCs w:val="32"/>
        </w:rPr>
        <w:t>一</w:t>
      </w:r>
      <w:proofErr w:type="gramEnd"/>
      <w:r w:rsidRPr="002A65E3">
        <w:rPr>
          <w:rFonts w:ascii="仿宋_GB2312" w:eastAsia="仿宋_GB2312" w:hAnsi="宋体" w:cs="宋体" w:hint="eastAsia"/>
          <w:kern w:val="0"/>
          <w:sz w:val="32"/>
          <w:szCs w:val="32"/>
        </w:rPr>
        <w:t>环节中如出现心跳呼吸骤停，立即就地进行规范心肺复苏术。患者经救治脱离危险后，应留院观察至少12小时。</w:t>
      </w:r>
    </w:p>
    <w:p w14:paraId="437230C5"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r w:rsidRPr="002A65E3">
        <w:rPr>
          <w:rFonts w:ascii="黑体" w:eastAsia="黑体" w:hAnsi="黑体" w:cs="宋体" w:hint="eastAsia"/>
          <w:kern w:val="0"/>
          <w:sz w:val="32"/>
          <w:szCs w:val="32"/>
        </w:rPr>
        <w:t>五、改进皮试实践的策略和措施</w:t>
      </w:r>
    </w:p>
    <w:p w14:paraId="0EC5CA04" w14:textId="77777777" w:rsidR="002A65E3" w:rsidRPr="002A65E3" w:rsidRDefault="002A65E3" w:rsidP="002A65E3">
      <w:pPr>
        <w:widowControl/>
        <w:spacing w:line="600" w:lineRule="atLeast"/>
        <w:ind w:firstLine="640"/>
        <w:rPr>
          <w:rFonts w:ascii="Calibri" w:eastAsia="宋体" w:hAnsi="Calibri" w:cs="宋体" w:hint="eastAsia"/>
          <w:kern w:val="0"/>
          <w:szCs w:val="21"/>
        </w:rPr>
      </w:pPr>
      <w:r w:rsidRPr="002A65E3">
        <w:rPr>
          <w:rFonts w:ascii="仿宋_GB2312" w:eastAsia="仿宋_GB2312" w:hAnsi="Calibri" w:cs="宋体" w:hint="eastAsia"/>
          <w:kern w:val="0"/>
          <w:sz w:val="32"/>
          <w:szCs w:val="32"/>
        </w:rPr>
        <w:t>各级卫生健康行政部门、医疗机构和相关学术组织应充分认识规范β内酰胺类抗菌药物皮试对于抗菌药物合理应</w:t>
      </w:r>
      <w:r w:rsidRPr="002A65E3">
        <w:rPr>
          <w:rFonts w:ascii="仿宋_GB2312" w:eastAsia="仿宋_GB2312" w:hAnsi="Calibri" w:cs="宋体" w:hint="eastAsia"/>
          <w:kern w:val="0"/>
          <w:sz w:val="32"/>
          <w:szCs w:val="32"/>
        </w:rPr>
        <w:lastRenderedPageBreak/>
        <w:t>用的重大意义，基于当前实际，循序渐进地改进β内酰胺类抗菌药物皮试。</w:t>
      </w:r>
    </w:p>
    <w:p w14:paraId="54E3A3C3"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一）积极组织医务人员进行有关β内酰胺类抗菌药物皮试适应证、意义、结果解读和过敏反应预防、救治的培训，纠正将预防过敏反应全部寄托于皮试、皮试适应证过泛的错误观念和做法。对从事皮试操作的护士进行过敏反应相关理论和皮试操作实践的重点培训。在有条件的医疗机构建立变态反应科，以提高皮试和过敏反应防控水平。</w:t>
      </w:r>
    </w:p>
    <w:p w14:paraId="3C0E6567"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二）各级卫生健康行政部门、医疗机构、相关学术组织等，应根据循证证据和本指导原则精神，修正相关规章、制度、指南、共识、专业著作中关于皮试的内容。鼓励通过积极反馈，促进修改β内酰胺类抗菌药物说明书中关于皮试的内容。</w:t>
      </w:r>
    </w:p>
    <w:p w14:paraId="0F54FA09"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（三）使用头孢菌素类抗菌药物前，除上述“二、皮试适应证”一节规定的</w:t>
      </w:r>
      <w:proofErr w:type="gramStart"/>
      <w:r w:rsidRPr="002A65E3">
        <w:rPr>
          <w:rFonts w:ascii="仿宋_GB2312" w:eastAsia="仿宋_GB2312" w:hAnsi="Calibri" w:cs="宋体" w:hint="eastAsia"/>
          <w:kern w:val="0"/>
          <w:sz w:val="32"/>
          <w:szCs w:val="32"/>
        </w:rPr>
        <w:t>两种需</w:t>
      </w:r>
      <w:proofErr w:type="gramEnd"/>
      <w:r w:rsidRPr="002A65E3">
        <w:rPr>
          <w:rFonts w:ascii="仿宋_GB2312" w:eastAsia="仿宋_GB2312" w:hAnsi="Calibri" w:cs="宋体" w:hint="eastAsia"/>
          <w:kern w:val="0"/>
          <w:sz w:val="32"/>
          <w:szCs w:val="32"/>
        </w:rPr>
        <w:t>进行皮试的特定情况外，不需皮试。</w:t>
      </w:r>
    </w:p>
    <w:p w14:paraId="4A08E809"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四）鼓励医疗机构、相关学术组织等对我国青霉素、头孢菌素过敏反应发生率进行调查，为我国青霉素皮试试剂的最佳组合提供循证医学证据。协调促进研制或引进PPL、MDM，为青霉素皮试提供更完备的试剂种类。</w:t>
      </w:r>
    </w:p>
    <w:p w14:paraId="52BA8705"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（五）根据世界卫生组织对青霉素皮试的推荐意见，在充分研究，推进修订药品说明书、相关文件、权威著作的基</w:t>
      </w:r>
      <w:r w:rsidRPr="002A65E3">
        <w:rPr>
          <w:rFonts w:ascii="仿宋_GB2312" w:eastAsia="仿宋_GB2312" w:hAnsi="Calibri" w:cs="宋体" w:hint="eastAsia"/>
          <w:kern w:val="0"/>
          <w:sz w:val="32"/>
          <w:szCs w:val="32"/>
        </w:rPr>
        <w:lastRenderedPageBreak/>
        <w:t>础上：①精准定位青霉素皮试适应证，并从口服青霉素类药物做起，逐步取消常规青霉素皮试筛查；②完善青霉素皮试方法。</w:t>
      </w:r>
    </w:p>
    <w:p w14:paraId="58DABE48" w14:textId="78795362" w:rsidR="002A65E3" w:rsidRDefault="002A65E3" w:rsidP="002A65E3">
      <w:pPr>
        <w:widowControl/>
        <w:spacing w:line="600" w:lineRule="atLeast"/>
        <w:ind w:firstLine="640"/>
        <w:jc w:val="left"/>
        <w:rPr>
          <w:rFonts w:ascii="仿宋_GB2312" w:eastAsia="仿宋_GB2312" w:hAnsi="宋体" w:cs="宋体"/>
          <w:kern w:val="0"/>
          <w:sz w:val="32"/>
          <w:szCs w:val="32"/>
        </w:rPr>
      </w:pPr>
      <w:r w:rsidRPr="002A65E3">
        <w:rPr>
          <w:rFonts w:ascii="仿宋_GB2312" w:eastAsia="仿宋_GB2312" w:hAnsi="宋体" w:cs="宋体" w:hint="eastAsia"/>
          <w:kern w:val="0"/>
          <w:sz w:val="32"/>
          <w:szCs w:val="32"/>
        </w:rPr>
        <w:t>（六）医疗机构、相关学术组织和医务人员积极开展面向公众的β内酰胺类抗菌药物皮试知识普及工作，并与相关管理部门充分沟通，为规范β内酰胺类抗菌药物皮试创造良好环境。</w:t>
      </w:r>
    </w:p>
    <w:p w14:paraId="6180D83A" w14:textId="26F40C34" w:rsidR="002A65E3" w:rsidRDefault="002A65E3" w:rsidP="002A65E3">
      <w:pPr>
        <w:widowControl/>
        <w:spacing w:line="600" w:lineRule="atLeast"/>
        <w:ind w:firstLine="640"/>
        <w:jc w:val="left"/>
        <w:rPr>
          <w:rFonts w:ascii="仿宋_GB2312" w:eastAsia="仿宋_GB2312" w:hAnsi="宋体" w:cs="宋体"/>
          <w:kern w:val="0"/>
          <w:sz w:val="32"/>
          <w:szCs w:val="32"/>
        </w:rPr>
      </w:pPr>
    </w:p>
    <w:p w14:paraId="7B84E647" w14:textId="34832542" w:rsidR="002A65E3" w:rsidRDefault="002A65E3" w:rsidP="002A65E3">
      <w:pPr>
        <w:widowControl/>
        <w:spacing w:line="600" w:lineRule="atLeast"/>
        <w:ind w:firstLine="640"/>
        <w:jc w:val="left"/>
        <w:rPr>
          <w:rFonts w:ascii="仿宋_GB2312" w:eastAsia="仿宋_GB2312" w:hAnsi="宋体" w:cs="宋体"/>
          <w:kern w:val="0"/>
          <w:sz w:val="32"/>
          <w:szCs w:val="32"/>
        </w:rPr>
      </w:pPr>
    </w:p>
    <w:p w14:paraId="691D2341" w14:textId="77777777" w:rsidR="002A65E3" w:rsidRDefault="002A65E3" w:rsidP="002A65E3">
      <w:pPr>
        <w:widowControl/>
        <w:spacing w:line="600" w:lineRule="atLeast"/>
        <w:jc w:val="center"/>
        <w:rPr>
          <w:rFonts w:ascii="宋体" w:eastAsia="宋体" w:hAnsi="宋体" w:cs="宋体"/>
          <w:b/>
          <w:bCs/>
          <w:kern w:val="0"/>
          <w:sz w:val="44"/>
          <w:szCs w:val="44"/>
        </w:rPr>
      </w:pPr>
    </w:p>
    <w:p w14:paraId="7640751E" w14:textId="77777777" w:rsidR="002A65E3" w:rsidRDefault="002A65E3" w:rsidP="002A65E3">
      <w:pPr>
        <w:widowControl/>
        <w:spacing w:line="600" w:lineRule="atLeast"/>
        <w:jc w:val="center"/>
        <w:rPr>
          <w:rFonts w:ascii="宋体" w:eastAsia="宋体" w:hAnsi="宋体" w:cs="宋体"/>
          <w:b/>
          <w:bCs/>
          <w:kern w:val="0"/>
          <w:sz w:val="44"/>
          <w:szCs w:val="44"/>
        </w:rPr>
      </w:pPr>
    </w:p>
    <w:p w14:paraId="421D8462" w14:textId="77777777" w:rsidR="002A65E3" w:rsidRDefault="002A65E3" w:rsidP="002A65E3">
      <w:pPr>
        <w:widowControl/>
        <w:spacing w:line="600" w:lineRule="atLeast"/>
        <w:jc w:val="center"/>
        <w:rPr>
          <w:rFonts w:ascii="宋体" w:eastAsia="宋体" w:hAnsi="宋体" w:cs="宋体"/>
          <w:b/>
          <w:bCs/>
          <w:kern w:val="0"/>
          <w:sz w:val="44"/>
          <w:szCs w:val="44"/>
        </w:rPr>
      </w:pPr>
    </w:p>
    <w:p w14:paraId="3AD00151" w14:textId="77777777" w:rsidR="002A65E3" w:rsidRDefault="002A65E3" w:rsidP="002A65E3">
      <w:pPr>
        <w:widowControl/>
        <w:spacing w:line="600" w:lineRule="atLeast"/>
        <w:jc w:val="center"/>
        <w:rPr>
          <w:rFonts w:ascii="宋体" w:eastAsia="宋体" w:hAnsi="宋体" w:cs="宋体"/>
          <w:b/>
          <w:bCs/>
          <w:kern w:val="0"/>
          <w:sz w:val="44"/>
          <w:szCs w:val="44"/>
        </w:rPr>
      </w:pPr>
    </w:p>
    <w:p w14:paraId="25CF5F74" w14:textId="77777777" w:rsidR="002A65E3" w:rsidRDefault="002A65E3" w:rsidP="002A65E3">
      <w:pPr>
        <w:widowControl/>
        <w:spacing w:line="600" w:lineRule="atLeast"/>
        <w:jc w:val="center"/>
        <w:rPr>
          <w:rFonts w:ascii="宋体" w:eastAsia="宋体" w:hAnsi="宋体" w:cs="宋体"/>
          <w:b/>
          <w:bCs/>
          <w:kern w:val="0"/>
          <w:sz w:val="44"/>
          <w:szCs w:val="44"/>
        </w:rPr>
      </w:pPr>
    </w:p>
    <w:p w14:paraId="18C558D0" w14:textId="77777777" w:rsidR="002A65E3" w:rsidRDefault="002A65E3" w:rsidP="002A65E3">
      <w:pPr>
        <w:widowControl/>
        <w:spacing w:line="600" w:lineRule="atLeast"/>
        <w:jc w:val="center"/>
        <w:rPr>
          <w:rFonts w:ascii="宋体" w:eastAsia="宋体" w:hAnsi="宋体" w:cs="宋体"/>
          <w:b/>
          <w:bCs/>
          <w:kern w:val="0"/>
          <w:sz w:val="44"/>
          <w:szCs w:val="44"/>
        </w:rPr>
      </w:pPr>
    </w:p>
    <w:p w14:paraId="4927F622" w14:textId="77777777" w:rsidR="002A65E3" w:rsidRDefault="002A65E3" w:rsidP="002A65E3">
      <w:pPr>
        <w:widowControl/>
        <w:spacing w:line="600" w:lineRule="atLeast"/>
        <w:jc w:val="center"/>
        <w:rPr>
          <w:rFonts w:ascii="宋体" w:eastAsia="宋体" w:hAnsi="宋体" w:cs="宋体"/>
          <w:b/>
          <w:bCs/>
          <w:kern w:val="0"/>
          <w:sz w:val="44"/>
          <w:szCs w:val="44"/>
        </w:rPr>
      </w:pPr>
    </w:p>
    <w:p w14:paraId="16636F63" w14:textId="77777777" w:rsidR="002A65E3" w:rsidRDefault="002A65E3" w:rsidP="002A65E3">
      <w:pPr>
        <w:widowControl/>
        <w:spacing w:line="600" w:lineRule="atLeast"/>
        <w:jc w:val="center"/>
        <w:rPr>
          <w:rFonts w:ascii="宋体" w:eastAsia="宋体" w:hAnsi="宋体" w:cs="宋体"/>
          <w:b/>
          <w:bCs/>
          <w:kern w:val="0"/>
          <w:sz w:val="44"/>
          <w:szCs w:val="44"/>
        </w:rPr>
      </w:pPr>
    </w:p>
    <w:p w14:paraId="5BFA845F" w14:textId="77777777" w:rsidR="002A65E3" w:rsidRDefault="002A65E3" w:rsidP="002A65E3">
      <w:pPr>
        <w:widowControl/>
        <w:spacing w:line="600" w:lineRule="atLeast"/>
        <w:jc w:val="center"/>
        <w:rPr>
          <w:rFonts w:ascii="宋体" w:eastAsia="宋体" w:hAnsi="宋体" w:cs="宋体"/>
          <w:b/>
          <w:bCs/>
          <w:kern w:val="0"/>
          <w:sz w:val="44"/>
          <w:szCs w:val="44"/>
        </w:rPr>
      </w:pPr>
    </w:p>
    <w:p w14:paraId="231850D0" w14:textId="77777777" w:rsidR="002A65E3" w:rsidRDefault="002A65E3" w:rsidP="002A65E3">
      <w:pPr>
        <w:widowControl/>
        <w:spacing w:line="600" w:lineRule="atLeast"/>
        <w:jc w:val="center"/>
        <w:rPr>
          <w:rFonts w:ascii="宋体" w:eastAsia="宋体" w:hAnsi="宋体" w:cs="宋体"/>
          <w:b/>
          <w:bCs/>
          <w:kern w:val="0"/>
          <w:sz w:val="44"/>
          <w:szCs w:val="44"/>
        </w:rPr>
      </w:pPr>
    </w:p>
    <w:p w14:paraId="32B730D6" w14:textId="77777777" w:rsidR="002A65E3" w:rsidRDefault="002A65E3" w:rsidP="002A65E3">
      <w:pPr>
        <w:widowControl/>
        <w:spacing w:line="600" w:lineRule="atLeast"/>
        <w:jc w:val="center"/>
        <w:rPr>
          <w:rFonts w:ascii="宋体" w:eastAsia="宋体" w:hAnsi="宋体" w:cs="宋体"/>
          <w:b/>
          <w:bCs/>
          <w:kern w:val="0"/>
          <w:sz w:val="44"/>
          <w:szCs w:val="44"/>
        </w:rPr>
      </w:pPr>
    </w:p>
    <w:p w14:paraId="01346780" w14:textId="77777777" w:rsidR="002A65E3" w:rsidRDefault="002A65E3" w:rsidP="002A65E3">
      <w:pPr>
        <w:widowControl/>
        <w:spacing w:line="600" w:lineRule="atLeast"/>
        <w:jc w:val="center"/>
        <w:rPr>
          <w:rFonts w:ascii="宋体" w:eastAsia="宋体" w:hAnsi="宋体" w:cs="宋体"/>
          <w:b/>
          <w:bCs/>
          <w:kern w:val="0"/>
          <w:sz w:val="44"/>
          <w:szCs w:val="44"/>
        </w:rPr>
      </w:pPr>
    </w:p>
    <w:p w14:paraId="2CEC9E07" w14:textId="77777777" w:rsidR="002A65E3" w:rsidRDefault="002A65E3" w:rsidP="002A65E3">
      <w:pPr>
        <w:widowControl/>
        <w:spacing w:line="600" w:lineRule="atLeast"/>
        <w:jc w:val="center"/>
        <w:rPr>
          <w:rFonts w:ascii="宋体" w:eastAsia="宋体" w:hAnsi="宋体" w:cs="宋体"/>
          <w:b/>
          <w:bCs/>
          <w:kern w:val="0"/>
          <w:sz w:val="44"/>
          <w:szCs w:val="44"/>
        </w:rPr>
      </w:pPr>
    </w:p>
    <w:p w14:paraId="1B080911" w14:textId="527350B9" w:rsidR="002A65E3" w:rsidRPr="002A65E3" w:rsidRDefault="002A65E3" w:rsidP="002A65E3">
      <w:pPr>
        <w:widowControl/>
        <w:spacing w:line="600" w:lineRule="atLeast"/>
        <w:jc w:val="center"/>
        <w:rPr>
          <w:rFonts w:ascii="Calibri" w:eastAsia="宋体" w:hAnsi="Calibri" w:cs="宋体"/>
          <w:kern w:val="0"/>
          <w:szCs w:val="21"/>
        </w:rPr>
      </w:pPr>
      <w:r w:rsidRPr="002A65E3">
        <w:rPr>
          <w:rFonts w:ascii="宋体" w:eastAsia="宋体" w:hAnsi="宋体" w:cs="宋体" w:hint="eastAsia"/>
          <w:b/>
          <w:bCs/>
          <w:kern w:val="0"/>
          <w:sz w:val="44"/>
          <w:szCs w:val="44"/>
        </w:rPr>
        <w:lastRenderedPageBreak/>
        <w:t>β内酰胺类抗菌药物皮肤试验指导原则</w:t>
      </w:r>
    </w:p>
    <w:p w14:paraId="1E508554" w14:textId="77777777" w:rsidR="002A65E3" w:rsidRPr="002A65E3" w:rsidRDefault="002A65E3" w:rsidP="002A65E3">
      <w:pPr>
        <w:widowControl/>
        <w:spacing w:line="600" w:lineRule="atLeast"/>
        <w:jc w:val="center"/>
        <w:rPr>
          <w:rFonts w:ascii="Calibri" w:eastAsia="宋体" w:hAnsi="Calibri" w:cs="宋体"/>
          <w:kern w:val="0"/>
          <w:szCs w:val="21"/>
        </w:rPr>
      </w:pPr>
      <w:r w:rsidRPr="002A65E3">
        <w:rPr>
          <w:rFonts w:ascii="宋体" w:eastAsia="宋体" w:hAnsi="宋体" w:cs="宋体" w:hint="eastAsia"/>
          <w:b/>
          <w:bCs/>
          <w:kern w:val="0"/>
          <w:sz w:val="44"/>
          <w:szCs w:val="44"/>
        </w:rPr>
        <w:t>编写审定专家组</w:t>
      </w:r>
    </w:p>
    <w:p w14:paraId="1217AB2E" w14:textId="77777777" w:rsidR="002A65E3" w:rsidRPr="002A65E3" w:rsidRDefault="002A65E3" w:rsidP="002A65E3">
      <w:pPr>
        <w:widowControl/>
        <w:spacing w:line="600" w:lineRule="atLeast"/>
        <w:rPr>
          <w:rFonts w:ascii="Calibri" w:eastAsia="宋体" w:hAnsi="Calibri" w:cs="宋体"/>
          <w:kern w:val="0"/>
          <w:szCs w:val="21"/>
        </w:rPr>
      </w:pPr>
      <w:r w:rsidRPr="002A65E3">
        <w:rPr>
          <w:rFonts w:ascii="仿宋_GB2312" w:eastAsia="仿宋_GB2312" w:hAnsi="Calibri" w:cs="宋体" w:hint="eastAsia"/>
          <w:b/>
          <w:bCs/>
          <w:kern w:val="0"/>
          <w:sz w:val="32"/>
          <w:szCs w:val="32"/>
        </w:rPr>
        <w:t> </w:t>
      </w:r>
    </w:p>
    <w:p w14:paraId="310EB803" w14:textId="77777777" w:rsidR="002A65E3" w:rsidRPr="002A65E3" w:rsidRDefault="002A65E3" w:rsidP="002A65E3">
      <w:pPr>
        <w:widowControl/>
        <w:spacing w:line="600" w:lineRule="atLeast"/>
        <w:ind w:firstLine="642"/>
        <w:rPr>
          <w:rFonts w:ascii="Calibri" w:eastAsia="宋体" w:hAnsi="Calibri" w:cs="宋体"/>
          <w:kern w:val="0"/>
          <w:szCs w:val="21"/>
        </w:rPr>
      </w:pPr>
      <w:r w:rsidRPr="002A65E3">
        <w:rPr>
          <w:rFonts w:ascii="仿宋_GB2312" w:eastAsia="仿宋_GB2312" w:hAnsi="Calibri" w:cs="宋体" w:hint="eastAsia"/>
          <w:b/>
          <w:bCs/>
          <w:kern w:val="0"/>
          <w:sz w:val="32"/>
          <w:szCs w:val="32"/>
        </w:rPr>
        <w:t xml:space="preserve">顾 </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b/>
          <w:bCs/>
          <w:kern w:val="0"/>
          <w:sz w:val="32"/>
          <w:szCs w:val="32"/>
        </w:rPr>
        <w:t>问：</w:t>
      </w:r>
      <w:r w:rsidRPr="002A65E3">
        <w:rPr>
          <w:rFonts w:ascii="仿宋_GB2312" w:eastAsia="仿宋_GB2312" w:hAnsi="Calibri" w:cs="宋体" w:hint="eastAsia"/>
          <w:kern w:val="0"/>
          <w:sz w:val="32"/>
          <w:szCs w:val="32"/>
        </w:rPr>
        <w:t xml:space="preserve">钟南山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赵玉沛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刘又宁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颜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青</w:t>
      </w:r>
    </w:p>
    <w:p w14:paraId="1CB61CB0" w14:textId="77777777" w:rsidR="002A65E3" w:rsidRPr="002A65E3" w:rsidRDefault="002A65E3" w:rsidP="002A65E3">
      <w:pPr>
        <w:widowControl/>
        <w:spacing w:line="600" w:lineRule="atLeast"/>
        <w:ind w:firstLine="642"/>
        <w:rPr>
          <w:rFonts w:ascii="Calibri" w:eastAsia="宋体" w:hAnsi="Calibri" w:cs="宋体"/>
          <w:kern w:val="0"/>
          <w:szCs w:val="21"/>
        </w:rPr>
      </w:pPr>
      <w:r w:rsidRPr="002A65E3">
        <w:rPr>
          <w:rFonts w:ascii="仿宋_GB2312" w:eastAsia="仿宋_GB2312" w:hAnsi="Calibri" w:cs="宋体" w:hint="eastAsia"/>
          <w:b/>
          <w:bCs/>
          <w:kern w:val="0"/>
          <w:sz w:val="32"/>
          <w:szCs w:val="32"/>
        </w:rPr>
        <w:t xml:space="preserve">组 </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b/>
          <w:bCs/>
          <w:kern w:val="0"/>
          <w:sz w:val="32"/>
          <w:szCs w:val="32"/>
        </w:rPr>
        <w:t>长：</w:t>
      </w:r>
      <w:r w:rsidRPr="002A65E3">
        <w:rPr>
          <w:rFonts w:ascii="仿宋_GB2312" w:eastAsia="仿宋_GB2312" w:hAnsi="Calibri" w:cs="宋体" w:hint="eastAsia"/>
          <w:kern w:val="0"/>
          <w:sz w:val="32"/>
          <w:szCs w:val="32"/>
        </w:rPr>
        <w:t xml:space="preserve">王明贵 </w:t>
      </w:r>
      <w:r w:rsidRPr="002A65E3">
        <w:rPr>
          <w:rFonts w:ascii="仿宋_GB2312" w:eastAsia="仿宋_GB2312" w:hAnsi="Calibri" w:cs="宋体" w:hint="eastAsia"/>
          <w:kern w:val="0"/>
          <w:sz w:val="32"/>
          <w:szCs w:val="32"/>
        </w:rPr>
        <w:t> </w:t>
      </w:r>
      <w:proofErr w:type="gramStart"/>
      <w:r w:rsidRPr="002A65E3">
        <w:rPr>
          <w:rFonts w:ascii="仿宋_GB2312" w:eastAsia="仿宋_GB2312" w:hAnsi="Calibri" w:cs="宋体" w:hint="eastAsia"/>
          <w:kern w:val="0"/>
          <w:sz w:val="32"/>
          <w:szCs w:val="32"/>
        </w:rPr>
        <w:t>徐英春</w:t>
      </w:r>
      <w:proofErr w:type="gramEnd"/>
      <w:r w:rsidRPr="002A65E3">
        <w:rPr>
          <w:rFonts w:ascii="仿宋_GB2312" w:eastAsia="仿宋_GB2312" w:hAnsi="Calibri" w:cs="宋体" w:hint="eastAsia"/>
          <w:kern w:val="0"/>
          <w:sz w:val="32"/>
          <w:szCs w:val="32"/>
        </w:rPr>
        <w:t xml:space="preserve">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俞云松</w:t>
      </w:r>
    </w:p>
    <w:p w14:paraId="11775E5D" w14:textId="77777777" w:rsidR="002A65E3" w:rsidRPr="002A65E3" w:rsidRDefault="002A65E3" w:rsidP="002A65E3">
      <w:pPr>
        <w:widowControl/>
        <w:spacing w:line="600" w:lineRule="atLeast"/>
        <w:ind w:firstLine="642"/>
        <w:rPr>
          <w:rFonts w:ascii="Calibri" w:eastAsia="宋体" w:hAnsi="Calibri" w:cs="宋体"/>
          <w:kern w:val="0"/>
          <w:szCs w:val="21"/>
        </w:rPr>
      </w:pPr>
      <w:r w:rsidRPr="002A65E3">
        <w:rPr>
          <w:rFonts w:ascii="仿宋_GB2312" w:eastAsia="仿宋_GB2312" w:hAnsi="Calibri" w:cs="宋体" w:hint="eastAsia"/>
          <w:b/>
          <w:bCs/>
          <w:kern w:val="0"/>
          <w:sz w:val="32"/>
          <w:szCs w:val="32"/>
        </w:rPr>
        <w:t>副组长：</w:t>
      </w:r>
      <w:r w:rsidRPr="002A65E3">
        <w:rPr>
          <w:rFonts w:ascii="仿宋_GB2312" w:eastAsia="仿宋_GB2312" w:hAnsi="Calibri" w:cs="宋体" w:hint="eastAsia"/>
          <w:kern w:val="0"/>
          <w:sz w:val="32"/>
          <w:szCs w:val="32"/>
        </w:rPr>
        <w:t xml:space="preserve">杨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帆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卓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超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王良录</w:t>
      </w:r>
    </w:p>
    <w:p w14:paraId="2B6BC1C5" w14:textId="77777777" w:rsidR="002A65E3" w:rsidRPr="002A65E3" w:rsidRDefault="002A65E3" w:rsidP="002A65E3">
      <w:pPr>
        <w:widowControl/>
        <w:spacing w:line="600" w:lineRule="atLeast"/>
        <w:ind w:firstLine="642"/>
        <w:rPr>
          <w:rFonts w:ascii="Calibri" w:eastAsia="宋体" w:hAnsi="Calibri" w:cs="宋体"/>
          <w:kern w:val="0"/>
          <w:szCs w:val="21"/>
        </w:rPr>
      </w:pPr>
      <w:r w:rsidRPr="002A65E3">
        <w:rPr>
          <w:rFonts w:ascii="仿宋_GB2312" w:eastAsia="仿宋_GB2312" w:hAnsi="Calibri" w:cs="宋体" w:hint="eastAsia"/>
          <w:b/>
          <w:bCs/>
          <w:kern w:val="0"/>
          <w:sz w:val="32"/>
          <w:szCs w:val="32"/>
        </w:rPr>
        <w:t>编写审定专家</w:t>
      </w:r>
      <w:r w:rsidRPr="002A65E3">
        <w:rPr>
          <w:rFonts w:ascii="仿宋_GB2312" w:eastAsia="仿宋_GB2312" w:hAnsi="Calibri" w:cs="宋体" w:hint="eastAsia"/>
          <w:kern w:val="0"/>
          <w:sz w:val="32"/>
          <w:szCs w:val="32"/>
        </w:rPr>
        <w:t>（以姓氏笔划为序）：</w:t>
      </w:r>
    </w:p>
    <w:p w14:paraId="5FF56DF1" w14:textId="77777777" w:rsidR="002A65E3" w:rsidRPr="002A65E3" w:rsidRDefault="002A65E3" w:rsidP="002A65E3">
      <w:pPr>
        <w:widowControl/>
        <w:spacing w:line="600" w:lineRule="atLeast"/>
        <w:ind w:firstLine="640"/>
        <w:rPr>
          <w:rFonts w:ascii="Calibri" w:eastAsia="宋体" w:hAnsi="Calibri" w:cs="宋体"/>
          <w:kern w:val="0"/>
          <w:szCs w:val="21"/>
        </w:rPr>
      </w:pPr>
      <w:proofErr w:type="gramStart"/>
      <w:r w:rsidRPr="002A65E3">
        <w:rPr>
          <w:rFonts w:ascii="仿宋_GB2312" w:eastAsia="仿宋_GB2312" w:hAnsi="Calibri" w:cs="宋体" w:hint="eastAsia"/>
          <w:kern w:val="0"/>
          <w:sz w:val="32"/>
          <w:szCs w:val="32"/>
        </w:rPr>
        <w:t>丁炎明</w:t>
      </w:r>
      <w:proofErr w:type="gramEnd"/>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马小军</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王晓玲</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kern w:val="0"/>
          <w:sz w:val="32"/>
          <w:szCs w:val="32"/>
        </w:rPr>
        <w:t>卢晓阳</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b/>
          <w:bCs/>
          <w:kern w:val="0"/>
          <w:sz w:val="32"/>
          <w:szCs w:val="32"/>
        </w:rPr>
        <w:t> </w:t>
      </w:r>
      <w:proofErr w:type="gramStart"/>
      <w:r w:rsidRPr="002A65E3">
        <w:rPr>
          <w:rFonts w:ascii="仿宋_GB2312" w:eastAsia="仿宋_GB2312" w:hAnsi="Calibri" w:cs="宋体" w:hint="eastAsia"/>
          <w:kern w:val="0"/>
          <w:sz w:val="32"/>
          <w:szCs w:val="32"/>
        </w:rPr>
        <w:t>申昆玲</w:t>
      </w:r>
      <w:proofErr w:type="gramEnd"/>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kern w:val="0"/>
          <w:sz w:val="32"/>
          <w:szCs w:val="32"/>
        </w:rPr>
        <w:t>吕晓菊</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b/>
          <w:bCs/>
          <w:kern w:val="0"/>
          <w:sz w:val="32"/>
          <w:szCs w:val="32"/>
        </w:rPr>
        <w:t> </w:t>
      </w:r>
    </w:p>
    <w:p w14:paraId="6587AC69"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庄</w:t>
      </w:r>
      <w:proofErr w:type="gramStart"/>
      <w:r w:rsidRPr="002A65E3">
        <w:rPr>
          <w:rFonts w:ascii="仿宋_GB2312" w:eastAsia="仿宋_GB2312" w:hAnsi="Calibri" w:cs="宋体" w:hint="eastAsia"/>
          <w:kern w:val="0"/>
          <w:sz w:val="32"/>
          <w:szCs w:val="32"/>
        </w:rPr>
        <w:t>一</w:t>
      </w:r>
      <w:proofErr w:type="gramEnd"/>
      <w:r w:rsidRPr="002A65E3">
        <w:rPr>
          <w:rFonts w:ascii="仿宋_GB2312" w:eastAsia="仿宋_GB2312" w:hAnsi="Calibri" w:cs="宋体" w:hint="eastAsia"/>
          <w:kern w:val="0"/>
          <w:sz w:val="32"/>
          <w:szCs w:val="32"/>
        </w:rPr>
        <w:t>渝</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kern w:val="0"/>
          <w:sz w:val="32"/>
          <w:szCs w:val="32"/>
        </w:rPr>
        <w:t>刘正印</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kern w:val="0"/>
          <w:sz w:val="32"/>
          <w:szCs w:val="32"/>
        </w:rPr>
        <w:t>刘晓清</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kern w:val="0"/>
          <w:sz w:val="32"/>
          <w:szCs w:val="32"/>
        </w:rPr>
        <w:t>刘晓琳</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b/>
          <w:bCs/>
          <w:kern w:val="0"/>
          <w:sz w:val="32"/>
          <w:szCs w:val="32"/>
        </w:rPr>
        <w:t> </w:t>
      </w:r>
      <w:r w:rsidRPr="002A65E3">
        <w:rPr>
          <w:rFonts w:ascii="仿宋_GB2312" w:eastAsia="仿宋_GB2312" w:hAnsi="Calibri" w:cs="宋体" w:hint="eastAsia"/>
          <w:kern w:val="0"/>
          <w:sz w:val="32"/>
          <w:szCs w:val="32"/>
        </w:rPr>
        <w:t>孙忠实</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李智平</w:t>
      </w:r>
    </w:p>
    <w:p w14:paraId="20EE2DA2" w14:textId="77777777" w:rsidR="002A65E3" w:rsidRPr="002A65E3" w:rsidRDefault="002A65E3" w:rsidP="002A65E3">
      <w:pPr>
        <w:widowControl/>
        <w:spacing w:line="600" w:lineRule="atLeast"/>
        <w:ind w:firstLine="640"/>
        <w:rPr>
          <w:rFonts w:ascii="Calibri" w:eastAsia="宋体" w:hAnsi="Calibri" w:cs="宋体"/>
          <w:kern w:val="0"/>
          <w:szCs w:val="21"/>
        </w:rPr>
      </w:pPr>
      <w:proofErr w:type="gramStart"/>
      <w:r w:rsidRPr="002A65E3">
        <w:rPr>
          <w:rFonts w:ascii="仿宋_GB2312" w:eastAsia="仿宋_GB2312" w:hAnsi="Calibri" w:cs="宋体" w:hint="eastAsia"/>
          <w:kern w:val="0"/>
          <w:sz w:val="32"/>
          <w:szCs w:val="32"/>
        </w:rPr>
        <w:t>杨永弘</w:t>
      </w:r>
      <w:proofErr w:type="gramEnd"/>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陆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权</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proofErr w:type="gramStart"/>
      <w:r w:rsidRPr="002A65E3">
        <w:rPr>
          <w:rFonts w:ascii="仿宋_GB2312" w:eastAsia="仿宋_GB2312" w:hAnsi="Calibri" w:cs="宋体" w:hint="eastAsia"/>
          <w:kern w:val="0"/>
          <w:sz w:val="32"/>
          <w:szCs w:val="32"/>
        </w:rPr>
        <w:t>陈旭岩</w:t>
      </w:r>
      <w:proofErr w:type="gramEnd"/>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proofErr w:type="gramStart"/>
      <w:r w:rsidRPr="002A65E3">
        <w:rPr>
          <w:rFonts w:ascii="仿宋_GB2312" w:eastAsia="仿宋_GB2312" w:hAnsi="Calibri" w:cs="宋体" w:hint="eastAsia"/>
          <w:kern w:val="0"/>
          <w:sz w:val="32"/>
          <w:szCs w:val="32"/>
        </w:rPr>
        <w:t>陈佰义</w:t>
      </w:r>
      <w:proofErr w:type="gramEnd"/>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孟 </w:t>
      </w:r>
      <w:r w:rsidRPr="002A65E3">
        <w:rPr>
          <w:rFonts w:ascii="仿宋_GB2312" w:eastAsia="仿宋_GB2312" w:hAnsi="Calibri" w:cs="宋体" w:hint="eastAsia"/>
          <w:kern w:val="0"/>
          <w:sz w:val="32"/>
          <w:szCs w:val="32"/>
        </w:rPr>
        <w:t> </w:t>
      </w:r>
      <w:proofErr w:type="gramStart"/>
      <w:r w:rsidRPr="002A65E3">
        <w:rPr>
          <w:rFonts w:ascii="仿宋_GB2312" w:eastAsia="仿宋_GB2312" w:hAnsi="Calibri" w:cs="宋体" w:hint="eastAsia"/>
          <w:kern w:val="0"/>
          <w:sz w:val="32"/>
          <w:szCs w:val="32"/>
        </w:rPr>
        <w:t>娟</w:t>
      </w:r>
      <w:proofErr w:type="gramEnd"/>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林小平</w:t>
      </w:r>
    </w:p>
    <w:p w14:paraId="6C59727F" w14:textId="77777777" w:rsidR="002A65E3" w:rsidRPr="002A65E3" w:rsidRDefault="002A65E3" w:rsidP="002A65E3">
      <w:pPr>
        <w:widowControl/>
        <w:spacing w:line="600" w:lineRule="atLeast"/>
        <w:ind w:firstLine="640"/>
        <w:rPr>
          <w:rFonts w:ascii="Calibri" w:eastAsia="宋体" w:hAnsi="Calibri" w:cs="宋体"/>
          <w:kern w:val="0"/>
          <w:szCs w:val="21"/>
        </w:rPr>
      </w:pPr>
      <w:proofErr w:type="gramStart"/>
      <w:r w:rsidRPr="002A65E3">
        <w:rPr>
          <w:rFonts w:ascii="仿宋_GB2312" w:eastAsia="仿宋_GB2312" w:hAnsi="Calibri" w:cs="宋体" w:hint="eastAsia"/>
          <w:kern w:val="0"/>
          <w:sz w:val="32"/>
          <w:szCs w:val="32"/>
        </w:rPr>
        <w:t>林丽开</w:t>
      </w:r>
      <w:proofErr w:type="gramEnd"/>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郑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波</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宗志勇</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proofErr w:type="gramStart"/>
      <w:r w:rsidRPr="002A65E3">
        <w:rPr>
          <w:rFonts w:ascii="仿宋_GB2312" w:eastAsia="仿宋_GB2312" w:hAnsi="Calibri" w:cs="宋体" w:hint="eastAsia"/>
          <w:kern w:val="0"/>
          <w:sz w:val="32"/>
          <w:szCs w:val="32"/>
        </w:rPr>
        <w:t>胡必杰</w:t>
      </w:r>
      <w:proofErr w:type="gramEnd"/>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proofErr w:type="gramStart"/>
      <w:r w:rsidRPr="002A65E3">
        <w:rPr>
          <w:rFonts w:ascii="仿宋_GB2312" w:eastAsia="仿宋_GB2312" w:hAnsi="Calibri" w:cs="宋体" w:hint="eastAsia"/>
          <w:kern w:val="0"/>
          <w:sz w:val="32"/>
          <w:szCs w:val="32"/>
        </w:rPr>
        <w:t>胡昌勤</w:t>
      </w:r>
      <w:proofErr w:type="gramEnd"/>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贾晨光</w:t>
      </w:r>
    </w:p>
    <w:p w14:paraId="3E8A5963" w14:textId="77777777" w:rsidR="002A65E3" w:rsidRPr="002A65E3" w:rsidRDefault="002A65E3" w:rsidP="002A65E3">
      <w:pPr>
        <w:widowControl/>
        <w:spacing w:line="600" w:lineRule="atLeast"/>
        <w:ind w:firstLine="640"/>
        <w:rPr>
          <w:rFonts w:ascii="Calibri" w:eastAsia="宋体" w:hAnsi="Calibri" w:cs="宋体"/>
          <w:kern w:val="0"/>
          <w:szCs w:val="21"/>
        </w:rPr>
      </w:pPr>
      <w:r w:rsidRPr="002A65E3">
        <w:rPr>
          <w:rFonts w:ascii="仿宋_GB2312" w:eastAsia="仿宋_GB2312" w:hAnsi="Calibri" w:cs="宋体" w:hint="eastAsia"/>
          <w:kern w:val="0"/>
          <w:sz w:val="32"/>
          <w:szCs w:val="32"/>
        </w:rPr>
        <w:t xml:space="preserve">徐保平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曹</w:t>
      </w:r>
      <w:proofErr w:type="gramStart"/>
      <w:r w:rsidRPr="002A65E3">
        <w:rPr>
          <w:rFonts w:ascii="仿宋_GB2312" w:eastAsia="仿宋_GB2312" w:hAnsi="Calibri" w:cs="宋体" w:hint="eastAsia"/>
          <w:kern w:val="0"/>
          <w:sz w:val="32"/>
          <w:szCs w:val="32"/>
        </w:rPr>
        <w:t>艳佩</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蒋</w:t>
      </w:r>
      <w:proofErr w:type="gramEnd"/>
      <w:r w:rsidRPr="002A65E3">
        <w:rPr>
          <w:rFonts w:ascii="仿宋_GB2312" w:eastAsia="仿宋_GB2312" w:hAnsi="Calibri" w:cs="宋体" w:hint="eastAsia"/>
          <w:kern w:val="0"/>
          <w:sz w:val="32"/>
          <w:szCs w:val="32"/>
        </w:rPr>
        <w:t xml:space="preserve">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艳</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童朝阳</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曾 </w:t>
      </w:r>
      <w:r w:rsidRPr="002A65E3">
        <w:rPr>
          <w:rFonts w:ascii="仿宋_GB2312" w:eastAsia="仿宋_GB2312" w:hAnsi="Calibri" w:cs="宋体" w:hint="eastAsia"/>
          <w:kern w:val="0"/>
          <w:sz w:val="32"/>
          <w:szCs w:val="32"/>
        </w:rPr>
        <w:t> </w:t>
      </w:r>
      <w:proofErr w:type="gramStart"/>
      <w:r w:rsidRPr="002A65E3">
        <w:rPr>
          <w:rFonts w:ascii="仿宋_GB2312" w:eastAsia="仿宋_GB2312" w:hAnsi="Calibri" w:cs="宋体" w:hint="eastAsia"/>
          <w:kern w:val="0"/>
          <w:sz w:val="32"/>
          <w:szCs w:val="32"/>
        </w:rPr>
        <w:t>玫</w:t>
      </w:r>
      <w:proofErr w:type="gramEnd"/>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曾宪涛</w:t>
      </w:r>
    </w:p>
    <w:p w14:paraId="5C94107E" w14:textId="77777777" w:rsidR="002A65E3" w:rsidRPr="002A65E3" w:rsidRDefault="002A65E3" w:rsidP="002A65E3">
      <w:pPr>
        <w:widowControl/>
        <w:spacing w:line="600" w:lineRule="atLeast"/>
        <w:ind w:firstLine="640"/>
        <w:rPr>
          <w:rFonts w:ascii="Calibri" w:eastAsia="宋体" w:hAnsi="Calibri" w:cs="宋体"/>
          <w:kern w:val="0"/>
          <w:szCs w:val="21"/>
        </w:rPr>
      </w:pPr>
      <w:proofErr w:type="gramStart"/>
      <w:r w:rsidRPr="002A65E3">
        <w:rPr>
          <w:rFonts w:ascii="仿宋_GB2312" w:eastAsia="仿宋_GB2312" w:hAnsi="Calibri" w:cs="宋体" w:hint="eastAsia"/>
          <w:kern w:val="0"/>
          <w:sz w:val="32"/>
          <w:szCs w:val="32"/>
        </w:rPr>
        <w:t>曾铁英</w:t>
      </w:r>
      <w:proofErr w:type="gramEnd"/>
      <w:r w:rsidRPr="002A65E3">
        <w:rPr>
          <w:rFonts w:ascii="仿宋_GB2312" w:eastAsia="仿宋_GB2312" w:hAnsi="Calibri" w:cs="宋体" w:hint="eastAsia"/>
          <w:kern w:val="0"/>
          <w:sz w:val="32"/>
          <w:szCs w:val="32"/>
        </w:rPr>
        <w:t xml:space="preserve">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管 </w:t>
      </w:r>
      <w:r w:rsidRPr="002A65E3">
        <w:rPr>
          <w:rFonts w:ascii="仿宋_GB2312" w:eastAsia="仿宋_GB2312" w:hAnsi="Calibri" w:cs="宋体" w:hint="eastAsia"/>
          <w:kern w:val="0"/>
          <w:sz w:val="32"/>
          <w:szCs w:val="32"/>
        </w:rPr>
        <w:t> </w:t>
      </w:r>
      <w:proofErr w:type="gramStart"/>
      <w:r w:rsidRPr="002A65E3">
        <w:rPr>
          <w:rFonts w:ascii="仿宋_GB2312" w:eastAsia="仿宋_GB2312" w:hAnsi="Calibri" w:cs="宋体" w:hint="eastAsia"/>
          <w:kern w:val="0"/>
          <w:sz w:val="32"/>
          <w:szCs w:val="32"/>
        </w:rPr>
        <w:t>玫</w:t>
      </w:r>
      <w:proofErr w:type="gramEnd"/>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翟所迪</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w:t>
      </w:r>
      <w:proofErr w:type="gramStart"/>
      <w:r w:rsidRPr="002A65E3">
        <w:rPr>
          <w:rFonts w:ascii="仿宋_GB2312" w:eastAsia="仿宋_GB2312" w:hAnsi="Calibri" w:cs="宋体" w:hint="eastAsia"/>
          <w:kern w:val="0"/>
          <w:sz w:val="32"/>
          <w:szCs w:val="32"/>
        </w:rPr>
        <w:t>黎毅敏</w:t>
      </w:r>
      <w:proofErr w:type="gramEnd"/>
    </w:p>
    <w:p w14:paraId="37499055" w14:textId="77777777" w:rsidR="002A65E3" w:rsidRPr="002A65E3" w:rsidRDefault="002A65E3" w:rsidP="002A65E3">
      <w:pPr>
        <w:widowControl/>
        <w:spacing w:line="600" w:lineRule="atLeast"/>
        <w:ind w:firstLine="642"/>
        <w:rPr>
          <w:rFonts w:ascii="Calibri" w:eastAsia="宋体" w:hAnsi="Calibri" w:cs="宋体"/>
          <w:kern w:val="0"/>
          <w:szCs w:val="21"/>
        </w:rPr>
      </w:pPr>
      <w:r w:rsidRPr="002A65E3">
        <w:rPr>
          <w:rFonts w:ascii="仿宋_GB2312" w:eastAsia="仿宋_GB2312" w:hAnsi="Calibri" w:cs="宋体" w:hint="eastAsia"/>
          <w:b/>
          <w:bCs/>
          <w:kern w:val="0"/>
          <w:sz w:val="32"/>
          <w:szCs w:val="32"/>
        </w:rPr>
        <w:t>学术秘书（兼）：</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 xml:space="preserve">孟 </w:t>
      </w:r>
      <w:r w:rsidRPr="002A65E3">
        <w:rPr>
          <w:rFonts w:ascii="仿宋_GB2312" w:eastAsia="仿宋_GB2312" w:hAnsi="Calibri" w:cs="宋体" w:hint="eastAsia"/>
          <w:kern w:val="0"/>
          <w:sz w:val="32"/>
          <w:szCs w:val="32"/>
        </w:rPr>
        <w:t> </w:t>
      </w:r>
      <w:proofErr w:type="gramStart"/>
      <w:r w:rsidRPr="002A65E3">
        <w:rPr>
          <w:rFonts w:ascii="仿宋_GB2312" w:eastAsia="仿宋_GB2312" w:hAnsi="Calibri" w:cs="宋体" w:hint="eastAsia"/>
          <w:kern w:val="0"/>
          <w:sz w:val="32"/>
          <w:szCs w:val="32"/>
        </w:rPr>
        <w:t>娟</w:t>
      </w:r>
      <w:proofErr w:type="gramEnd"/>
      <w:r w:rsidRPr="002A65E3">
        <w:rPr>
          <w:rFonts w:ascii="仿宋_GB2312" w:eastAsia="仿宋_GB2312" w:hAnsi="Calibri" w:cs="宋体" w:hint="eastAsia"/>
          <w:kern w:val="0"/>
          <w:sz w:val="32"/>
          <w:szCs w:val="32"/>
        </w:rPr>
        <w:t xml:space="preserve"> </w:t>
      </w:r>
      <w:r w:rsidRPr="002A65E3">
        <w:rPr>
          <w:rFonts w:ascii="仿宋_GB2312" w:eastAsia="仿宋_GB2312" w:hAnsi="Calibri" w:cs="宋体" w:hint="eastAsia"/>
          <w:kern w:val="0"/>
          <w:sz w:val="32"/>
          <w:szCs w:val="32"/>
        </w:rPr>
        <w:t> </w:t>
      </w:r>
      <w:r w:rsidRPr="002A65E3">
        <w:rPr>
          <w:rFonts w:ascii="仿宋_GB2312" w:eastAsia="仿宋_GB2312" w:hAnsi="Calibri" w:cs="宋体" w:hint="eastAsia"/>
          <w:kern w:val="0"/>
          <w:sz w:val="32"/>
          <w:szCs w:val="32"/>
        </w:rPr>
        <w:t>林丽开</w:t>
      </w:r>
    </w:p>
    <w:p w14:paraId="26392B5F" w14:textId="77777777" w:rsidR="002A65E3" w:rsidRPr="002A65E3" w:rsidRDefault="002A65E3" w:rsidP="002A65E3">
      <w:pPr>
        <w:widowControl/>
        <w:spacing w:line="600" w:lineRule="atLeast"/>
        <w:ind w:firstLine="640"/>
        <w:jc w:val="left"/>
        <w:rPr>
          <w:rFonts w:ascii="宋体" w:eastAsia="宋体" w:hAnsi="宋体" w:cs="宋体" w:hint="eastAsia"/>
          <w:kern w:val="0"/>
          <w:sz w:val="27"/>
          <w:szCs w:val="27"/>
        </w:rPr>
      </w:pPr>
    </w:p>
    <w:p w14:paraId="5C9E5D60" w14:textId="77777777" w:rsidR="001C1B23" w:rsidRPr="002A65E3" w:rsidRDefault="001C1B23">
      <w:pPr>
        <w:rPr>
          <w:rFonts w:hint="eastAsia"/>
        </w:rPr>
      </w:pPr>
    </w:p>
    <w:sectPr w:rsidR="001C1B23" w:rsidRPr="002A6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08"/>
    <w:rsid w:val="001C1B23"/>
    <w:rsid w:val="002A65E3"/>
    <w:rsid w:val="0042376E"/>
    <w:rsid w:val="00700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A679"/>
  <w15:chartTrackingRefBased/>
  <w15:docId w15:val="{680C6637-6D50-4922-8DA5-213B7117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
    <w:name w:val="16"/>
    <w:basedOn w:val="a"/>
    <w:rsid w:val="002A65E3"/>
    <w:pPr>
      <w:widowControl/>
      <w:jc w:val="left"/>
    </w:pPr>
    <w:rPr>
      <w:rFonts w:ascii="宋体" w:eastAsia="宋体" w:hAnsi="宋体" w:cs="宋体"/>
      <w:kern w:val="0"/>
      <w:sz w:val="24"/>
      <w:szCs w:val="24"/>
    </w:rPr>
  </w:style>
  <w:style w:type="paragraph" w:customStyle="1" w:styleId="pre">
    <w:name w:val="pre"/>
    <w:basedOn w:val="a"/>
    <w:rsid w:val="002A65E3"/>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73558">
      <w:bodyDiv w:val="1"/>
      <w:marLeft w:val="0"/>
      <w:marRight w:val="0"/>
      <w:marTop w:val="0"/>
      <w:marBottom w:val="0"/>
      <w:divBdr>
        <w:top w:val="none" w:sz="0" w:space="0" w:color="auto"/>
        <w:left w:val="none" w:sz="0" w:space="0" w:color="auto"/>
        <w:bottom w:val="none" w:sz="0" w:space="0" w:color="auto"/>
        <w:right w:val="none" w:sz="0" w:space="0" w:color="auto"/>
      </w:divBdr>
    </w:div>
    <w:div w:id="86509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3</cp:revision>
  <dcterms:created xsi:type="dcterms:W3CDTF">2021-04-19T06:46:00Z</dcterms:created>
  <dcterms:modified xsi:type="dcterms:W3CDTF">2021-04-19T06:49:00Z</dcterms:modified>
</cp:coreProperties>
</file>