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520" w:lineRule="exact"/>
        <w:jc w:val="left"/>
        <w:rPr>
          <w:rFonts w:hint="default" w:ascii="Times New Roman" w:hAnsi="Times New Roman" w:eastAsia="黑体" w:cs="Times New Roman"/>
          <w:kern w:val="0"/>
          <w:szCs w:val="32"/>
        </w:rPr>
      </w:pPr>
      <w:bookmarkStart w:id="1" w:name="_GoBack"/>
      <w:bookmarkEnd w:id="1"/>
      <w:bookmarkStart w:id="0" w:name="红头"/>
      <w:r>
        <w:rPr>
          <w:rFonts w:hint="default" w:ascii="Times New Roman" w:hAnsi="Times New Roman" w:eastAsia="黑体" w:cs="Times New Roman"/>
          <w:kern w:val="0"/>
          <w:szCs w:val="32"/>
        </w:rPr>
        <w:t>附件</w:t>
      </w:r>
    </w:p>
    <w:p>
      <w:pPr>
        <w:widowControl/>
        <w:spacing w:line="520" w:lineRule="exact"/>
        <w:jc w:val="left"/>
        <w:rPr>
          <w:rFonts w:hint="default" w:ascii="Times New Roman" w:hAnsi="Times New Roman" w:eastAsia="黑体" w:cs="Times New Roman"/>
          <w:kern w:val="0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  <w:t>2025年度食品安全国家标准立项计划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</w:pPr>
    </w:p>
    <w:tbl>
      <w:tblPr>
        <w:tblStyle w:val="7"/>
        <w:tblW w:w="10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2962"/>
        <w:gridCol w:w="1013"/>
        <w:gridCol w:w="5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tblHeader/>
          <w:jc w:val="center"/>
        </w:trPr>
        <w:tc>
          <w:tcPr>
            <w:tcW w:w="63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序号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项目名称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制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定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修订</w:t>
            </w:r>
          </w:p>
        </w:tc>
        <w:tc>
          <w:tcPr>
            <w:tcW w:w="540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承担单位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017" w:type="dxa"/>
            <w:gridSpan w:val="4"/>
            <w:noWrap w:val="0"/>
            <w:vAlign w:val="center"/>
          </w:tcPr>
          <w:p>
            <w:pPr>
              <w:widowControl/>
              <w:spacing w:before="156" w:beforeLines="50" w:after="156" w:afterLines="50" w:line="360" w:lineRule="exac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通用标准 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633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before="156" w:beforeLines="50" w:after="156" w:afterLines="50"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56" w:beforeLines="50" w:after="156" w:afterLines="50"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食品声称通用标准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widowControl/>
              <w:spacing w:before="156" w:beforeLines="50" w:after="156" w:afterLines="50"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制定</w:t>
            </w:r>
          </w:p>
        </w:tc>
        <w:tc>
          <w:tcPr>
            <w:tcW w:w="5409" w:type="dxa"/>
            <w:noWrap w:val="0"/>
            <w:vAlign w:val="center"/>
          </w:tcPr>
          <w:p>
            <w:pPr>
              <w:widowControl/>
              <w:spacing w:before="156" w:beforeLines="50" w:after="156" w:afterLines="50"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国家食品安全风险评估中心、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国家市场监督管理总局食品审评中心、海关总署国际检验检疫标准与技术法规研究中心、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中国食品科学技术学会、中国食品工业协会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、科信食品与健康信息交流中心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17" w:type="dxa"/>
            <w:gridSpan w:val="4"/>
            <w:noWrap w:val="0"/>
            <w:vAlign w:val="center"/>
          </w:tcPr>
          <w:p>
            <w:pPr>
              <w:widowControl/>
              <w:spacing w:before="156" w:beforeLines="50" w:after="156" w:afterLines="50"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食品添加剂标准 1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33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食品添加剂 红曲米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bidi="ar"/>
              </w:rPr>
              <w:t>修订</w:t>
            </w:r>
          </w:p>
        </w:tc>
        <w:tc>
          <w:tcPr>
            <w:tcW w:w="5409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天津市疾病预防控制中心、国家食品安全风险评估中心、天津科技大学、广东省疾病预防控制中心、中国科学院天津工业生物技术研究所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33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食品添加剂 活性白土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 w:bidi="ar"/>
              </w:rPr>
              <w:t>修订</w:t>
            </w:r>
          </w:p>
        </w:tc>
        <w:tc>
          <w:tcPr>
            <w:tcW w:w="5409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sz w:val="28"/>
                <w:szCs w:val="28"/>
                <w:highlight w:val="none"/>
              </w:rPr>
              <w:t>江西省检验检测认证总院食品检验检测研究院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四川大学、南昌大学、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sz w:val="28"/>
                <w:szCs w:val="28"/>
                <w:highlight w:val="none"/>
                <w:lang w:eastAsia="zh-CN"/>
              </w:rPr>
              <w:t>发酵行业生产力促进中心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33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食品添加剂 六偏磷酸钠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bidi="ar"/>
              </w:rPr>
              <w:t>修订</w:t>
            </w:r>
          </w:p>
        </w:tc>
        <w:tc>
          <w:tcPr>
            <w:tcW w:w="5409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国家食品安全风险评估中心、中海油天津化工研究设计院有限公司、湖南省产商品质量检验研究院</w:t>
            </w:r>
            <w:r>
              <w:rPr>
                <w:rFonts w:hint="default" w:ascii="Times New Roman" w:hAnsi="Times New Roman" w:cs="Times New Roman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、中国质量检验检测科学研究院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33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食品添加剂 磷酸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bidi="ar"/>
              </w:rPr>
              <w:t>修订</w:t>
            </w:r>
          </w:p>
        </w:tc>
        <w:tc>
          <w:tcPr>
            <w:tcW w:w="5409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四川省疾病预防控制中心、中海油天津化工研究设计院有限公司、青岛市产品质量检验研究院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33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食品添加剂 氢氧化钠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bidi="ar"/>
              </w:rPr>
              <w:t>修订</w:t>
            </w:r>
          </w:p>
        </w:tc>
        <w:tc>
          <w:tcPr>
            <w:tcW w:w="5409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中海油天津化工研究设计院有限公司、国家食品安全风险评估中心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、江苏省疾病预防控制中心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33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食品添加剂 DL-苹果酸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bidi="ar"/>
              </w:rPr>
              <w:t>修订</w:t>
            </w:r>
          </w:p>
        </w:tc>
        <w:tc>
          <w:tcPr>
            <w:tcW w:w="5409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中国生物发酵产业协会、沈阳市食品药品检验所、南京师范大学、山东省食品药品检验研究院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33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食品添加剂 DL-苹果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酸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钠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bidi="ar"/>
              </w:rPr>
              <w:t>修订</w:t>
            </w:r>
          </w:p>
        </w:tc>
        <w:tc>
          <w:tcPr>
            <w:tcW w:w="54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皖南医学院、沈阳市食品药品检验所、中国生物发酵产业协会、南京师范大学、中国科学院天津工业生物技术研究所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33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食品添加剂 柠檬油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bidi="ar"/>
              </w:rPr>
              <w:t>修订</w:t>
            </w:r>
          </w:p>
        </w:tc>
        <w:tc>
          <w:tcPr>
            <w:tcW w:w="5409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sz w:val="28"/>
                <w:szCs w:val="28"/>
                <w:highlight w:val="none"/>
              </w:rPr>
              <w:t>上海香料研究所有限公司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sz w:val="28"/>
                <w:szCs w:val="28"/>
                <w:highlight w:val="none"/>
                <w:lang w:eastAsia="zh-CN"/>
              </w:rPr>
              <w:t>、辽宁省疾病预防控制中心、中国香料香精化妆品工业协会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33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食品添加剂 丙酸钠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bidi="ar"/>
              </w:rPr>
              <w:t>修订</w:t>
            </w:r>
          </w:p>
        </w:tc>
        <w:tc>
          <w:tcPr>
            <w:tcW w:w="5409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sz w:val="28"/>
                <w:szCs w:val="28"/>
                <w:highlight w:val="none"/>
              </w:rPr>
              <w:t>中石化（北京）化工研究院有限公司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sz w:val="28"/>
                <w:szCs w:val="28"/>
                <w:highlight w:val="none"/>
                <w:lang w:eastAsia="zh-CN"/>
              </w:rPr>
              <w:t>、中海油天津化工研究设计院有限公司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33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食品添加剂 蔗糖脂肪酸酯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 w:bidi="ar"/>
              </w:rPr>
              <w:t>修订</w:t>
            </w:r>
          </w:p>
        </w:tc>
        <w:tc>
          <w:tcPr>
            <w:tcW w:w="5409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sz w:val="28"/>
                <w:szCs w:val="28"/>
                <w:highlight w:val="none"/>
              </w:rPr>
              <w:t>中国食品添加剂和配料协会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sz w:val="28"/>
                <w:szCs w:val="28"/>
                <w:highlight w:val="none"/>
                <w:lang w:eastAsia="zh-CN"/>
              </w:rPr>
              <w:t>、四川省食品检验研究院、发酵行业生产力促进中心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33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食品添加剂 糖精钠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 w:bidi="ar"/>
              </w:rPr>
              <w:t>修订</w:t>
            </w:r>
          </w:p>
        </w:tc>
        <w:tc>
          <w:tcPr>
            <w:tcW w:w="5409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sz w:val="28"/>
                <w:szCs w:val="28"/>
                <w:highlight w:val="none"/>
              </w:rPr>
              <w:t>中国食品添加剂和配料协会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sz w:val="28"/>
                <w:szCs w:val="28"/>
                <w:highlight w:val="none"/>
                <w:lang w:eastAsia="zh-CN"/>
              </w:rPr>
              <w:t>、四川省食品检验研究院、发酵行业生产力促进中心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017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  <w:t xml:space="preserve">食品产品标准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3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蒸馏酒及其配制酒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bidi="ar"/>
              </w:rPr>
              <w:t>修订</w:t>
            </w:r>
          </w:p>
        </w:tc>
        <w:tc>
          <w:tcPr>
            <w:tcW w:w="5409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国家食品安全风险评估中心、北京工商大学、中国酒业协会、辽宁省疾病预防控制中心、天津市疾病预防控制中心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/>
              </w:rPr>
              <w:t>、四川省食品检验研究院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配制酒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bidi="ar"/>
              </w:rPr>
              <w:t>制定</w:t>
            </w:r>
          </w:p>
        </w:tc>
        <w:tc>
          <w:tcPr>
            <w:tcW w:w="5409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国家食品安全风险评估中心、北京工商大学、中国酒业协会、辽宁省疾病预防控制中心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天津市疾病预防控制中心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/>
              </w:rPr>
              <w:t>、四川省食品检验研究院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3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《乳清粉和乳清蛋白粉》修订（增加乳清液及其技术要求）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bidi="ar"/>
              </w:rPr>
              <w:t>修订</w:t>
            </w:r>
          </w:p>
        </w:tc>
        <w:tc>
          <w:tcPr>
            <w:tcW w:w="5409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黑龙江省疾病预防控制中心、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  <w:lang w:eastAsia="zh-CN"/>
              </w:rPr>
              <w:t>国家食品安全风险评估中心、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东北农业大学、中国乳制品工业协会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  <w:lang w:eastAsia="zh-CN"/>
              </w:rPr>
              <w:t>、国家市场监督管理总局食品审评中心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3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食用动物油脂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bidi="ar"/>
              </w:rPr>
              <w:t>修订</w:t>
            </w:r>
          </w:p>
        </w:tc>
        <w:tc>
          <w:tcPr>
            <w:tcW w:w="5409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江南大学、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上海市疾病预防控制中心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  <w:lang w:eastAsia="zh-CN"/>
              </w:rPr>
              <w:t>（上海市预防医学科学院）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国家食品安全风险评估中心、武汉轻工大学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017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生产经营规范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highlight w:val="none"/>
                <w:lang w:eastAsia="zh-CN"/>
              </w:rPr>
              <w:t xml:space="preserve">标准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3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 xml:space="preserve">畜禽屠宰加工卫生规范 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修订</w:t>
            </w:r>
          </w:p>
        </w:tc>
        <w:tc>
          <w:tcPr>
            <w:tcW w:w="5409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国家食品安全风险评估中心、中国动物疫病预防控制中心（农业农村部屠宰技术中心）、山东省疾病预防控制中心、江苏省疾病预防控制中心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017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  <w:t>食品相关产品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  <w:t>标准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  <w:t xml:space="preserve"> 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3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食品接触用陶瓷材料及制品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bidi="ar"/>
              </w:rPr>
              <w:t>修订</w:t>
            </w:r>
          </w:p>
        </w:tc>
        <w:tc>
          <w:tcPr>
            <w:tcW w:w="5409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国家食品安全风险评估中心、广东省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公共卫生研究院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、上海市疾病预防控制中心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  <w:lang w:eastAsia="zh-CN"/>
              </w:rPr>
              <w:t>（上海市预防医学科学院）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内蒙古自治区疾病预防控制中心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（内蒙古自治区预防医学科学院）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0017" w:type="dxa"/>
            <w:gridSpan w:val="4"/>
            <w:noWrap w:val="0"/>
            <w:vAlign w:val="center"/>
          </w:tcPr>
          <w:p>
            <w:pPr>
              <w:widowControl/>
              <w:spacing w:before="156" w:beforeLines="50" w:after="156" w:afterLines="50"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理化检验方法与规程标准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3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食品中磷脂酰丝氨酸的测定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制定</w:t>
            </w:r>
          </w:p>
        </w:tc>
        <w:tc>
          <w:tcPr>
            <w:tcW w:w="5409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</w:rPr>
              <w:t>上海海关动植物与食品检验检疫技术中心、上海体育大学、浙江省检验检疫科学技术研究院、河北省食品检验研究院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3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食品中表没食子儿茶素没食子酸酯的测定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制定</w:t>
            </w:r>
          </w:p>
        </w:tc>
        <w:tc>
          <w:tcPr>
            <w:tcW w:w="5409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成都市食品检验研究院、宁波市产品食品质量检验研究院（宁波市纤维检验所）、杭州市疾病预防控制中心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  <w:t>杭州市卫生监督所）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新疆农业大学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3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食品中叶黄素二棕榈酸酯的测定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制定</w:t>
            </w:r>
          </w:p>
        </w:tc>
        <w:tc>
          <w:tcPr>
            <w:tcW w:w="5409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</w:rPr>
              <w:t>湖南省产商品质量检验研究院、成都市食品检验研究院、江南大学、内蒙古自治区疾病预防控制中心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（内蒙古自治区预防医学科学院）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3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食品中(3R,3'R)-二羟基-β-胡萝卜素的测定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制定</w:t>
            </w:r>
          </w:p>
        </w:tc>
        <w:tc>
          <w:tcPr>
            <w:tcW w:w="5409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</w:rPr>
              <w:t>杭州海关技术中心、上海海关动植物与食品检验检疫技术中心、湖南省疾病预防控制中心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</w:rPr>
              <w:t>湖南省预防医学科学院）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3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食品中透明质酸钠的测定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制定</w:t>
            </w:r>
          </w:p>
        </w:tc>
        <w:tc>
          <w:tcPr>
            <w:tcW w:w="5409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</w:rPr>
              <w:t>山东省食品药品检验研究院、湖南省产商品质量检验研究院、新疆农业大学、成都市食品检验研究院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3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食品中茶氨酸的测定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制定</w:t>
            </w:r>
          </w:p>
        </w:tc>
        <w:tc>
          <w:tcPr>
            <w:tcW w:w="5409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</w:rPr>
              <w:t>厦门海关技术中心、浙江省检验检疫科学技术研究院、武汉食品化妆品检验所、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</w:rPr>
              <w:t>辽宁省检验检测认证中心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</w:rPr>
              <w:t>、国家食品安全风险评估中心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3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食品中青霉酸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软毛青霉酸的测定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制定</w:t>
            </w:r>
          </w:p>
        </w:tc>
        <w:tc>
          <w:tcPr>
            <w:tcW w:w="5409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</w:rPr>
              <w:t>厦门海关技术中心、浙江省疾病预防控制中心、武汉食品化妆品检验所、江南大学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lang w:eastAsia="zh-CN"/>
              </w:rPr>
              <w:t>、国家食品安全风险评估中心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633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食品中蜡样芽胞杆菌呕吐毒素的测定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制定</w:t>
            </w:r>
          </w:p>
        </w:tc>
        <w:tc>
          <w:tcPr>
            <w:tcW w:w="5409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</w:rPr>
              <w:t>北京市疾病预防控制中心、浙江省疾病预防控制中心、国家食品安全风险评估中心、南通市疾病预防控制中心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lang w:eastAsia="zh-CN"/>
              </w:rPr>
              <w:t>、青海省疾病预防控制中心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3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食品中母乳低聚糖的测定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制定</w:t>
            </w:r>
          </w:p>
        </w:tc>
        <w:tc>
          <w:tcPr>
            <w:tcW w:w="5409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</w:rPr>
              <w:t>北京市食品检验研究院（北京市食品安全监控和风险评估中心）、中国海关科学技术研究中心、深圳市计量质量检测研究院、北京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</w:rPr>
              <w:t>科学技术研究院、发酵行业生产力促进中心、中国农业大学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3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食品中植酸的测定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修订</w:t>
            </w:r>
          </w:p>
        </w:tc>
        <w:tc>
          <w:tcPr>
            <w:tcW w:w="5409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</w:rPr>
              <w:t>南昌海关技术中心、国家食品安全风险评估中心、深圳市计量质量检测研究院、北京市科学技术研究院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lang w:eastAsia="zh-CN"/>
              </w:rPr>
              <w:t>、中原食品实验室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3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食品中生物胺的测定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修订</w:t>
            </w:r>
          </w:p>
        </w:tc>
        <w:tc>
          <w:tcPr>
            <w:tcW w:w="5409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</w:rPr>
              <w:t>江苏省疾病预防控制中心（江苏省预防医学科学院）、浙江省疾病预防控制中心、国家食品安全风险评估中心、南通市疾病预防控制中心、宁波检验检疫科学技术研究院（宁波国检贸易便利化服务中心）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lang w:eastAsia="zh-CN"/>
              </w:rPr>
              <w:t>、中国质量检验检测科学研究院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3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理化检验 样品制备通则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制定</w:t>
            </w:r>
          </w:p>
        </w:tc>
        <w:tc>
          <w:tcPr>
            <w:tcW w:w="5409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</w:rPr>
              <w:t>国家食品安全风险评估中心、深圳职业技术大学、中国合格评定国家认可中心、厦门海关技术中心、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lang w:val="en-US" w:eastAsia="zh-CN"/>
              </w:rPr>
              <w:t>咸阳市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</w:rPr>
              <w:t>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3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食品中环氧乙烷和2-氯乙醇的测定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制定</w:t>
            </w:r>
          </w:p>
        </w:tc>
        <w:tc>
          <w:tcPr>
            <w:tcW w:w="5409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</w:rPr>
              <w:t>国家食品安全风险评估中心、湖北省疾病预防控制中心、杭州市疾病预防控制中心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</w:rPr>
              <w:t>（杭州市卫生监督所）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</w:rPr>
              <w:t>、武汉食品化妆品检验所、河北省食品检验研究院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lang w:eastAsia="zh-CN"/>
              </w:rPr>
              <w:t>、上海市疾病预防控制中心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  <w:lang w:eastAsia="zh-CN"/>
              </w:rPr>
              <w:t>（上海市预防医学科学院）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10017" w:type="dxa"/>
            <w:gridSpan w:val="4"/>
            <w:noWrap w:val="0"/>
            <w:vAlign w:val="center"/>
          </w:tcPr>
          <w:p>
            <w:pPr>
              <w:widowControl/>
              <w:spacing w:before="156" w:beforeLines="50" w:after="156" w:afterLines="50"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 xml:space="preserve">微生物检验方法与规程标准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3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食品微生物学检验 乳酸菌检验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修订</w:t>
            </w:r>
          </w:p>
        </w:tc>
        <w:tc>
          <w:tcPr>
            <w:tcW w:w="5409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</w:rPr>
              <w:t>国家食品安全风险评估中心、江西省检验检测认证总院食品检验检测研究院、厦门海关技术中心、山东省疾病预防控制中心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33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食品用菌种检验 乳杆菌属检验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制定</w:t>
            </w:r>
          </w:p>
        </w:tc>
        <w:tc>
          <w:tcPr>
            <w:tcW w:w="5409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</w:rPr>
              <w:t>北京市食品检验研究院（北京市食品安全监控和风险评估中心）、深圳市计量质量检测研究院、江苏省农业科学院、国家食品安全风险评估中心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3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食品用菌种检验 粘液乳杆菌属检验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制定</w:t>
            </w:r>
          </w:p>
        </w:tc>
        <w:tc>
          <w:tcPr>
            <w:tcW w:w="5409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</w:rPr>
              <w:t>大连民族大学、国家食品安全风险评估中心、南京市产品质量监督检验院（南京市质量发展与先进技术应用研究院）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3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食品用菌种检验 链球菌属检验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制定</w:t>
            </w:r>
          </w:p>
        </w:tc>
        <w:tc>
          <w:tcPr>
            <w:tcW w:w="5409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</w:rPr>
              <w:t>中国质量检验检测科学研究院、广东省食品检验所（广东省酒类检测中心）、国家食品安全风险评估中心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lang w:eastAsia="zh-CN"/>
              </w:rPr>
              <w:t>、南京晓庄学院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3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食品用菌种检验 乳酪杆菌属检验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制定</w:t>
            </w:r>
          </w:p>
        </w:tc>
        <w:tc>
          <w:tcPr>
            <w:tcW w:w="5409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</w:rPr>
              <w:t>中国海关科学技术研究中心、发酵行业生产力促进中心、国家食品安全风险评估中心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3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食品用菌种检验 乳植杆菌属检验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制定</w:t>
            </w:r>
          </w:p>
        </w:tc>
        <w:tc>
          <w:tcPr>
            <w:tcW w:w="5409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</w:rPr>
              <w:t>国家食品安全风险评估中心、大连民族大学、海南省疾病预防控制中心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</w:rPr>
              <w:t>（海南省预防医学科学院）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</w:rPr>
              <w:t>、国家乳业技术创新中心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3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食品微生物学检验 蜡样芽胞杆菌检验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修订</w:t>
            </w:r>
          </w:p>
        </w:tc>
        <w:tc>
          <w:tcPr>
            <w:tcW w:w="5409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</w:rPr>
              <w:t>浙江省疾病预防控制中心、拱北海关技术中心、北京市食品检验研究院（北京市食品安全监控和风险评估中心）、江南大学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3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spacing w:line="360" w:lineRule="exact"/>
              <w:ind w:left="-1" w:leftChars="0" w:firstLine="0" w:firstLine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食品微生物学检验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 肠杆菌科检验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widowControl/>
              <w:spacing w:line="360" w:lineRule="exact"/>
              <w:ind w:left="-1" w:leftChars="0" w:firstLine="0" w:firstLine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修订</w:t>
            </w:r>
          </w:p>
        </w:tc>
        <w:tc>
          <w:tcPr>
            <w:tcW w:w="5409" w:type="dxa"/>
            <w:noWrap w:val="0"/>
            <w:vAlign w:val="center"/>
          </w:tcPr>
          <w:p>
            <w:pPr>
              <w:widowControl/>
              <w:spacing w:line="360" w:lineRule="exact"/>
              <w:ind w:left="0" w:leftChars="0" w:firstLine="0" w:firstLine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</w:rPr>
              <w:t>国家食品安全风险评估中心、山东省疾病预防控制中心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3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spacing w:line="360" w:lineRule="exact"/>
              <w:ind w:left="-1" w:leftChars="0" w:firstLine="0" w:firstLine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食品用菌种检验 总则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widowControl/>
              <w:spacing w:line="360" w:lineRule="exact"/>
              <w:ind w:left="-1" w:leftChars="0" w:firstLine="0" w:firstLine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制定</w:t>
            </w:r>
          </w:p>
        </w:tc>
        <w:tc>
          <w:tcPr>
            <w:tcW w:w="5409" w:type="dxa"/>
            <w:noWrap w:val="0"/>
            <w:vAlign w:val="center"/>
          </w:tcPr>
          <w:p>
            <w:pPr>
              <w:widowControl/>
              <w:spacing w:line="360" w:lineRule="exact"/>
              <w:ind w:left="-1" w:leftChars="0" w:firstLine="0" w:firstLine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国家食品安全风险评估中心、河北省食品检验研究院、上海海关动植物与食品检验检疫技术中心、中国合格评定国家认可中心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017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毒理学评价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程序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与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方法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标准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 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3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小鼠精原细胞或精母细胞染色体畸变试验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修订</w:t>
            </w:r>
          </w:p>
        </w:tc>
        <w:tc>
          <w:tcPr>
            <w:tcW w:w="5409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</w:rPr>
              <w:t>国家食品安全风险评估中心、上海市疾病预防控制中心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  <w:lang w:eastAsia="zh-CN"/>
              </w:rPr>
              <w:t>（上海市预防医学科学院）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</w:rPr>
              <w:t>、广东省疾病预防控制中心、四川省疾病预防控制中心、黑龙江省疾病预防控制中心、山东省疾病预防控制中心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017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食品营养强化剂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 xml:space="preserve">标准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3项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3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食品营养强化剂 L-赖氨酸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制定</w:t>
            </w:r>
          </w:p>
        </w:tc>
        <w:tc>
          <w:tcPr>
            <w:tcW w:w="5409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中国生物发酵产业协会、国家食品安全风险评估中心、江南大学、沈阳市食品药品检验所、广东省疾病预防控制中心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3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食品营养强化剂 L-谷氨酸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制定</w:t>
            </w:r>
          </w:p>
        </w:tc>
        <w:tc>
          <w:tcPr>
            <w:tcW w:w="5409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国家食品安全风险评估中心、广东省疾病预防控制中心、湖南省产商品质量检验研究院、浙江省舟山市疾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highlight w:val="none"/>
                <w:lang w:eastAsia="zh-CN"/>
              </w:rPr>
              <w:t>病预防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控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highlight w:val="none"/>
                <w:lang w:eastAsia="zh-CN"/>
              </w:rPr>
              <w:t>制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中心、盘锦检验检测中心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3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食品添加剂 维生素B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subscript"/>
                <w:lang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（盐酸吡哆醇）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修订</w:t>
            </w:r>
          </w:p>
        </w:tc>
        <w:tc>
          <w:tcPr>
            <w:tcW w:w="5409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广州海关技术中心、江西省疾病预防控制中心、浙江省农业科学院、中国药科大学、国家食品安全风险评估中心</w:t>
            </w:r>
          </w:p>
        </w:tc>
      </w:tr>
      <w:bookmarkEnd w:id="0"/>
    </w:tbl>
    <w:p>
      <w:pPr>
        <w:ind w:right="560"/>
        <w:jc w:val="both"/>
        <w:rPr>
          <w:rFonts w:hint="default" w:ascii="Times New Roman" w:hAnsi="Times New Roman" w:cs="Times New Roma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58" w:bottom="1440" w:left="1560" w:header="283" w:footer="283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803050406030204"/>
    <w:charset w:val="00"/>
    <w:family w:val="roman"/>
    <w:pitch w:val="default"/>
    <w:sig w:usb0="E00002FF" w:usb1="4000045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09729E"/>
    <w:multiLevelType w:val="singleLevel"/>
    <w:tmpl w:val="8C09729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dit="readOnly" w:enforcement="0"/>
  <w:defaultTabStop w:val="420"/>
  <w:hyphenationZone w:val="360"/>
  <w:drawingGridHorizontalSpacing w:val="160"/>
  <w:drawingGridVerticalSpacing w:val="435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B8ACE"/>
    <w:rsid w:val="00001BC7"/>
    <w:rsid w:val="000566AF"/>
    <w:rsid w:val="00065E39"/>
    <w:rsid w:val="000B20C5"/>
    <w:rsid w:val="000B7575"/>
    <w:rsid w:val="000C647A"/>
    <w:rsid w:val="000F19EC"/>
    <w:rsid w:val="001131CD"/>
    <w:rsid w:val="00117A34"/>
    <w:rsid w:val="001431F2"/>
    <w:rsid w:val="00172ADC"/>
    <w:rsid w:val="00182F97"/>
    <w:rsid w:val="0018374C"/>
    <w:rsid w:val="00185C39"/>
    <w:rsid w:val="00192793"/>
    <w:rsid w:val="0020598F"/>
    <w:rsid w:val="002302E2"/>
    <w:rsid w:val="002437D9"/>
    <w:rsid w:val="00274FD5"/>
    <w:rsid w:val="002A3404"/>
    <w:rsid w:val="0033029F"/>
    <w:rsid w:val="00344090"/>
    <w:rsid w:val="00392A30"/>
    <w:rsid w:val="003B6B2A"/>
    <w:rsid w:val="003B7190"/>
    <w:rsid w:val="003D0CA4"/>
    <w:rsid w:val="003D2B2B"/>
    <w:rsid w:val="003E5C74"/>
    <w:rsid w:val="003E72FA"/>
    <w:rsid w:val="0042348E"/>
    <w:rsid w:val="00442F12"/>
    <w:rsid w:val="00444A95"/>
    <w:rsid w:val="00444D58"/>
    <w:rsid w:val="0046142E"/>
    <w:rsid w:val="00465527"/>
    <w:rsid w:val="00480B19"/>
    <w:rsid w:val="004A04C6"/>
    <w:rsid w:val="004C27BE"/>
    <w:rsid w:val="004C2971"/>
    <w:rsid w:val="004D63AB"/>
    <w:rsid w:val="004F21A2"/>
    <w:rsid w:val="004F79E4"/>
    <w:rsid w:val="0054534A"/>
    <w:rsid w:val="0055474B"/>
    <w:rsid w:val="00595FFA"/>
    <w:rsid w:val="00596ECE"/>
    <w:rsid w:val="00597DD5"/>
    <w:rsid w:val="005E4F09"/>
    <w:rsid w:val="006143F3"/>
    <w:rsid w:val="0062569C"/>
    <w:rsid w:val="006350BD"/>
    <w:rsid w:val="00651334"/>
    <w:rsid w:val="00671EAA"/>
    <w:rsid w:val="006732CD"/>
    <w:rsid w:val="006C4861"/>
    <w:rsid w:val="006D7D21"/>
    <w:rsid w:val="00700D71"/>
    <w:rsid w:val="00705972"/>
    <w:rsid w:val="00720B6A"/>
    <w:rsid w:val="00747543"/>
    <w:rsid w:val="007573F5"/>
    <w:rsid w:val="007A09E6"/>
    <w:rsid w:val="007C0336"/>
    <w:rsid w:val="007F6F3C"/>
    <w:rsid w:val="008009DD"/>
    <w:rsid w:val="00816B8F"/>
    <w:rsid w:val="008211A0"/>
    <w:rsid w:val="00827707"/>
    <w:rsid w:val="0086708C"/>
    <w:rsid w:val="008B1A2C"/>
    <w:rsid w:val="008C7C8B"/>
    <w:rsid w:val="008D5528"/>
    <w:rsid w:val="00904692"/>
    <w:rsid w:val="00922CEC"/>
    <w:rsid w:val="009235D5"/>
    <w:rsid w:val="00925479"/>
    <w:rsid w:val="0093230D"/>
    <w:rsid w:val="009415B6"/>
    <w:rsid w:val="009458EB"/>
    <w:rsid w:val="00971B0E"/>
    <w:rsid w:val="009A2BD1"/>
    <w:rsid w:val="009B4F09"/>
    <w:rsid w:val="009F5B14"/>
    <w:rsid w:val="00A36256"/>
    <w:rsid w:val="00A71A86"/>
    <w:rsid w:val="00A85A8B"/>
    <w:rsid w:val="00AB06E8"/>
    <w:rsid w:val="00B1045D"/>
    <w:rsid w:val="00B252A7"/>
    <w:rsid w:val="00B63616"/>
    <w:rsid w:val="00B748BC"/>
    <w:rsid w:val="00BB6575"/>
    <w:rsid w:val="00C1658E"/>
    <w:rsid w:val="00C17F56"/>
    <w:rsid w:val="00C32EA5"/>
    <w:rsid w:val="00C37FCF"/>
    <w:rsid w:val="00C5326E"/>
    <w:rsid w:val="00C617C0"/>
    <w:rsid w:val="00CB0E40"/>
    <w:rsid w:val="00CB4F78"/>
    <w:rsid w:val="00CF2559"/>
    <w:rsid w:val="00CF6CD1"/>
    <w:rsid w:val="00D46C5D"/>
    <w:rsid w:val="00D91381"/>
    <w:rsid w:val="00E22884"/>
    <w:rsid w:val="00E27E49"/>
    <w:rsid w:val="00E33018"/>
    <w:rsid w:val="00E74F39"/>
    <w:rsid w:val="00ED1187"/>
    <w:rsid w:val="00ED2F2D"/>
    <w:rsid w:val="00F02D52"/>
    <w:rsid w:val="00F314AD"/>
    <w:rsid w:val="00F33CEC"/>
    <w:rsid w:val="00F474C1"/>
    <w:rsid w:val="00F56977"/>
    <w:rsid w:val="00F70B97"/>
    <w:rsid w:val="00F8139F"/>
    <w:rsid w:val="00F95B11"/>
    <w:rsid w:val="00F96001"/>
    <w:rsid w:val="00F961B9"/>
    <w:rsid w:val="00FC5193"/>
    <w:rsid w:val="00FC6E4B"/>
    <w:rsid w:val="00FF4B49"/>
    <w:rsid w:val="0275C3FB"/>
    <w:rsid w:val="176D9DB2"/>
    <w:rsid w:val="17ED7516"/>
    <w:rsid w:val="19BF97C2"/>
    <w:rsid w:val="19F735D4"/>
    <w:rsid w:val="1A643C5B"/>
    <w:rsid w:val="1B7F28AC"/>
    <w:rsid w:val="1EC91910"/>
    <w:rsid w:val="1FEF2FF5"/>
    <w:rsid w:val="25B914FC"/>
    <w:rsid w:val="2BF000A4"/>
    <w:rsid w:val="2CBE7E22"/>
    <w:rsid w:val="3B5E891E"/>
    <w:rsid w:val="3DF17AA7"/>
    <w:rsid w:val="3EF311F5"/>
    <w:rsid w:val="3F7D998B"/>
    <w:rsid w:val="3FB73999"/>
    <w:rsid w:val="3FEB8ACE"/>
    <w:rsid w:val="3FEF605D"/>
    <w:rsid w:val="432E04DD"/>
    <w:rsid w:val="47B56E8B"/>
    <w:rsid w:val="4FD7149E"/>
    <w:rsid w:val="507150CB"/>
    <w:rsid w:val="55614021"/>
    <w:rsid w:val="5F3514D5"/>
    <w:rsid w:val="5F8FF165"/>
    <w:rsid w:val="5FFE5934"/>
    <w:rsid w:val="602D40D8"/>
    <w:rsid w:val="668D2E4E"/>
    <w:rsid w:val="6F33401A"/>
    <w:rsid w:val="6F6A2B4F"/>
    <w:rsid w:val="6FFE950F"/>
    <w:rsid w:val="70289CFC"/>
    <w:rsid w:val="735A4BCC"/>
    <w:rsid w:val="7374C04E"/>
    <w:rsid w:val="77F539D0"/>
    <w:rsid w:val="78DF4320"/>
    <w:rsid w:val="7B7DC794"/>
    <w:rsid w:val="7CE4F3D9"/>
    <w:rsid w:val="7ECF08FE"/>
    <w:rsid w:val="7EEEB544"/>
    <w:rsid w:val="7F5379E0"/>
    <w:rsid w:val="7F7F1626"/>
    <w:rsid w:val="7FB5DD7A"/>
    <w:rsid w:val="7FCF4445"/>
    <w:rsid w:val="7FFFE24B"/>
    <w:rsid w:val="8F2B85E5"/>
    <w:rsid w:val="99F79FC3"/>
    <w:rsid w:val="A5DD2C17"/>
    <w:rsid w:val="AD7EB72F"/>
    <w:rsid w:val="B7DB70A2"/>
    <w:rsid w:val="B9DCE6DD"/>
    <w:rsid w:val="BA618037"/>
    <w:rsid w:val="BC5707DE"/>
    <w:rsid w:val="BFF56969"/>
    <w:rsid w:val="BFFFDA71"/>
    <w:rsid w:val="CBD60CB4"/>
    <w:rsid w:val="CEEF0F08"/>
    <w:rsid w:val="CFDE7D41"/>
    <w:rsid w:val="D24F4FDB"/>
    <w:rsid w:val="D2ED88D7"/>
    <w:rsid w:val="D4D71FEE"/>
    <w:rsid w:val="DE7D8859"/>
    <w:rsid w:val="E6FBE1C3"/>
    <w:rsid w:val="E8AF6FA5"/>
    <w:rsid w:val="E936F75C"/>
    <w:rsid w:val="EAE460AB"/>
    <w:rsid w:val="EBD971CA"/>
    <w:rsid w:val="EBE7DB18"/>
    <w:rsid w:val="EEEE4E53"/>
    <w:rsid w:val="F57B8A69"/>
    <w:rsid w:val="F5EF4C8B"/>
    <w:rsid w:val="F6EF2935"/>
    <w:rsid w:val="F8F38D96"/>
    <w:rsid w:val="FA5F927B"/>
    <w:rsid w:val="FADF1838"/>
    <w:rsid w:val="FAE912CF"/>
    <w:rsid w:val="FBBF90F8"/>
    <w:rsid w:val="FBEF8536"/>
    <w:rsid w:val="FCC36F57"/>
    <w:rsid w:val="FD3F2C56"/>
    <w:rsid w:val="FDEEC829"/>
    <w:rsid w:val="FDF981E6"/>
    <w:rsid w:val="FEE1F9E0"/>
    <w:rsid w:val="FF679452"/>
    <w:rsid w:val="FFB7FECF"/>
    <w:rsid w:val="FFDFBF5F"/>
    <w:rsid w:val="FFFBC3C7"/>
    <w:rsid w:val="FFFE84C1"/>
    <w:rsid w:val="FFFF08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rFonts w:eastAsia="宋体"/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6">
    <w:name w:val="Subtitle"/>
    <w:basedOn w:val="1"/>
    <w:next w:val="1"/>
    <w:link w:val="14"/>
    <w:qFormat/>
    <w:uiPriority w:val="0"/>
    <w:pPr>
      <w:spacing w:before="240" w:after="60" w:line="312" w:lineRule="auto"/>
      <w:outlineLvl w:val="1"/>
    </w:pPr>
    <w:rPr>
      <w:rFonts w:ascii="Cambria" w:hAnsi="Cambria" w:eastAsia="楷体_GB2312"/>
      <w:b/>
      <w:bCs/>
      <w:kern w:val="28"/>
      <w:szCs w:val="32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标题 1 Char"/>
    <w:link w:val="2"/>
    <w:qFormat/>
    <w:uiPriority w:val="0"/>
    <w:rPr>
      <w:rFonts w:eastAsia="黑体"/>
      <w:b/>
      <w:bCs/>
      <w:kern w:val="44"/>
      <w:sz w:val="32"/>
      <w:szCs w:val="44"/>
    </w:rPr>
  </w:style>
  <w:style w:type="character" w:customStyle="1" w:styleId="11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2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3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4">
    <w:name w:val="副标题 Char"/>
    <w:link w:val="6"/>
    <w:qFormat/>
    <w:uiPriority w:val="0"/>
    <w:rPr>
      <w:rFonts w:ascii="Cambria" w:hAnsi="Cambria" w:eastAsia="楷体_GB2312"/>
      <w:b/>
      <w:bCs/>
      <w:kern w:val="28"/>
      <w:sz w:val="32"/>
      <w:szCs w:val="32"/>
    </w:rPr>
  </w:style>
  <w:style w:type="paragraph" w:customStyle="1" w:styleId="15">
    <w:name w:val="样式1"/>
    <w:basedOn w:val="1"/>
    <w:qFormat/>
    <w:uiPriority w:val="0"/>
    <w:rPr>
      <w:rFonts w:ascii="仿宋_GB2312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wjw/Desktop/2025&#24180;&#24230;&#39135;&#21697;&#23433;&#20840;&#22269;&#23478;&#26631;&#20934;&#31435;&#39033;&#35745;&#21010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2025年度食品安全国家标准立项计划.dotx</Template>
  <Pages>6</Pages>
  <Words>3169</Words>
  <Characters>3192</Characters>
  <Lines>1</Lines>
  <Paragraphs>1</Paragraphs>
  <TotalTime>7</TotalTime>
  <ScaleCrop>false</ScaleCrop>
  <LinksUpToDate>false</LinksUpToDate>
  <CharactersWithSpaces>3226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2025-07-25T11:00:00Z</dcterms:created>
  <dc:creator>LSY</dc:creator>
  <cp:lastModifiedBy>LSY</cp:lastModifiedBy>
  <dcterms:modified xsi:type="dcterms:W3CDTF">2025-07-25T11:00:54Z</dcterms:modified>
  <dc:title>国家卫生健康委员会办公厅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