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28"/>
          <w:szCs w:val="28"/>
        </w:rPr>
      </w:pPr>
      <w:bookmarkStart w:id="0" w:name="红头"/>
      <w:r>
        <w:rPr>
          <w:rFonts w:hint="eastAsia" w:ascii="黑体" w:hAnsi="黑体" w:eastAsia="黑体" w:cs="黑体"/>
          <w:szCs w:val="32"/>
        </w:rPr>
        <w:t>附件</w:t>
      </w:r>
    </w:p>
    <w:p>
      <w:pPr>
        <w:widowControl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共轭亚油酸、共轭亚油酸甘油酯、</w:t>
      </w:r>
    </w:p>
    <w:p>
      <w:pPr>
        <w:widowControl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甘油二酯油</w:t>
      </w:r>
    </w:p>
    <w:p>
      <w:pPr>
        <w:spacing w:after="0" w:afterAutospacing="0"/>
        <w:ind w:firstLine="640" w:firstLineChars="200"/>
        <w:jc w:val="left"/>
        <w:rPr>
          <w:rFonts w:hint="eastAsia" w:ascii="黑体" w:hAnsi="黑体" w:eastAsia="黑体" w:cs="黑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" w:firstLineChars="145"/>
        <w:textAlignment w:val="auto"/>
        <w:rPr>
          <w:rFonts w:hint="eastAsia"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一、共轭亚油酸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3125"/>
        <w:gridCol w:w="3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noWrap w:val="0"/>
            <w:vAlign w:val="top"/>
          </w:tcPr>
          <w:p>
            <w:pPr>
              <w:adjustRightInd w:val="0"/>
              <w:snapToGrid w:val="0"/>
              <w:rPr>
                <w:b/>
                <w:bCs/>
                <w:szCs w:val="32"/>
              </w:rPr>
            </w:pPr>
            <w:r>
              <w:rPr>
                <w:szCs w:val="32"/>
              </w:rPr>
              <w:t>中文名称</w:t>
            </w:r>
          </w:p>
        </w:tc>
        <w:tc>
          <w:tcPr>
            <w:tcW w:w="71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b/>
                <w:bCs/>
                <w:szCs w:val="32"/>
              </w:rPr>
            </w:pPr>
            <w:r>
              <w:rPr>
                <w:szCs w:val="32"/>
              </w:rPr>
              <w:t>共轭亚油酸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noWrap w:val="0"/>
            <w:vAlign w:val="top"/>
          </w:tcPr>
          <w:p>
            <w:pPr>
              <w:adjustRightInd w:val="0"/>
              <w:snapToGrid w:val="0"/>
              <w:rPr>
                <w:b/>
                <w:bCs/>
                <w:szCs w:val="32"/>
              </w:rPr>
            </w:pPr>
            <w:r>
              <w:rPr>
                <w:szCs w:val="32"/>
              </w:rPr>
              <w:t>英文名称</w:t>
            </w:r>
          </w:p>
        </w:tc>
        <w:tc>
          <w:tcPr>
            <w:tcW w:w="71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Conjugated Linoleic 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noWrap w:val="0"/>
            <w:vAlign w:val="top"/>
          </w:tcPr>
          <w:p>
            <w:pPr>
              <w:adjustRightInd w:val="0"/>
              <w:snapToGrid w:val="0"/>
              <w:rPr>
                <w:b/>
                <w:bCs/>
                <w:szCs w:val="32"/>
              </w:rPr>
            </w:pPr>
            <w:r>
              <w:rPr>
                <w:szCs w:val="32"/>
              </w:rPr>
              <w:t>主要成分</w:t>
            </w:r>
          </w:p>
        </w:tc>
        <w:tc>
          <w:tcPr>
            <w:tcW w:w="71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共轭亚油酸C18:2（主要为9c,11t和10t,12c异构体）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497" w:type="dxa"/>
            <w:noWrap w:val="0"/>
            <w:vAlign w:val="top"/>
          </w:tcPr>
          <w:p>
            <w:pPr>
              <w:adjustRightInd w:val="0"/>
              <w:snapToGrid w:val="0"/>
              <w:rPr>
                <w:b/>
                <w:bCs/>
                <w:szCs w:val="32"/>
              </w:rPr>
            </w:pPr>
            <w:r>
              <w:rPr>
                <w:szCs w:val="32"/>
              </w:rPr>
              <w:t>基本信息</w:t>
            </w:r>
          </w:p>
        </w:tc>
        <w:tc>
          <w:tcPr>
            <w:tcW w:w="712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来源：红花籽油</w:t>
            </w:r>
          </w:p>
          <w:p>
            <w:pPr>
              <w:adjustRightInd w:val="0"/>
              <w:snapToGrid w:val="0"/>
              <w:jc w:val="left"/>
              <w:rPr>
                <w:sz w:val="28"/>
                <w:szCs w:val="32"/>
              </w:rPr>
            </w:pPr>
            <w:r>
              <w:rPr>
                <w:szCs w:val="32"/>
              </w:rPr>
              <w:t>主要成分的结构式：</w:t>
            </w:r>
            <w:r>
              <w:rPr>
                <w:szCs w:val="32"/>
              </w:rPr>
              <w:object>
                <v:shape id="_x0000_i1025" o:spt="75" type="#_x0000_t75" style="height:42pt;width:274.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6">
                  <o:LockedField>false</o:LockedField>
                </o:OLEObject>
              </w:object>
            </w:r>
            <w:r>
              <w:rPr>
                <w:color w:val="000000"/>
                <w:kern w:val="0"/>
                <w:sz w:val="28"/>
                <w:szCs w:val="32"/>
              </w:rPr>
              <w:t>9c,11t</w:t>
            </w:r>
          </w:p>
          <w:p>
            <w:pPr>
              <w:adjustRightInd w:val="0"/>
              <w:snapToGrid w:val="0"/>
              <w:jc w:val="left"/>
              <w:rPr>
                <w:szCs w:val="32"/>
              </w:rPr>
            </w:pPr>
            <w:r>
              <w:rPr>
                <w:szCs w:val="32"/>
              </w:rPr>
              <w:object>
                <v:shape id="_x0000_i1026" o:spt="75" type="#_x0000_t75" style="height:37.5pt;width:272.2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8">
                  <o:LockedField>false</o:LockedField>
                </o:OLEObject>
              </w:object>
            </w:r>
            <w:r>
              <w:rPr>
                <w:color w:val="000000"/>
                <w:kern w:val="0"/>
                <w:sz w:val="28"/>
                <w:szCs w:val="32"/>
              </w:rPr>
              <w:t>10t,12c</w:t>
            </w:r>
          </w:p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（c顺式结构，t反式结构）</w:t>
            </w:r>
          </w:p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分子式：C</w:t>
            </w:r>
            <w:r>
              <w:rPr>
                <w:szCs w:val="32"/>
                <w:vertAlign w:val="subscript"/>
              </w:rPr>
              <w:t>18</w:t>
            </w:r>
            <w:r>
              <w:rPr>
                <w:szCs w:val="32"/>
              </w:rPr>
              <w:t>H</w:t>
            </w:r>
            <w:r>
              <w:rPr>
                <w:szCs w:val="32"/>
                <w:vertAlign w:val="subscript"/>
              </w:rPr>
              <w:t>32</w:t>
            </w:r>
            <w:r>
              <w:rPr>
                <w:szCs w:val="32"/>
              </w:rPr>
              <w:t>O</w:t>
            </w:r>
            <w:r>
              <w:rPr>
                <w:szCs w:val="32"/>
                <w:vertAlign w:val="subscript"/>
              </w:rPr>
              <w:t>2</w:t>
            </w:r>
          </w:p>
          <w:p>
            <w:pPr>
              <w:adjustRightInd w:val="0"/>
              <w:snapToGrid w:val="0"/>
              <w:rPr>
                <w:b/>
                <w:bCs/>
                <w:szCs w:val="32"/>
              </w:rPr>
            </w:pPr>
            <w:r>
              <w:rPr>
                <w:szCs w:val="32"/>
              </w:rPr>
              <w:t>分子量：280.44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noWrap w:val="0"/>
            <w:vAlign w:val="top"/>
          </w:tcPr>
          <w:p>
            <w:pPr>
              <w:adjustRightInd w:val="0"/>
              <w:snapToGrid w:val="0"/>
              <w:rPr>
                <w:b/>
                <w:bCs/>
                <w:szCs w:val="32"/>
              </w:rPr>
            </w:pPr>
            <w:r>
              <w:rPr>
                <w:szCs w:val="32"/>
              </w:rPr>
              <w:t>生产工艺简述</w:t>
            </w:r>
          </w:p>
        </w:tc>
        <w:tc>
          <w:tcPr>
            <w:tcW w:w="712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以食品级的红花籽油为原料，通过共轭化反应将其中的亚油酸转化成共轭亚油酸。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食用量</w:t>
            </w:r>
          </w:p>
        </w:tc>
        <w:tc>
          <w:tcPr>
            <w:tcW w:w="712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＜</w:t>
            </w:r>
            <w:r>
              <w:rPr>
                <w:szCs w:val="32"/>
              </w:rPr>
              <w:t>6</w:t>
            </w:r>
            <w:r>
              <w:rPr>
                <w:rFonts w:hint="eastAsia" w:ascii="仿宋_GB2312"/>
                <w:szCs w:val="32"/>
              </w:rPr>
              <w:t>克/天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b/>
                <w:bCs/>
                <w:szCs w:val="32"/>
              </w:rPr>
            </w:pPr>
            <w:r>
              <w:rPr>
                <w:rFonts w:hint="eastAsia" w:ascii="仿宋_GB2312"/>
                <w:szCs w:val="32"/>
              </w:rPr>
              <w:t>质量要求</w:t>
            </w:r>
          </w:p>
        </w:tc>
        <w:tc>
          <w:tcPr>
            <w:tcW w:w="3125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性状</w:t>
            </w:r>
          </w:p>
        </w:tc>
        <w:tc>
          <w:tcPr>
            <w:tcW w:w="3999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无色至淡黄色清澈、透明油状液体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</w:p>
        </w:tc>
        <w:tc>
          <w:tcPr>
            <w:tcW w:w="3125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共轭亚油酸含量</w:t>
            </w:r>
          </w:p>
        </w:tc>
        <w:tc>
          <w:tcPr>
            <w:tcW w:w="3999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700-800 mg/g（w/w）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</w:p>
        </w:tc>
        <w:tc>
          <w:tcPr>
            <w:tcW w:w="3125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共轭亚油酸C18:2 9c,11t和10t,12c异构体</w:t>
            </w:r>
          </w:p>
        </w:tc>
        <w:tc>
          <w:tcPr>
            <w:tcW w:w="3999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78%-84%</w:t>
            </w:r>
            <w:r>
              <w:rPr>
                <w:rFonts w:hint="eastAsia"/>
                <w:szCs w:val="32"/>
              </w:rPr>
              <w:t>（</w:t>
            </w:r>
            <w:r>
              <w:rPr>
                <w:szCs w:val="32"/>
              </w:rPr>
              <w:t>气相，面积百分比</w:t>
            </w:r>
            <w:r>
              <w:rPr>
                <w:rFonts w:hint="eastAsia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</w:p>
        </w:tc>
        <w:tc>
          <w:tcPr>
            <w:tcW w:w="3125" w:type="dxa"/>
            <w:noWrap w:val="0"/>
            <w:vAlign w:val="center"/>
          </w:tcPr>
          <w:p>
            <w:pPr>
              <w:adjustRightInd w:val="0"/>
              <w:snapToGrid w:val="0"/>
              <w:rPr>
                <w:b/>
                <w:color w:val="auto"/>
                <w:szCs w:val="32"/>
              </w:rPr>
            </w:pPr>
            <w:r>
              <w:rPr>
                <w:rFonts w:hint="eastAsia"/>
                <w:b w:val="0"/>
                <w:bCs/>
                <w:color w:val="auto"/>
                <w:szCs w:val="32"/>
              </w:rPr>
              <w:t>油酸</w:t>
            </w:r>
            <w:r>
              <w:rPr>
                <w:b w:val="0"/>
                <w:bCs/>
                <w:color w:val="auto"/>
                <w:szCs w:val="32"/>
              </w:rPr>
              <w:t>C18:1 9c</w:t>
            </w:r>
          </w:p>
        </w:tc>
        <w:tc>
          <w:tcPr>
            <w:tcW w:w="3999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10%-20%（气相，面积百分比）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</w:p>
        </w:tc>
        <w:tc>
          <w:tcPr>
            <w:tcW w:w="3125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棕榈酸C16:0</w:t>
            </w:r>
          </w:p>
        </w:tc>
        <w:tc>
          <w:tcPr>
            <w:tcW w:w="3999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rFonts w:eastAsia="宋体"/>
                <w:szCs w:val="32"/>
              </w:rPr>
              <w:t>＜</w:t>
            </w:r>
            <w:r>
              <w:rPr>
                <w:szCs w:val="32"/>
              </w:rPr>
              <w:t>4%（气相，面积百分比）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</w:p>
        </w:tc>
        <w:tc>
          <w:tcPr>
            <w:tcW w:w="3125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硬脂酸C18:0</w:t>
            </w:r>
          </w:p>
        </w:tc>
        <w:tc>
          <w:tcPr>
            <w:tcW w:w="3999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rFonts w:eastAsia="宋体"/>
                <w:szCs w:val="32"/>
              </w:rPr>
              <w:t>＜</w:t>
            </w:r>
            <w:r>
              <w:rPr>
                <w:szCs w:val="32"/>
              </w:rPr>
              <w:t>4%（气相，面积百分比）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</w:p>
        </w:tc>
        <w:tc>
          <w:tcPr>
            <w:tcW w:w="3125" w:type="dxa"/>
            <w:noWrap w:val="0"/>
            <w:vAlign w:val="center"/>
          </w:tcPr>
          <w:p>
            <w:pPr>
              <w:adjustRightInd w:val="0"/>
              <w:snapToGrid w:val="0"/>
              <w:rPr>
                <w:b/>
                <w:color w:val="auto"/>
                <w:szCs w:val="32"/>
              </w:rPr>
            </w:pPr>
            <w:r>
              <w:rPr>
                <w:b w:val="0"/>
                <w:bCs/>
                <w:color w:val="auto"/>
                <w:szCs w:val="32"/>
              </w:rPr>
              <w:t>亚油酸C18:2</w:t>
            </w:r>
            <w:r>
              <w:rPr>
                <w:b w:val="0"/>
                <w:bCs/>
                <w:szCs w:val="32"/>
              </w:rPr>
              <w:t xml:space="preserve"> </w:t>
            </w:r>
            <w:r>
              <w:rPr>
                <w:b w:val="0"/>
                <w:bCs/>
                <w:color w:val="auto"/>
                <w:szCs w:val="32"/>
              </w:rPr>
              <w:t>9c,12c</w:t>
            </w:r>
          </w:p>
        </w:tc>
        <w:tc>
          <w:tcPr>
            <w:tcW w:w="3999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rFonts w:eastAsia="宋体"/>
                <w:szCs w:val="32"/>
              </w:rPr>
              <w:t>＜</w:t>
            </w:r>
            <w:r>
              <w:rPr>
                <w:szCs w:val="32"/>
              </w:rPr>
              <w:t>3%（气相，面积百分比）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</w:p>
        </w:tc>
        <w:tc>
          <w:tcPr>
            <w:tcW w:w="712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Cs w:val="32"/>
              </w:rPr>
            </w:pPr>
            <w:r>
              <w:rPr>
                <w:szCs w:val="32"/>
              </w:rPr>
              <w:t>共轭亚油酸异构体的组成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</w:p>
        </w:tc>
        <w:tc>
          <w:tcPr>
            <w:tcW w:w="3125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共轭亚油酸C18:2 9c,11t异构体</w:t>
            </w:r>
          </w:p>
        </w:tc>
        <w:tc>
          <w:tcPr>
            <w:tcW w:w="3999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37.5%-42.0%（气相，面积百分比）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</w:p>
        </w:tc>
        <w:tc>
          <w:tcPr>
            <w:tcW w:w="3125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共轭亚油酸C18:2  10t,12c异构体</w:t>
            </w:r>
          </w:p>
        </w:tc>
        <w:tc>
          <w:tcPr>
            <w:tcW w:w="3999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37.5%-42.0%（气相，面积百分比）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</w:p>
        </w:tc>
        <w:tc>
          <w:tcPr>
            <w:tcW w:w="3125" w:type="dxa"/>
            <w:noWrap w:val="0"/>
            <w:vAlign w:val="center"/>
          </w:tcPr>
          <w:p>
            <w:pPr>
              <w:adjustRightInd w:val="0"/>
              <w:snapToGrid w:val="0"/>
              <w:rPr>
                <w:b/>
                <w:color w:val="auto"/>
                <w:szCs w:val="32"/>
              </w:rPr>
            </w:pPr>
            <w:r>
              <w:rPr>
                <w:b w:val="0"/>
                <w:bCs/>
                <w:color w:val="auto"/>
                <w:szCs w:val="32"/>
              </w:rPr>
              <w:t>共轭亚油酸C18:2</w:t>
            </w:r>
            <w:r>
              <w:rPr>
                <w:bCs/>
                <w:szCs w:val="32"/>
              </w:rPr>
              <w:t xml:space="preserve"> </w:t>
            </w:r>
            <w:r>
              <w:rPr>
                <w:b w:val="0"/>
                <w:bCs/>
                <w:color w:val="auto"/>
                <w:szCs w:val="32"/>
              </w:rPr>
              <w:t>9c,11c和10c,12c异构体</w:t>
            </w:r>
          </w:p>
        </w:tc>
        <w:tc>
          <w:tcPr>
            <w:tcW w:w="3999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0-3.0%（气相，面积百分比）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</w:p>
        </w:tc>
        <w:tc>
          <w:tcPr>
            <w:tcW w:w="3125" w:type="dxa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共轭亚油酸</w:t>
            </w:r>
            <w:r>
              <w:rPr>
                <w:bCs/>
                <w:szCs w:val="32"/>
              </w:rPr>
              <w:t xml:space="preserve">C18:2 </w:t>
            </w:r>
            <w:r>
              <w:rPr>
                <w:szCs w:val="32"/>
              </w:rPr>
              <w:t>9t,11t和10t,12t异构体</w:t>
            </w:r>
          </w:p>
        </w:tc>
        <w:tc>
          <w:tcPr>
            <w:tcW w:w="3999" w:type="dxa"/>
            <w:noWrap w:val="0"/>
            <w:vAlign w:val="center"/>
          </w:tcPr>
          <w:p>
            <w:pPr>
              <w:adjustRightInd w:val="0"/>
              <w:snapToGrid w:val="0"/>
              <w:rPr>
                <w:bCs/>
                <w:szCs w:val="32"/>
              </w:rPr>
            </w:pPr>
            <w:r>
              <w:rPr>
                <w:rFonts w:hint="eastAsia" w:eastAsia="宋体"/>
                <w:bCs/>
                <w:szCs w:val="32"/>
              </w:rPr>
              <w:t>＜</w:t>
            </w:r>
            <w:r>
              <w:rPr>
                <w:bCs/>
                <w:szCs w:val="32"/>
              </w:rPr>
              <w:t>1%（</w:t>
            </w:r>
            <w:r>
              <w:rPr>
                <w:b w:val="0"/>
                <w:bCs/>
                <w:color w:val="auto"/>
                <w:szCs w:val="32"/>
              </w:rPr>
              <w:t>气相</w:t>
            </w:r>
            <w:r>
              <w:rPr>
                <w:bCs/>
                <w:szCs w:val="32"/>
              </w:rPr>
              <w:t>，</w:t>
            </w:r>
            <w:r>
              <w:rPr>
                <w:rFonts w:hint="eastAsia"/>
                <w:bCs/>
                <w:szCs w:val="32"/>
              </w:rPr>
              <w:t>面积百分比</w:t>
            </w:r>
            <w:r>
              <w:rPr>
                <w:bCs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9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b/>
                <w:bCs/>
                <w:szCs w:val="32"/>
              </w:rPr>
            </w:pPr>
            <w:r>
              <w:rPr>
                <w:rFonts w:hint="eastAsia" w:ascii="仿宋_GB2312"/>
                <w:szCs w:val="32"/>
              </w:rPr>
              <w:t>其他需要说明的情况</w:t>
            </w:r>
          </w:p>
        </w:tc>
        <w:tc>
          <w:tcPr>
            <w:tcW w:w="71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szCs w:val="32"/>
              </w:rPr>
            </w:pPr>
            <w:r>
              <w:rPr>
                <w:szCs w:val="32"/>
              </w:rPr>
              <w:t>使用范围：1.直接食用。2.脂肪、食用油和乳化脂肪制品，但不包括婴幼儿食品。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145"/>
        <w:textAlignment w:val="auto"/>
        <w:rPr>
          <w:rFonts w:hint="eastAsia" w:ascii="黑体" w:hAnsi="黑体" w:eastAsia="黑体" w:cs="黑体"/>
          <w:color w:val="000000"/>
          <w:kern w:val="0"/>
          <w:szCs w:val="32"/>
        </w:rPr>
      </w:pPr>
      <w:r>
        <w:rPr>
          <w:rFonts w:ascii="宋体" w:hAnsi="宋体" w:eastAsia="宋体"/>
          <w:b/>
          <w:sz w:val="44"/>
          <w:szCs w:val="44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Cs w:val="32"/>
        </w:rPr>
        <w:t>二、共轭亚油酸甘油酯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3100"/>
        <w:gridCol w:w="3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noWrap w:val="0"/>
            <w:vAlign w:val="top"/>
          </w:tcPr>
          <w:p>
            <w:pPr>
              <w:snapToGrid w:val="0"/>
              <w:rPr>
                <w:b/>
                <w:bCs/>
                <w:szCs w:val="32"/>
              </w:rPr>
            </w:pPr>
            <w:r>
              <w:rPr>
                <w:szCs w:val="32"/>
              </w:rPr>
              <w:t>中文名称</w:t>
            </w:r>
          </w:p>
        </w:tc>
        <w:tc>
          <w:tcPr>
            <w:tcW w:w="7074" w:type="dxa"/>
            <w:gridSpan w:val="2"/>
            <w:noWrap w:val="0"/>
            <w:vAlign w:val="center"/>
          </w:tcPr>
          <w:p>
            <w:pPr>
              <w:snapToGrid w:val="0"/>
              <w:rPr>
                <w:b/>
                <w:bCs/>
                <w:szCs w:val="32"/>
              </w:rPr>
            </w:pPr>
            <w:r>
              <w:rPr>
                <w:szCs w:val="32"/>
              </w:rPr>
              <w:t>共轭亚油酸甘油酯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noWrap w:val="0"/>
            <w:vAlign w:val="top"/>
          </w:tcPr>
          <w:p>
            <w:pPr>
              <w:snapToGrid w:val="0"/>
              <w:rPr>
                <w:b/>
                <w:bCs/>
                <w:szCs w:val="32"/>
              </w:rPr>
            </w:pPr>
            <w:r>
              <w:rPr>
                <w:szCs w:val="32"/>
              </w:rPr>
              <w:t>英文名称</w:t>
            </w:r>
          </w:p>
        </w:tc>
        <w:tc>
          <w:tcPr>
            <w:tcW w:w="7074" w:type="dxa"/>
            <w:gridSpan w:val="2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Conjugated Linoleic Acid Glycerides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noWrap w:val="0"/>
            <w:vAlign w:val="top"/>
          </w:tcPr>
          <w:p>
            <w:pPr>
              <w:snapToGrid w:val="0"/>
              <w:rPr>
                <w:b/>
                <w:bCs/>
                <w:szCs w:val="32"/>
              </w:rPr>
            </w:pPr>
            <w:r>
              <w:rPr>
                <w:szCs w:val="32"/>
              </w:rPr>
              <w:t>主要成分</w:t>
            </w:r>
          </w:p>
        </w:tc>
        <w:tc>
          <w:tcPr>
            <w:tcW w:w="7074" w:type="dxa"/>
            <w:gridSpan w:val="2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共轭亚油酸甘油三酯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1547" w:type="dxa"/>
            <w:noWrap w:val="0"/>
            <w:vAlign w:val="top"/>
          </w:tcPr>
          <w:p>
            <w:pPr>
              <w:snapToGrid w:val="0"/>
              <w:rPr>
                <w:b/>
                <w:bCs/>
                <w:szCs w:val="32"/>
              </w:rPr>
            </w:pPr>
            <w:r>
              <w:rPr>
                <w:szCs w:val="32"/>
              </w:rPr>
              <w:t>基本信息</w:t>
            </w:r>
          </w:p>
        </w:tc>
        <w:tc>
          <w:tcPr>
            <w:tcW w:w="7074" w:type="dxa"/>
            <w:gridSpan w:val="2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来源：红花籽油</w:t>
            </w:r>
          </w:p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主要成分的结构式：</w:t>
            </w:r>
          </w:p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drawing>
                <wp:inline distT="0" distB="0" distL="114300" distR="114300">
                  <wp:extent cx="990600" cy="904240"/>
                  <wp:effectExtent l="0" t="0" r="0" b="10160"/>
                  <wp:docPr id="1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（其中R是共轭亚油酸C18:2 9c,11t或10t,12c异构体，c顺式结构，t反式结构）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noWrap w:val="0"/>
            <w:vAlign w:val="top"/>
          </w:tcPr>
          <w:p>
            <w:pPr>
              <w:snapToGrid w:val="0"/>
              <w:rPr>
                <w:b/>
                <w:bCs/>
                <w:szCs w:val="32"/>
              </w:rPr>
            </w:pPr>
            <w:r>
              <w:rPr>
                <w:szCs w:val="32"/>
              </w:rPr>
              <w:t>生产工艺简述</w:t>
            </w:r>
          </w:p>
        </w:tc>
        <w:tc>
          <w:tcPr>
            <w:tcW w:w="7074" w:type="dxa"/>
            <w:gridSpan w:val="2"/>
            <w:noWrap w:val="0"/>
            <w:vAlign w:val="center"/>
          </w:tcPr>
          <w:p>
            <w:pPr>
              <w:snapToGrid w:val="0"/>
              <w:rPr>
                <w:b/>
                <w:bCs/>
                <w:szCs w:val="32"/>
              </w:rPr>
            </w:pPr>
            <w:r>
              <w:rPr>
                <w:szCs w:val="32"/>
              </w:rPr>
              <w:t>以食品级的红花籽油为原料，通过共轭化反应将其中的亚油酸转化成共轭亚油酸。然后以食品级脂肪酶为催化剂，将共轭亚油酸脂肪酸与甘油进行酯化，生成共轭亚油酸甘油酯。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食用量</w:t>
            </w:r>
          </w:p>
        </w:tc>
        <w:tc>
          <w:tcPr>
            <w:tcW w:w="7074" w:type="dxa"/>
            <w:gridSpan w:val="2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rFonts w:eastAsia="宋体"/>
                <w:szCs w:val="32"/>
              </w:rPr>
              <w:t>＜</w:t>
            </w:r>
            <w:r>
              <w:rPr>
                <w:szCs w:val="32"/>
              </w:rPr>
              <w:t>6克/天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vMerge w:val="restart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质量要求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性状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无色至淡黄色清澈、透明油状液体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共轭亚油酸甘油三酯含量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77%-83%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共轭亚油酸甘油二酯含量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17%-23%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共轭亚油酸单甘酯含量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rFonts w:eastAsia="宋体"/>
                <w:szCs w:val="32"/>
              </w:rPr>
              <w:t>＜</w:t>
            </w:r>
            <w:r>
              <w:rPr>
                <w:szCs w:val="32"/>
              </w:rPr>
              <w:t>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</w:p>
        </w:tc>
        <w:tc>
          <w:tcPr>
            <w:tcW w:w="7074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szCs w:val="32"/>
              </w:rPr>
            </w:pPr>
            <w:r>
              <w:rPr>
                <w:szCs w:val="32"/>
              </w:rPr>
              <w:t>脂肪酸组成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</w:p>
        </w:tc>
        <w:tc>
          <w:tcPr>
            <w:tcW w:w="3100" w:type="dxa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共轭亚油酸含量</w:t>
            </w:r>
          </w:p>
        </w:tc>
        <w:tc>
          <w:tcPr>
            <w:tcW w:w="3974" w:type="dxa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700-800 mg/g（w/w）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共轭亚油酸C18:2 9c,11t和10t,12c异构体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78%-84%（气相，面积百分比）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snapToGrid w:val="0"/>
              <w:rPr>
                <w:b/>
                <w:color w:val="auto"/>
                <w:szCs w:val="32"/>
              </w:rPr>
            </w:pPr>
            <w:r>
              <w:rPr>
                <w:rFonts w:hint="eastAsia"/>
                <w:b w:val="0"/>
                <w:bCs/>
                <w:color w:val="auto"/>
                <w:szCs w:val="32"/>
              </w:rPr>
              <w:t>油酸</w:t>
            </w:r>
            <w:r>
              <w:rPr>
                <w:b w:val="0"/>
                <w:bCs/>
                <w:color w:val="auto"/>
                <w:szCs w:val="32"/>
              </w:rPr>
              <w:t>C18:1</w:t>
            </w:r>
            <w:r>
              <w:rPr>
                <w:b w:val="0"/>
                <w:bCs/>
                <w:szCs w:val="32"/>
              </w:rPr>
              <w:t xml:space="preserve"> </w:t>
            </w:r>
            <w:r>
              <w:rPr>
                <w:b w:val="0"/>
                <w:bCs/>
                <w:color w:val="auto"/>
                <w:szCs w:val="32"/>
              </w:rPr>
              <w:t>9c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10%-20%（气相，面积百分比）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棕榈酸C16:0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rFonts w:eastAsia="宋体"/>
                <w:szCs w:val="32"/>
              </w:rPr>
              <w:t>＜</w:t>
            </w:r>
            <w:r>
              <w:rPr>
                <w:szCs w:val="32"/>
              </w:rPr>
              <w:t>4%（气相，面积百分比）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硬脂酸C18:0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rFonts w:eastAsia="宋体"/>
                <w:szCs w:val="32"/>
              </w:rPr>
              <w:t>＜</w:t>
            </w:r>
            <w:r>
              <w:rPr>
                <w:szCs w:val="32"/>
              </w:rPr>
              <w:t>4%（气相，面积百分比）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snapToGrid w:val="0"/>
              <w:ind w:left="320" w:hanging="320" w:hangingChars="100"/>
              <w:jc w:val="left"/>
              <w:rPr>
                <w:b/>
                <w:color w:val="auto"/>
                <w:szCs w:val="32"/>
              </w:rPr>
            </w:pPr>
            <w:r>
              <w:rPr>
                <w:b w:val="0"/>
                <w:bCs/>
                <w:color w:val="auto"/>
                <w:szCs w:val="32"/>
              </w:rPr>
              <w:t>亚油酸C18:2</w:t>
            </w:r>
            <w:r>
              <w:rPr>
                <w:b w:val="0"/>
                <w:bCs/>
                <w:szCs w:val="32"/>
              </w:rPr>
              <w:t xml:space="preserve"> </w:t>
            </w:r>
            <w:r>
              <w:rPr>
                <w:b w:val="0"/>
                <w:bCs/>
                <w:color w:val="auto"/>
                <w:szCs w:val="32"/>
              </w:rPr>
              <w:t>9c,12c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rFonts w:eastAsia="宋体"/>
                <w:szCs w:val="32"/>
              </w:rPr>
              <w:t>＜</w:t>
            </w:r>
            <w:r>
              <w:rPr>
                <w:szCs w:val="32"/>
              </w:rPr>
              <w:t>3%（气相，面积百分比）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</w:p>
        </w:tc>
        <w:tc>
          <w:tcPr>
            <w:tcW w:w="7074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szCs w:val="32"/>
              </w:rPr>
            </w:pPr>
            <w:r>
              <w:rPr>
                <w:szCs w:val="32"/>
              </w:rPr>
              <w:t>共轭亚油酸异构体的组成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共轭亚油酸C18:2 9c,11t异构体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37.5%-42.0%（气相，面积百分比）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共轭亚油酸C18:2 10t,12c异构体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37.5%-42.0%（气相，面积百分比）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snapToGrid w:val="0"/>
              <w:rPr>
                <w:b/>
                <w:color w:val="auto"/>
                <w:szCs w:val="32"/>
              </w:rPr>
            </w:pPr>
            <w:r>
              <w:rPr>
                <w:b w:val="0"/>
                <w:bCs/>
                <w:color w:val="auto"/>
                <w:szCs w:val="32"/>
              </w:rPr>
              <w:t>共轭亚油酸C18:2</w:t>
            </w:r>
            <w:r>
              <w:rPr>
                <w:bCs/>
                <w:szCs w:val="32"/>
              </w:rPr>
              <w:t xml:space="preserve"> </w:t>
            </w:r>
            <w:r>
              <w:rPr>
                <w:b w:val="0"/>
                <w:bCs/>
                <w:color w:val="auto"/>
                <w:szCs w:val="32"/>
              </w:rPr>
              <w:t>9c,11c和10c,12c异构体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0-3.0</w:t>
            </w:r>
            <w:r>
              <w:rPr>
                <w:rFonts w:hint="default"/>
                <w:szCs w:val="32"/>
              </w:rPr>
              <w:t>%</w:t>
            </w:r>
            <w:r>
              <w:rPr>
                <w:szCs w:val="32"/>
              </w:rPr>
              <w:t>（气相，面积百分比）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dxa"/>
            <w:vMerge w:val="continue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共轭亚油酸</w:t>
            </w:r>
            <w:r>
              <w:rPr>
                <w:bCs/>
                <w:szCs w:val="32"/>
              </w:rPr>
              <w:t xml:space="preserve">C18:2 </w:t>
            </w:r>
            <w:r>
              <w:rPr>
                <w:szCs w:val="32"/>
              </w:rPr>
              <w:t>9t,11t和10t,12t异构体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napToGrid w:val="0"/>
              <w:rPr>
                <w:b/>
                <w:color w:val="auto"/>
                <w:szCs w:val="32"/>
              </w:rPr>
            </w:pPr>
            <w:r>
              <w:rPr>
                <w:rFonts w:eastAsia="宋体"/>
                <w:szCs w:val="32"/>
              </w:rPr>
              <w:t>＜</w:t>
            </w:r>
            <w:r>
              <w:rPr>
                <w:szCs w:val="32"/>
              </w:rPr>
              <w:t>1%（</w:t>
            </w:r>
            <w:r>
              <w:rPr>
                <w:b w:val="0"/>
                <w:bCs w:val="0"/>
                <w:color w:val="auto"/>
                <w:szCs w:val="32"/>
              </w:rPr>
              <w:t>气相</w:t>
            </w:r>
            <w:r>
              <w:rPr>
                <w:szCs w:val="32"/>
              </w:rPr>
              <w:t>，</w:t>
            </w:r>
            <w:r>
              <w:rPr>
                <w:rFonts w:hint="eastAsia"/>
                <w:szCs w:val="32"/>
              </w:rPr>
              <w:t>面积百分比</w:t>
            </w:r>
            <w:r>
              <w:rPr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1547" w:type="dxa"/>
            <w:noWrap w:val="0"/>
            <w:vAlign w:val="top"/>
          </w:tcPr>
          <w:p>
            <w:pPr>
              <w:snapToGrid w:val="0"/>
              <w:rPr>
                <w:b/>
                <w:bCs/>
                <w:szCs w:val="32"/>
              </w:rPr>
            </w:pPr>
            <w:r>
              <w:rPr>
                <w:szCs w:val="32"/>
              </w:rPr>
              <w:t>其他需要说明的情况</w:t>
            </w:r>
          </w:p>
        </w:tc>
        <w:tc>
          <w:tcPr>
            <w:tcW w:w="7074" w:type="dxa"/>
            <w:gridSpan w:val="2"/>
            <w:noWrap w:val="0"/>
            <w:vAlign w:val="top"/>
          </w:tcPr>
          <w:p>
            <w:pPr>
              <w:snapToGrid w:val="0"/>
              <w:rPr>
                <w:szCs w:val="32"/>
              </w:rPr>
            </w:pPr>
            <w:r>
              <w:rPr>
                <w:szCs w:val="32"/>
              </w:rPr>
              <w:t>使用范围：1.直接食用。2.乳及乳制品（纯乳除外）；脂肪、食用油和乳化脂肪制品；饮料类；冷冻饮品；可可制品、巧克力和巧克力制品以及糖果；杂粮粉及其制品；即食谷物、焙烤食品、咖啡，但不包括婴幼儿食品。</w:t>
            </w:r>
          </w:p>
        </w:tc>
      </w:tr>
    </w:tbl>
    <w:p/>
    <w:p>
      <w:pPr>
        <w:ind w:firstLine="640" w:firstLineChars="200"/>
        <w:rPr>
          <w:rFonts w:hint="eastAsia" w:ascii="黑体" w:hAnsi="黑体" w:eastAsia="黑体" w:cs="黑体"/>
          <w:color w:val="000000"/>
          <w:kern w:val="0"/>
          <w:szCs w:val="32"/>
        </w:rPr>
      </w:pPr>
      <w:r>
        <w:rPr>
          <w:rFonts w:ascii="黑体" w:hAnsi="黑体" w:eastAsia="黑体" w:cs="黑体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Cs w:val="32"/>
        </w:rPr>
        <w:t>三、甘油二酯油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878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中文名称</w:t>
            </w:r>
          </w:p>
        </w:tc>
        <w:tc>
          <w:tcPr>
            <w:tcW w:w="6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甘油二酯油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英文名称</w:t>
            </w:r>
          </w:p>
        </w:tc>
        <w:tc>
          <w:tcPr>
            <w:tcW w:w="6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Diacylglycerol Oil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主要成分</w:t>
            </w:r>
          </w:p>
        </w:tc>
        <w:tc>
          <w:tcPr>
            <w:tcW w:w="6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甘油二酯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基本信息</w:t>
            </w:r>
          </w:p>
        </w:tc>
        <w:tc>
          <w:tcPr>
            <w:tcW w:w="62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来源：大豆油、菜籽油、花生油、玉米油</w:t>
            </w:r>
          </w:p>
          <w:p>
            <w:pPr>
              <w:rPr>
                <w:szCs w:val="32"/>
              </w:rPr>
            </w:pPr>
            <w:r>
              <w:rPr>
                <w:szCs w:val="32"/>
              </w:rPr>
              <w:t>主要成分结构式：</w:t>
            </w:r>
          </w:p>
          <w:p>
            <w:pPr>
              <w:rPr>
                <w:szCs w:val="32"/>
              </w:rPr>
            </w:pPr>
            <w:r>
              <w:rPr>
                <w:szCs w:val="32"/>
              </w:rPr>
              <w:drawing>
                <wp:inline distT="0" distB="0" distL="114300" distR="114300">
                  <wp:extent cx="2400300" cy="971550"/>
                  <wp:effectExtent l="0" t="0" r="0" b="0"/>
                  <wp:docPr id="2" name="图片 4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true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exact"/>
              <w:rPr>
                <w:szCs w:val="32"/>
              </w:rPr>
            </w:pPr>
            <w:r>
              <w:rPr>
                <w:szCs w:val="32"/>
              </w:rPr>
              <w:t xml:space="preserve">1,2-甘油二酯    1,3-甘油二酯                                  </w:t>
            </w:r>
          </w:p>
          <w:p>
            <w:pPr>
              <w:rPr>
                <w:szCs w:val="32"/>
              </w:rPr>
            </w:pPr>
            <w:r>
              <w:rPr>
                <w:szCs w:val="32"/>
              </w:rPr>
              <w:t>（其中COR、COR’为饱和或不饱和脂肪酰基）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生产工艺简述</w:t>
            </w:r>
          </w:p>
        </w:tc>
        <w:tc>
          <w:tcPr>
            <w:tcW w:w="6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szCs w:val="32"/>
              </w:rPr>
            </w:pPr>
            <w:r>
              <w:rPr>
                <w:szCs w:val="32"/>
              </w:rPr>
              <w:t>以大豆油、菜籽油等为原料，以脂肪酶制剂、水、甘油等为主要辅料，通过脂肪酶催化，经蒸馏分离、脱色、脱臭等工艺而制成。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食用量</w:t>
            </w:r>
          </w:p>
        </w:tc>
        <w:tc>
          <w:tcPr>
            <w:tcW w:w="6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32"/>
              </w:rPr>
            </w:pPr>
            <w:r>
              <w:rPr>
                <w:rFonts w:ascii="宋体" w:hAnsi="宋体" w:eastAsia="宋体"/>
                <w:szCs w:val="32"/>
              </w:rPr>
              <w:t>≤</w:t>
            </w:r>
            <w:r>
              <w:rPr>
                <w:szCs w:val="32"/>
              </w:rPr>
              <w:t>30克/天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9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质量要求</w:t>
            </w:r>
          </w:p>
        </w:tc>
        <w:tc>
          <w:tcPr>
            <w:tcW w:w="3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性状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透明状液体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3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甘油二酯含量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32"/>
              </w:rPr>
            </w:pPr>
            <w:r>
              <w:rPr>
                <w:rFonts w:ascii="宋体" w:hAnsi="宋体" w:eastAsia="宋体"/>
                <w:szCs w:val="32"/>
              </w:rPr>
              <w:t>≥</w:t>
            </w:r>
            <w:r>
              <w:rPr>
                <w:szCs w:val="32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3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甘油三酯含量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32"/>
              </w:rPr>
            </w:pPr>
            <w:r>
              <w:rPr>
                <w:rFonts w:ascii="宋体" w:hAnsi="宋体" w:eastAsia="宋体"/>
                <w:szCs w:val="32"/>
              </w:rPr>
              <w:t>≤</w:t>
            </w:r>
            <w:r>
              <w:rPr>
                <w:szCs w:val="32"/>
              </w:rPr>
              <w:t>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3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32"/>
              </w:rPr>
            </w:pPr>
            <w:r>
              <w:rPr>
                <w:b w:val="0"/>
                <w:bCs/>
                <w:color w:val="auto"/>
                <w:szCs w:val="32"/>
              </w:rPr>
              <w:t>单</w:t>
            </w:r>
            <w:r>
              <w:rPr>
                <w:rFonts w:hint="eastAsia"/>
                <w:b w:val="0"/>
                <w:bCs/>
                <w:color w:val="auto"/>
                <w:szCs w:val="32"/>
              </w:rPr>
              <w:t>甘</w:t>
            </w:r>
            <w:r>
              <w:rPr>
                <w:b w:val="0"/>
                <w:bCs/>
                <w:color w:val="auto"/>
                <w:szCs w:val="32"/>
              </w:rPr>
              <w:t>酯</w:t>
            </w:r>
            <w:r>
              <w:rPr>
                <w:szCs w:val="32"/>
              </w:rPr>
              <w:t>含量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32"/>
              </w:rPr>
            </w:pPr>
            <w:r>
              <w:rPr>
                <w:rFonts w:ascii="宋体" w:hAnsi="宋体" w:eastAsia="宋体"/>
                <w:szCs w:val="32"/>
              </w:rPr>
              <w:t>≤</w:t>
            </w:r>
            <w:r>
              <w:rPr>
                <w:szCs w:val="32"/>
              </w:rPr>
              <w:t>1.5%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3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游离脂肪酸含量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32"/>
              </w:rPr>
            </w:pPr>
            <w:r>
              <w:rPr>
                <w:rFonts w:ascii="宋体" w:hAnsi="宋体" w:eastAsia="宋体"/>
                <w:szCs w:val="32"/>
              </w:rPr>
              <w:t>≤</w:t>
            </w:r>
            <w:r>
              <w:rPr>
                <w:szCs w:val="32"/>
              </w:rPr>
              <w:t>0.5%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9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其他需要说明的情况</w:t>
            </w:r>
          </w:p>
        </w:tc>
        <w:tc>
          <w:tcPr>
            <w:tcW w:w="6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32"/>
              </w:rPr>
            </w:pPr>
            <w:r>
              <w:rPr>
                <w:szCs w:val="32"/>
              </w:rPr>
              <w:t>使用范围不包括婴幼儿食品。</w:t>
            </w:r>
          </w:p>
        </w:tc>
      </w:tr>
      <w:bookmarkEnd w:id="0"/>
    </w:tbl>
    <w:p>
      <w:pPr>
        <w:snapToGrid w:val="0"/>
        <w:spacing w:line="360" w:lineRule="auto"/>
        <w:ind w:right="0"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Liberation 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eastAsia="宋体"/>
        <w:sz w:val="18"/>
        <w:szCs w:val="18"/>
      </w:rPr>
    </w:pPr>
    <w:r>
      <w:rPr>
        <w:rFonts w:eastAsia="宋体"/>
        <w:sz w:val="18"/>
        <w:szCs w:val="18"/>
      </w:rPr>
      <w:fldChar w:fldCharType="begin"/>
    </w:r>
    <w:r>
      <w:rPr>
        <w:rFonts w:eastAsia="宋体"/>
        <w:sz w:val="18"/>
        <w:szCs w:val="18"/>
      </w:rPr>
      <w:instrText xml:space="preserve">PAGE   \* MERGEFORMAT</w:instrText>
    </w:r>
    <w:r>
      <w:rPr>
        <w:rFonts w:eastAsia="宋体"/>
        <w:sz w:val="18"/>
        <w:szCs w:val="18"/>
      </w:rPr>
      <w:fldChar w:fldCharType="separate"/>
    </w:r>
    <w:r>
      <w:rPr>
        <w:rFonts w:eastAsia="宋体"/>
        <w:sz w:val="18"/>
        <w:szCs w:val="18"/>
        <w:lang w:val="zh-CN"/>
      </w:rPr>
      <w:t>2</w:t>
    </w:r>
    <w:r>
      <w:rPr>
        <w:rFonts w:eastAsia="宋体"/>
        <w:sz w:val="18"/>
        <w:szCs w:val="18"/>
      </w:rPr>
      <w:fldChar w:fldCharType="end"/>
    </w:r>
  </w:p>
  <w:p>
    <w:pPr>
      <w:tabs>
        <w:tab w:val="center" w:pos="4153"/>
        <w:tab w:val="right" w:pos="8306"/>
      </w:tabs>
      <w:snapToGrid w:val="0"/>
      <w:jc w:val="center"/>
      <w:rPr>
        <w:rFonts w:eastAsia="宋体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eastAsia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E2"/>
    <w:rsid w:val="00071D18"/>
    <w:rsid w:val="00105471"/>
    <w:rsid w:val="001430ED"/>
    <w:rsid w:val="0014509C"/>
    <w:rsid w:val="001565C6"/>
    <w:rsid w:val="001E0616"/>
    <w:rsid w:val="001E461C"/>
    <w:rsid w:val="002824E2"/>
    <w:rsid w:val="002E6C8F"/>
    <w:rsid w:val="00331784"/>
    <w:rsid w:val="00383757"/>
    <w:rsid w:val="003950B5"/>
    <w:rsid w:val="003C6ADF"/>
    <w:rsid w:val="003E2068"/>
    <w:rsid w:val="00401852"/>
    <w:rsid w:val="004402B6"/>
    <w:rsid w:val="004835B4"/>
    <w:rsid w:val="004B3ADB"/>
    <w:rsid w:val="004D1934"/>
    <w:rsid w:val="004D55F0"/>
    <w:rsid w:val="005D5184"/>
    <w:rsid w:val="005F6EFF"/>
    <w:rsid w:val="00634D60"/>
    <w:rsid w:val="0069329E"/>
    <w:rsid w:val="006D6940"/>
    <w:rsid w:val="00702104"/>
    <w:rsid w:val="0073702C"/>
    <w:rsid w:val="00773650"/>
    <w:rsid w:val="007A0F70"/>
    <w:rsid w:val="007D1923"/>
    <w:rsid w:val="008811B0"/>
    <w:rsid w:val="0089494D"/>
    <w:rsid w:val="008B256B"/>
    <w:rsid w:val="008C0654"/>
    <w:rsid w:val="008C24AC"/>
    <w:rsid w:val="008E3AF6"/>
    <w:rsid w:val="009021EC"/>
    <w:rsid w:val="0090297F"/>
    <w:rsid w:val="00912619"/>
    <w:rsid w:val="00936F88"/>
    <w:rsid w:val="009B29A5"/>
    <w:rsid w:val="009E66F9"/>
    <w:rsid w:val="00A2744D"/>
    <w:rsid w:val="00A31601"/>
    <w:rsid w:val="00A35A08"/>
    <w:rsid w:val="00A860C0"/>
    <w:rsid w:val="00AA3D61"/>
    <w:rsid w:val="00AD5620"/>
    <w:rsid w:val="00AE55E3"/>
    <w:rsid w:val="00B03829"/>
    <w:rsid w:val="00BC7F8B"/>
    <w:rsid w:val="00CB5B3A"/>
    <w:rsid w:val="00CE34DE"/>
    <w:rsid w:val="00CF080F"/>
    <w:rsid w:val="00D0517C"/>
    <w:rsid w:val="00D33733"/>
    <w:rsid w:val="00D4656C"/>
    <w:rsid w:val="00D64101"/>
    <w:rsid w:val="00E344D0"/>
    <w:rsid w:val="00EF5A83"/>
    <w:rsid w:val="00F056D4"/>
    <w:rsid w:val="00F16EA5"/>
    <w:rsid w:val="00F71189"/>
    <w:rsid w:val="00F91AD5"/>
    <w:rsid w:val="00F93664"/>
    <w:rsid w:val="00FC5251"/>
    <w:rsid w:val="00FD1DBD"/>
    <w:rsid w:val="00FE3671"/>
    <w:rsid w:val="16D26F4B"/>
    <w:rsid w:val="1BFC277B"/>
    <w:rsid w:val="1BFF76FB"/>
    <w:rsid w:val="24817FFE"/>
    <w:rsid w:val="33AB5737"/>
    <w:rsid w:val="36378EFF"/>
    <w:rsid w:val="3639C66A"/>
    <w:rsid w:val="37EF2D0B"/>
    <w:rsid w:val="3AE74C10"/>
    <w:rsid w:val="3EFB707A"/>
    <w:rsid w:val="3F315ECF"/>
    <w:rsid w:val="3FDFF4A3"/>
    <w:rsid w:val="3FEA7126"/>
    <w:rsid w:val="4C7F766B"/>
    <w:rsid w:val="4FFF67FA"/>
    <w:rsid w:val="5452EE55"/>
    <w:rsid w:val="57BD0E2F"/>
    <w:rsid w:val="57D37123"/>
    <w:rsid w:val="59774108"/>
    <w:rsid w:val="5B7F6C95"/>
    <w:rsid w:val="5B9E7E21"/>
    <w:rsid w:val="5BF3FAB9"/>
    <w:rsid w:val="5BFFF080"/>
    <w:rsid w:val="5DEF468A"/>
    <w:rsid w:val="5F4FF9AF"/>
    <w:rsid w:val="5FDF20F7"/>
    <w:rsid w:val="643D23C7"/>
    <w:rsid w:val="67DA211B"/>
    <w:rsid w:val="67E556D8"/>
    <w:rsid w:val="67EFB6D3"/>
    <w:rsid w:val="67FF2592"/>
    <w:rsid w:val="6D7DC6E1"/>
    <w:rsid w:val="6F9FD3B0"/>
    <w:rsid w:val="6FC5B1D2"/>
    <w:rsid w:val="6FFDB14C"/>
    <w:rsid w:val="6FFF2C40"/>
    <w:rsid w:val="71686D61"/>
    <w:rsid w:val="71F3624A"/>
    <w:rsid w:val="73F7BCD4"/>
    <w:rsid w:val="74A7B524"/>
    <w:rsid w:val="75EC376F"/>
    <w:rsid w:val="76FAB0AD"/>
    <w:rsid w:val="76FF98FE"/>
    <w:rsid w:val="77223F9B"/>
    <w:rsid w:val="777E300E"/>
    <w:rsid w:val="77A61AA9"/>
    <w:rsid w:val="77FF384F"/>
    <w:rsid w:val="79379E2B"/>
    <w:rsid w:val="799F20DE"/>
    <w:rsid w:val="7A1B2FF5"/>
    <w:rsid w:val="7AFD147D"/>
    <w:rsid w:val="7BD54015"/>
    <w:rsid w:val="7BDBD68F"/>
    <w:rsid w:val="7BE6627E"/>
    <w:rsid w:val="7BFF9442"/>
    <w:rsid w:val="7E95FDA9"/>
    <w:rsid w:val="7EA772B6"/>
    <w:rsid w:val="7EBFAB63"/>
    <w:rsid w:val="7FBC9350"/>
    <w:rsid w:val="7FBDAC04"/>
    <w:rsid w:val="7FC34E55"/>
    <w:rsid w:val="7FCB76F4"/>
    <w:rsid w:val="7FD96BE0"/>
    <w:rsid w:val="7FDF436F"/>
    <w:rsid w:val="7FFF1AB2"/>
    <w:rsid w:val="875F9D16"/>
    <w:rsid w:val="8DCF521C"/>
    <w:rsid w:val="A59F276C"/>
    <w:rsid w:val="AEBBCAF7"/>
    <w:rsid w:val="B77E2176"/>
    <w:rsid w:val="B7B55EB0"/>
    <w:rsid w:val="B98B933C"/>
    <w:rsid w:val="BA7B23C6"/>
    <w:rsid w:val="BAF91174"/>
    <w:rsid w:val="BCBF1187"/>
    <w:rsid w:val="BDFEC933"/>
    <w:rsid w:val="BEF7133D"/>
    <w:rsid w:val="BFC66A52"/>
    <w:rsid w:val="BFEEA856"/>
    <w:rsid w:val="BFF57CBF"/>
    <w:rsid w:val="C6E3F604"/>
    <w:rsid w:val="CEE8EB0C"/>
    <w:rsid w:val="CEFDA30D"/>
    <w:rsid w:val="CFFFFDC1"/>
    <w:rsid w:val="D7FEA272"/>
    <w:rsid w:val="D8FBEF9A"/>
    <w:rsid w:val="DDD3A168"/>
    <w:rsid w:val="DDD7E303"/>
    <w:rsid w:val="DFFB50EA"/>
    <w:rsid w:val="E7F5F3F1"/>
    <w:rsid w:val="EEBF0D52"/>
    <w:rsid w:val="EF4D4305"/>
    <w:rsid w:val="EF720329"/>
    <w:rsid w:val="EF7968CC"/>
    <w:rsid w:val="EFCF1909"/>
    <w:rsid w:val="EFEF81E4"/>
    <w:rsid w:val="EFF62B17"/>
    <w:rsid w:val="EFFA4411"/>
    <w:rsid w:val="EFFF263E"/>
    <w:rsid w:val="F3B7DDE1"/>
    <w:rsid w:val="F5BDBB66"/>
    <w:rsid w:val="F5CD6A46"/>
    <w:rsid w:val="F75DAAB9"/>
    <w:rsid w:val="F7FF2DB5"/>
    <w:rsid w:val="F7FF30FD"/>
    <w:rsid w:val="F8B6E1D8"/>
    <w:rsid w:val="FA320DF0"/>
    <w:rsid w:val="FAAF64DC"/>
    <w:rsid w:val="FB4F1B77"/>
    <w:rsid w:val="FBBE9B82"/>
    <w:rsid w:val="FCDE0EB9"/>
    <w:rsid w:val="FCF30FF1"/>
    <w:rsid w:val="FCFDFD4B"/>
    <w:rsid w:val="FCFED6D2"/>
    <w:rsid w:val="FDBE237D"/>
    <w:rsid w:val="FDD549C8"/>
    <w:rsid w:val="FDEC3DD4"/>
    <w:rsid w:val="FDFDEF08"/>
    <w:rsid w:val="FF1A2A8F"/>
    <w:rsid w:val="FF9B6621"/>
    <w:rsid w:val="FF9F8B46"/>
    <w:rsid w:val="FFD1ABD7"/>
    <w:rsid w:val="FFEE78A7"/>
    <w:rsid w:val="FFF59532"/>
    <w:rsid w:val="FFFA55C0"/>
    <w:rsid w:val="FFFF8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Subtitle"/>
    <w:basedOn w:val="1"/>
    <w:next w:val="1"/>
    <w:link w:val="13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楷体_GB2312" w:cs="Times New Roman"/>
      <w:b/>
      <w:bCs/>
      <w:kern w:val="28"/>
      <w:szCs w:val="32"/>
    </w:rPr>
  </w:style>
  <w:style w:type="character" w:customStyle="1" w:styleId="9">
    <w:name w:val="标题 1 Char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0">
    <w:name w:val="批注框文本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副标题 Char"/>
    <w:link w:val="6"/>
    <w:qFormat/>
    <w:uiPriority w:val="0"/>
    <w:rPr>
      <w:rFonts w:ascii="Cambria" w:hAnsi="Cambria" w:eastAsia="楷体_GB2312" w:cs="Times New Roman"/>
      <w:b/>
      <w:bCs/>
      <w:kern w:val="28"/>
      <w:sz w:val="32"/>
      <w:szCs w:val="32"/>
    </w:rPr>
  </w:style>
  <w:style w:type="paragraph" w:customStyle="1" w:styleId="14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oleObject" Target="embeddings/oleObject2.bin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Powerise</Company>
  <Pages>10</Pages>
  <Words>1635</Words>
  <Characters>2224</Characters>
  <Lines>222</Lines>
  <Paragraphs>192</Paragraphs>
  <TotalTime>22</TotalTime>
  <ScaleCrop>false</ScaleCrop>
  <LinksUpToDate>false</LinksUpToDate>
  <CharactersWithSpaces>3667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2013-07-20T22:25:00Z</dcterms:created>
  <dc:creator>vv</dc:creator>
  <cp:lastModifiedBy>gonggq</cp:lastModifiedBy>
  <cp:lastPrinted>2021-07-26T11:24:00Z</cp:lastPrinted>
  <dcterms:modified xsi:type="dcterms:W3CDTF">2021-08-11T09:37:17Z</dcterms:modified>
  <dc:title>国家卫生健康委员会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