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征求意见的食品安全国家标准目录</w:t>
      </w:r>
    </w:p>
    <w:p>
      <w:pPr>
        <w:rPr>
          <w:rFonts w:ascii="仿宋_GB2312"/>
          <w:szCs w:val="32"/>
        </w:rPr>
      </w:pPr>
    </w:p>
    <w:tbl>
      <w:tblPr>
        <w:tblStyle w:val="3"/>
        <w:tblW w:w="50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6161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pct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3595" w:type="pct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标准名称</w:t>
            </w:r>
          </w:p>
        </w:tc>
        <w:tc>
          <w:tcPr>
            <w:tcW w:w="897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制定/修订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pct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0"/>
              </w:numPr>
              <w:ind w:left="320" w:leftChars="0"/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3595" w:type="pct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/>
                <w:bCs/>
                <w:sz w:val="28"/>
                <w:szCs w:val="28"/>
              </w:rPr>
              <w:t>稀奶油、奶油和无水奶油</w:t>
            </w:r>
          </w:p>
        </w:tc>
        <w:tc>
          <w:tcPr>
            <w:tcW w:w="897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pct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0"/>
              </w:numPr>
              <w:ind w:left="320" w:leftChars="0"/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3595" w:type="pct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/>
                <w:bCs/>
                <w:sz w:val="28"/>
                <w:szCs w:val="28"/>
              </w:rPr>
              <w:t>茶叶</w:t>
            </w:r>
          </w:p>
        </w:tc>
        <w:tc>
          <w:tcPr>
            <w:tcW w:w="897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ascii="仿宋_GB2312" w:hAnsi="宋体"/>
                <w:bCs/>
                <w:sz w:val="28"/>
                <w:szCs w:val="28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6" w:type="pct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0"/>
              </w:numPr>
              <w:ind w:left="320" w:leftChars="0"/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3595" w:type="pct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/>
                <w:bCs/>
                <w:sz w:val="28"/>
                <w:szCs w:val="28"/>
              </w:rPr>
              <w:t>代用茶</w:t>
            </w:r>
          </w:p>
        </w:tc>
        <w:tc>
          <w:tcPr>
            <w:tcW w:w="897" w:type="pct"/>
            <w:noWrap w:val="0"/>
            <w:vAlign w:val="top"/>
          </w:tcPr>
          <w:p>
            <w:pPr>
              <w:jc w:val="center"/>
              <w:rPr>
                <w:rFonts w:hint="default"/>
              </w:rPr>
            </w:pPr>
            <w:r>
              <w:rPr>
                <w:sz w:val="28"/>
                <w:szCs w:val="22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pct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0"/>
              </w:numPr>
              <w:ind w:left="320" w:leftChars="0"/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3595" w:type="pct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ascii="仿宋_GB2312" w:hAnsi="宋体"/>
                <w:bCs/>
                <w:sz w:val="28"/>
                <w:szCs w:val="28"/>
              </w:rPr>
              <w:t>食品加工用植物蛋白肽</w:t>
            </w:r>
          </w:p>
        </w:tc>
        <w:tc>
          <w:tcPr>
            <w:tcW w:w="897" w:type="pct"/>
            <w:noWrap w:val="0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pct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0"/>
              </w:numPr>
              <w:ind w:left="320" w:leftChars="0"/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3595" w:type="pct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/>
                <w:bCs/>
                <w:sz w:val="28"/>
                <w:szCs w:val="28"/>
              </w:rPr>
              <w:t>《食品安全国家标准 食品添加剂 硬脂酸镁》（GB 1886.91-2016）第1号修改单</w:t>
            </w:r>
          </w:p>
        </w:tc>
        <w:tc>
          <w:tcPr>
            <w:tcW w:w="897" w:type="pct"/>
            <w:noWrap w:val="0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修改单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pct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0"/>
              </w:numPr>
              <w:ind w:left="320" w:leftChars="0"/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bCs/>
                <w:sz w:val="28"/>
                <w:szCs w:val="28"/>
              </w:rPr>
              <w:t>6</w:t>
            </w:r>
          </w:p>
        </w:tc>
        <w:tc>
          <w:tcPr>
            <w:tcW w:w="3595" w:type="pct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/>
                <w:bCs/>
                <w:sz w:val="28"/>
                <w:szCs w:val="28"/>
              </w:rPr>
              <w:t>食品接触材料及制品迁移试验通则</w:t>
            </w:r>
          </w:p>
        </w:tc>
        <w:tc>
          <w:tcPr>
            <w:tcW w:w="897" w:type="pct"/>
            <w:noWrap w:val="0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6" w:type="pct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0"/>
              </w:numPr>
              <w:ind w:left="320" w:leftChars="0"/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bCs/>
                <w:sz w:val="28"/>
                <w:szCs w:val="28"/>
              </w:rPr>
              <w:t>7</w:t>
            </w:r>
          </w:p>
        </w:tc>
        <w:tc>
          <w:tcPr>
            <w:tcW w:w="3595" w:type="pct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ascii="仿宋_GB2312" w:hAnsi="宋体"/>
                <w:bCs/>
                <w:sz w:val="28"/>
                <w:szCs w:val="28"/>
              </w:rPr>
              <w:t>食品中乙酰磺氨酸钾的测定</w:t>
            </w:r>
          </w:p>
        </w:tc>
        <w:tc>
          <w:tcPr>
            <w:tcW w:w="897" w:type="pct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pct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0"/>
              </w:numPr>
              <w:ind w:left="320" w:leftChars="0"/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bCs/>
                <w:sz w:val="28"/>
                <w:szCs w:val="28"/>
              </w:rPr>
              <w:t>8</w:t>
            </w:r>
          </w:p>
        </w:tc>
        <w:tc>
          <w:tcPr>
            <w:tcW w:w="3595" w:type="pct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ascii="仿宋_GB2312" w:hAnsi="宋体"/>
                <w:bCs/>
                <w:sz w:val="28"/>
                <w:szCs w:val="28"/>
              </w:rPr>
              <w:t>食品中维生素</w:t>
            </w:r>
            <w:r>
              <w:rPr>
                <w:rFonts w:hint="default" w:ascii="仿宋_GB2312" w:hAnsi="宋体"/>
                <w:bCs/>
                <w:sz w:val="28"/>
                <w:szCs w:val="28"/>
              </w:rPr>
              <w:t>B</w:t>
            </w:r>
            <w:r>
              <w:rPr>
                <w:rFonts w:hint="default" w:ascii="仿宋_GB2312" w:hAnsi="宋体"/>
                <w:bCs/>
                <w:sz w:val="28"/>
                <w:szCs w:val="28"/>
                <w:vertAlign w:val="subscript"/>
              </w:rPr>
              <w:t>6</w:t>
            </w:r>
            <w:r>
              <w:rPr>
                <w:rFonts w:hint="default" w:ascii="仿宋_GB2312" w:hAnsi="宋体"/>
                <w:bCs/>
                <w:sz w:val="28"/>
                <w:szCs w:val="28"/>
              </w:rPr>
              <w:t>的测定</w:t>
            </w:r>
          </w:p>
        </w:tc>
        <w:tc>
          <w:tcPr>
            <w:tcW w:w="897" w:type="pct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pct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0"/>
              </w:numPr>
              <w:ind w:left="320" w:leftChars="0"/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bCs/>
                <w:sz w:val="28"/>
                <w:szCs w:val="28"/>
              </w:rPr>
              <w:t>9</w:t>
            </w:r>
          </w:p>
        </w:tc>
        <w:tc>
          <w:tcPr>
            <w:tcW w:w="3595" w:type="pct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/>
                <w:bCs/>
                <w:sz w:val="28"/>
                <w:szCs w:val="28"/>
              </w:rPr>
              <w:t>食品中烟酸和烟酰胺的测定</w:t>
            </w:r>
          </w:p>
        </w:tc>
        <w:tc>
          <w:tcPr>
            <w:tcW w:w="897" w:type="pct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pct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0"/>
              </w:numPr>
              <w:ind w:left="320" w:leftChars="0"/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bCs/>
                <w:sz w:val="28"/>
                <w:szCs w:val="28"/>
              </w:rPr>
              <w:t>10</w:t>
            </w:r>
          </w:p>
        </w:tc>
        <w:tc>
          <w:tcPr>
            <w:tcW w:w="3595" w:type="pct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/>
                <w:bCs/>
                <w:sz w:val="28"/>
                <w:szCs w:val="28"/>
              </w:rPr>
              <w:t>食品中肌醇的测定</w:t>
            </w:r>
          </w:p>
        </w:tc>
        <w:tc>
          <w:tcPr>
            <w:tcW w:w="897" w:type="pct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6" w:type="pct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0"/>
              </w:numPr>
              <w:ind w:left="320" w:leftChars="0"/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bCs/>
                <w:sz w:val="28"/>
                <w:szCs w:val="28"/>
              </w:rPr>
              <w:t>11</w:t>
            </w:r>
          </w:p>
        </w:tc>
        <w:tc>
          <w:tcPr>
            <w:tcW w:w="3595" w:type="pct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/>
                <w:bCs/>
                <w:sz w:val="28"/>
                <w:szCs w:val="28"/>
              </w:rPr>
              <w:t>食品中铅的测定</w:t>
            </w:r>
          </w:p>
        </w:tc>
        <w:tc>
          <w:tcPr>
            <w:tcW w:w="897" w:type="pct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pct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0"/>
              </w:numPr>
              <w:ind w:left="320" w:leftChars="0"/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bCs/>
                <w:sz w:val="28"/>
                <w:szCs w:val="28"/>
              </w:rPr>
              <w:t>12</w:t>
            </w:r>
          </w:p>
        </w:tc>
        <w:tc>
          <w:tcPr>
            <w:tcW w:w="3595" w:type="pct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/>
                <w:bCs/>
                <w:sz w:val="28"/>
                <w:szCs w:val="28"/>
              </w:rPr>
              <w:t>食品中氰化物的测定</w:t>
            </w:r>
          </w:p>
        </w:tc>
        <w:tc>
          <w:tcPr>
            <w:tcW w:w="897" w:type="pct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pct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0"/>
              </w:numPr>
              <w:ind w:left="320" w:leftChars="0"/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bCs/>
                <w:sz w:val="28"/>
                <w:szCs w:val="28"/>
              </w:rPr>
              <w:t>13</w:t>
            </w:r>
          </w:p>
        </w:tc>
        <w:tc>
          <w:tcPr>
            <w:tcW w:w="3595" w:type="pct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/>
                <w:bCs/>
                <w:sz w:val="28"/>
                <w:szCs w:val="28"/>
              </w:rPr>
              <w:t>食品中米酵菌酸的测定</w:t>
            </w:r>
          </w:p>
        </w:tc>
        <w:tc>
          <w:tcPr>
            <w:tcW w:w="897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pct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0"/>
              </w:numPr>
              <w:ind w:left="320" w:leftChars="0"/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bCs/>
                <w:sz w:val="28"/>
                <w:szCs w:val="28"/>
              </w:rPr>
              <w:t>14</w:t>
            </w:r>
          </w:p>
        </w:tc>
        <w:tc>
          <w:tcPr>
            <w:tcW w:w="3595" w:type="pct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/>
                <w:bCs/>
                <w:sz w:val="28"/>
                <w:szCs w:val="28"/>
              </w:rPr>
              <w:t>食品接触材料及制品 游离酚的测定和迁移量的测定</w:t>
            </w:r>
          </w:p>
        </w:tc>
        <w:tc>
          <w:tcPr>
            <w:tcW w:w="897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6" w:type="pct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0"/>
              </w:numPr>
              <w:ind w:left="320" w:leftChars="0"/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bCs/>
                <w:sz w:val="28"/>
                <w:szCs w:val="28"/>
              </w:rPr>
              <w:t>15</w:t>
            </w:r>
          </w:p>
        </w:tc>
        <w:tc>
          <w:tcPr>
            <w:tcW w:w="3595" w:type="pct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/>
                <w:bCs/>
                <w:sz w:val="28"/>
                <w:szCs w:val="28"/>
              </w:rPr>
              <w:t>食品中色氨酸的测定</w:t>
            </w:r>
          </w:p>
        </w:tc>
        <w:tc>
          <w:tcPr>
            <w:tcW w:w="897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pct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0"/>
              </w:numPr>
              <w:ind w:left="320" w:leftChars="0"/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bCs/>
                <w:sz w:val="28"/>
                <w:szCs w:val="28"/>
              </w:rPr>
              <w:t>16</w:t>
            </w:r>
          </w:p>
        </w:tc>
        <w:tc>
          <w:tcPr>
            <w:tcW w:w="3595" w:type="pct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/>
                <w:bCs/>
                <w:sz w:val="28"/>
                <w:szCs w:val="28"/>
              </w:rPr>
              <w:t>食品中唾液酸的测定</w:t>
            </w:r>
          </w:p>
        </w:tc>
        <w:tc>
          <w:tcPr>
            <w:tcW w:w="897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pct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0"/>
              </w:numPr>
              <w:ind w:left="320" w:leftChars="0"/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bCs/>
                <w:sz w:val="28"/>
                <w:szCs w:val="28"/>
              </w:rPr>
              <w:t>17</w:t>
            </w:r>
          </w:p>
        </w:tc>
        <w:tc>
          <w:tcPr>
            <w:tcW w:w="3595" w:type="pct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/>
                <w:bCs/>
                <w:sz w:val="28"/>
                <w:szCs w:val="28"/>
              </w:rPr>
              <w:t>动物性水产品中鄂口线虫的检验</w:t>
            </w:r>
          </w:p>
        </w:tc>
        <w:tc>
          <w:tcPr>
            <w:tcW w:w="897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pct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0"/>
              </w:numPr>
              <w:ind w:left="320" w:leftChars="0"/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bCs/>
                <w:sz w:val="28"/>
                <w:szCs w:val="28"/>
              </w:rPr>
              <w:t>18</w:t>
            </w:r>
          </w:p>
        </w:tc>
        <w:tc>
          <w:tcPr>
            <w:tcW w:w="3595" w:type="pct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/>
                <w:bCs/>
                <w:sz w:val="28"/>
                <w:szCs w:val="28"/>
              </w:rPr>
              <w:t>动物性水产品中异尖线虫的检验</w:t>
            </w:r>
          </w:p>
        </w:tc>
        <w:tc>
          <w:tcPr>
            <w:tcW w:w="897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6" w:type="pct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0"/>
              </w:numPr>
              <w:ind w:left="320" w:leftChars="0"/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bCs/>
                <w:sz w:val="28"/>
                <w:szCs w:val="28"/>
              </w:rPr>
              <w:t>19</w:t>
            </w:r>
          </w:p>
        </w:tc>
        <w:tc>
          <w:tcPr>
            <w:tcW w:w="3595" w:type="pct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/>
                <w:bCs/>
                <w:sz w:val="28"/>
                <w:szCs w:val="28"/>
              </w:rPr>
              <w:t>动物性水产品中广州管圆线虫的检验</w:t>
            </w:r>
          </w:p>
        </w:tc>
        <w:tc>
          <w:tcPr>
            <w:tcW w:w="897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pct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0"/>
              </w:numPr>
              <w:ind w:left="320" w:leftChars="0"/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bCs/>
                <w:sz w:val="28"/>
                <w:szCs w:val="28"/>
              </w:rPr>
              <w:t>20</w:t>
            </w:r>
          </w:p>
        </w:tc>
        <w:tc>
          <w:tcPr>
            <w:tcW w:w="3595" w:type="pct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/>
                <w:bCs/>
                <w:sz w:val="28"/>
                <w:szCs w:val="28"/>
              </w:rPr>
              <w:t>动物性水产品中华支睾吸虫的检验</w:t>
            </w:r>
          </w:p>
        </w:tc>
        <w:tc>
          <w:tcPr>
            <w:tcW w:w="897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pct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0"/>
              </w:numPr>
              <w:ind w:left="320" w:leftChars="0"/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bCs/>
                <w:sz w:val="28"/>
                <w:szCs w:val="28"/>
              </w:rPr>
              <w:t>21</w:t>
            </w:r>
          </w:p>
        </w:tc>
        <w:tc>
          <w:tcPr>
            <w:tcW w:w="3595" w:type="pct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/>
                <w:bCs/>
                <w:sz w:val="28"/>
                <w:szCs w:val="28"/>
              </w:rPr>
              <w:t>动物性水产品中并殖吸虫的检验</w:t>
            </w:r>
          </w:p>
        </w:tc>
        <w:tc>
          <w:tcPr>
            <w:tcW w:w="897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pct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0"/>
              </w:numPr>
              <w:ind w:left="320" w:leftChars="0"/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bCs/>
                <w:sz w:val="28"/>
                <w:szCs w:val="28"/>
              </w:rPr>
              <w:t>22</w:t>
            </w:r>
          </w:p>
        </w:tc>
        <w:tc>
          <w:tcPr>
            <w:tcW w:w="3595" w:type="pct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/>
                <w:bCs/>
                <w:sz w:val="28"/>
                <w:szCs w:val="28"/>
              </w:rPr>
              <w:t>动物性水产品中曼氏迭宫绦虫裂头蚴的检验</w:t>
            </w:r>
          </w:p>
        </w:tc>
        <w:tc>
          <w:tcPr>
            <w:tcW w:w="897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6" w:type="pct"/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0"/>
              </w:numPr>
              <w:ind w:left="320" w:leftChars="0"/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bCs/>
                <w:sz w:val="28"/>
                <w:szCs w:val="28"/>
              </w:rPr>
              <w:t>23</w:t>
            </w:r>
          </w:p>
        </w:tc>
        <w:tc>
          <w:tcPr>
            <w:tcW w:w="3595" w:type="pct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default" w:ascii="仿宋_GB2312" w:hAnsi="宋体"/>
                <w:bCs/>
                <w:sz w:val="28"/>
                <w:szCs w:val="28"/>
              </w:rPr>
              <w:t>食品微生物检验 采样与检验处理规程</w:t>
            </w:r>
          </w:p>
        </w:tc>
        <w:tc>
          <w:tcPr>
            <w:tcW w:w="897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制定</w:t>
            </w:r>
          </w:p>
        </w:tc>
      </w:tr>
    </w:tbl>
    <w:p/>
    <w:p>
      <w:pPr>
        <w:jc w:val="both"/>
        <w:rPr>
          <w:rFonts w:ascii="宋体" w:hAnsi="宋体" w:eastAsia="宋体"/>
          <w:b/>
          <w:bCs/>
          <w:color w:val="FF0000"/>
          <w:w w:val="80"/>
          <w:sz w:val="72"/>
          <w:szCs w:val="7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微软雅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37E58"/>
    <w:rsid w:val="59F37E58"/>
    <w:rsid w:val="AFD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2021-06-02T10:39:00Z</dcterms:created>
  <dc:creator>wjw</dc:creator>
  <cp:lastModifiedBy>wjw</cp:lastModifiedBy>
  <dcterms:modified xsi:type="dcterms:W3CDTF">2021-06-02T10:41:36Z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