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 w:ascii="宋体" w:hAnsi="宋体" w:eastAsia="宋体" w:cs="宋体"/>
          <w:b w:val="0"/>
          <w:bCs w:val="0"/>
          <w:sz w:val="28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征求意见的食品安全国家标准目录</w:t>
      </w:r>
    </w:p>
    <w:tbl>
      <w:tblPr>
        <w:tblStyle w:val="3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6162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6162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标准名称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制定/修订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食品营养强化剂 L-肉碱酒石酸盐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食品营养强化剂 柠檬酸亚铁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食品营养强化剂 碳酸铜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ascii="Calibri" w:hAnsi="Calibri" w:eastAsia="仿宋_GB2312" w:cs="Times New Roman"/>
                <w:sz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食品营养强化剂 氯化锰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ascii="Calibri" w:hAnsi="Calibri" w:eastAsia="仿宋_GB2312" w:cs="Times New Roman"/>
                <w:sz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食品营养强化剂 甘油磷酸钙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ascii="Calibri" w:hAnsi="Calibri" w:eastAsia="仿宋_GB2312" w:cs="Times New Roman"/>
                <w:sz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食品营养强化剂 钼酸钠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ascii="Calibri" w:hAnsi="Calibri" w:eastAsia="仿宋_GB2312" w:cs="Times New Roman"/>
                <w:sz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食品营养强化剂 还原铁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ascii="Calibri" w:hAnsi="Calibri" w:eastAsia="仿宋_GB2312" w:cs="Times New Roman"/>
                <w:sz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食品营养强化剂 盐酸氰钴胺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ascii="Calibri" w:hAnsi="Calibri" w:eastAsia="仿宋_GB2312" w:cs="Times New Roman"/>
                <w:sz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《食品营养强化剂 维生素C磷酸酯镁》第1号修改单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修改单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食用淀粉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紧压茶及其再制品含氟限量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食品加工用菌种制剂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熟肉制品生产卫生规范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婴幼儿配方食品良好生产规范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食品中合成着色剂的测定</w:t>
            </w:r>
          </w:p>
        </w:tc>
        <w:tc>
          <w:tcPr>
            <w:tcW w:w="15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食品中泛酸的测定</w:t>
            </w: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味精中麸氨酸钠（谷氨酸钠）的测定</w:t>
            </w:r>
          </w:p>
        </w:tc>
        <w:tc>
          <w:tcPr>
            <w:tcW w:w="15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修订</w:t>
            </w:r>
          </w:p>
        </w:tc>
      </w:tr>
    </w:tbl>
    <w:p>
      <w:pPr>
        <w:rPr>
          <w:rFonts w:ascii="Times New Roman" w:hAnsi="Times New Roman" w:eastAsia="仿宋_GB2312"/>
          <w:sz w:val="32"/>
        </w:rPr>
      </w:pPr>
    </w:p>
    <w:tbl>
      <w:tblPr>
        <w:tblStyle w:val="3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6166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食品中单辛酸甘油酯的测定</w:t>
            </w:r>
          </w:p>
        </w:tc>
        <w:tc>
          <w:tcPr>
            <w:tcW w:w="1539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食品中β-阿朴-8</w:t>
            </w:r>
            <w:r>
              <w:rPr>
                <w:rFonts w:ascii="仿宋_GB2312" w:hAnsi="Calibri" w:eastAsia="仿宋_GB2312" w:cs="Times New Roman"/>
                <w:sz w:val="28"/>
                <w:szCs w:val="28"/>
              </w:rPr>
              <w:t>’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-胡萝卜素醛的测定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食品接触材料及制品 二苯甲酮类物质的测定和迁移量的测定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pacing w:val="-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pacing w:val="-6"/>
                <w:sz w:val="28"/>
                <w:szCs w:val="28"/>
              </w:rPr>
              <w:t>食品接触材料及制品 月桂内酰胺迁移量的测定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食品接触材料及制品 脱色试验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食品接触材料及制品 双酚F和双酚S迁移量的测定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食品微生物学检验 商业无菌检验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食品微生物学检验 乳酸菌检验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" w:type="dxa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6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食品用菌种安全性评价程序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制定</w:t>
            </w:r>
          </w:p>
        </w:tc>
      </w:tr>
    </w:tbl>
    <w:p>
      <w:pPr>
        <w:rPr>
          <w:rFonts w:ascii="Times New Roman" w:hAnsi="Times New Roman" w:eastAsia="仿宋_GB2312"/>
          <w:sz w:val="32"/>
        </w:rPr>
      </w:pPr>
    </w:p>
    <w:p>
      <w:pPr>
        <w:spacing w:line="520" w:lineRule="exact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>
      <w:pPr>
        <w:spacing w:line="520" w:lineRule="exact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微软雅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50B1D"/>
    <w:multiLevelType w:val="multilevel"/>
    <w:tmpl w:val="6FD50B1D"/>
    <w:lvl w:ilvl="0" w:tentative="0">
      <w:start w:val="1"/>
      <w:numFmt w:val="decimal"/>
      <w:lvlText w:val="%1"/>
      <w:lvlJc w:val="left"/>
      <w:pPr>
        <w:ind w:left="7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6F6AAAE"/>
    <w:rsid w:val="5FFEE7FA"/>
    <w:rsid w:val="FFFF01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wjw</cp:lastModifiedBy>
  <dcterms:modified xsi:type="dcterms:W3CDTF">2021-02-08T09:56:30Z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