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BF" w:rsidRPr="00365BBF" w:rsidRDefault="00365BBF" w:rsidP="00365BBF">
      <w:pPr>
        <w:widowControl/>
        <w:jc w:val="left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t>附件3</w:t>
      </w:r>
    </w:p>
    <w:p w:rsidR="00365BBF" w:rsidRPr="00365BBF" w:rsidRDefault="00365BBF" w:rsidP="00365BBF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:rsidR="00365BBF" w:rsidRPr="00365BBF" w:rsidRDefault="00365BBF" w:rsidP="00365BBF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365BBF">
        <w:rPr>
          <w:rFonts w:ascii="宋体" w:hAnsi="宋体" w:cs="宋体" w:hint="eastAsia"/>
          <w:b/>
          <w:bCs/>
          <w:sz w:val="44"/>
          <w:szCs w:val="44"/>
        </w:rPr>
        <w:t>1-癸烯与4-甲基-1-戊烯的聚合物等6种</w:t>
      </w:r>
    </w:p>
    <w:p w:rsidR="00365BBF" w:rsidRPr="00365BBF" w:rsidRDefault="00365BBF" w:rsidP="00365BBF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365BBF">
        <w:rPr>
          <w:rFonts w:ascii="宋体" w:hAnsi="宋体" w:cs="宋体" w:hint="eastAsia"/>
          <w:b/>
          <w:bCs/>
          <w:sz w:val="44"/>
          <w:szCs w:val="44"/>
        </w:rPr>
        <w:t>食品接触材料及制品用树脂新品种</w:t>
      </w:r>
    </w:p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44"/>
          <w:szCs w:val="44"/>
        </w:rPr>
      </w:pP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t>一、1-癸烯与4-甲基-1-戊烯的聚合物</w:t>
      </w:r>
    </w:p>
    <w:p w:rsidR="00365BBF" w:rsidRPr="00365BBF" w:rsidRDefault="00365BBF" w:rsidP="00365BBF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3"/>
        <w:gridCol w:w="1134"/>
        <w:gridCol w:w="5983"/>
      </w:tblGrid>
      <w:tr w:rsidR="00365BBF" w:rsidRPr="00365BBF" w:rsidTr="00365BBF">
        <w:trPr>
          <w:trHeight w:val="698"/>
          <w:jc w:val="center"/>
        </w:trPr>
        <w:tc>
          <w:tcPr>
            <w:tcW w:w="1363" w:type="dxa"/>
            <w:vMerge w:val="restart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134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983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1-癸烯与4-甲基-1-戊烯的聚合物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363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983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1-Decene,polymer with 4-methyl-1-pentene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49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5983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25155-83-3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49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通用类别名</w:t>
            </w:r>
          </w:p>
        </w:tc>
        <w:tc>
          <w:tcPr>
            <w:tcW w:w="5983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PMP</w:t>
            </w:r>
          </w:p>
        </w:tc>
      </w:tr>
      <w:tr w:rsidR="00365BBF" w:rsidRPr="00365BBF" w:rsidTr="00365BBF">
        <w:trPr>
          <w:trHeight w:val="1252"/>
          <w:jc w:val="center"/>
        </w:trPr>
        <w:tc>
          <w:tcPr>
            <w:tcW w:w="249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5983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0.05（4-甲基-1-戊烯）；</w:t>
            </w:r>
          </w:p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0.05（1-癸烯）。</w:t>
            </w:r>
          </w:p>
        </w:tc>
      </w:tr>
      <w:tr w:rsidR="00365BBF" w:rsidRPr="00365BBF" w:rsidTr="00365BBF">
        <w:trPr>
          <w:trHeight w:val="1252"/>
          <w:jc w:val="center"/>
        </w:trPr>
        <w:tc>
          <w:tcPr>
            <w:tcW w:w="249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5983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249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983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4-甲基-1-戊烯物质的量不低于95%摩尔比。</w:t>
            </w:r>
          </w:p>
        </w:tc>
      </w:tr>
    </w:tbl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365BBF">
        <w:rPr>
          <w:rFonts w:ascii="仿宋" w:eastAsia="仿宋" w:hAnsi="仿宋"/>
          <w:sz w:val="32"/>
          <w:szCs w:val="32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二、1-十八碳烯与1-十六碳烯和4-甲基-1-戊烯的聚合物</w:t>
      </w:r>
    </w:p>
    <w:p w:rsidR="00365BBF" w:rsidRPr="00365BBF" w:rsidRDefault="00365BBF" w:rsidP="00365BB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794"/>
        <w:gridCol w:w="6379"/>
      </w:tblGrid>
      <w:tr w:rsidR="00365BBF" w:rsidRPr="00365BBF" w:rsidTr="00365BBF">
        <w:trPr>
          <w:trHeight w:val="698"/>
          <w:jc w:val="center"/>
        </w:trPr>
        <w:tc>
          <w:tcPr>
            <w:tcW w:w="1350" w:type="dxa"/>
            <w:vMerge w:val="restart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794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37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1-十八碳烯与1-十六碳烯和4-甲基-1-戊烯的</w:t>
            </w:r>
          </w:p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聚合物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350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37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1-Octadecene, polymer with 1-hexadecene and 4-methyl-1-pentene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144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637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81229-87-0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144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通用类别名</w:t>
            </w:r>
          </w:p>
        </w:tc>
        <w:tc>
          <w:tcPr>
            <w:tcW w:w="637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PMP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144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其他名称</w:t>
            </w:r>
          </w:p>
        </w:tc>
        <w:tc>
          <w:tcPr>
            <w:tcW w:w="637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聚甲基戊烯树脂；</w:t>
            </w:r>
          </w:p>
          <w:p w:rsidR="00365BBF" w:rsidRPr="00365BBF" w:rsidRDefault="00365BBF" w:rsidP="00365BBF">
            <w:pPr>
              <w:widowControl/>
              <w:wordWrap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4-甲基-1-戊烯与α-烯烃共聚（4-Methyl-1-pentene α-olefin copolymer）。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144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特定迁移限量（SML）（mg/kg）</w:t>
            </w:r>
          </w:p>
        </w:tc>
        <w:tc>
          <w:tcPr>
            <w:tcW w:w="637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0.05（4-甲基-1-戊烯）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144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637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2144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379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4-甲基-1-戊烯物质的量不得低于97%摩尔比。</w:t>
            </w:r>
          </w:p>
        </w:tc>
      </w:tr>
    </w:tbl>
    <w:p w:rsidR="00365BBF" w:rsidRPr="00365BBF" w:rsidRDefault="00365BBF" w:rsidP="00365BBF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365BBF" w:rsidRPr="00365BBF" w:rsidRDefault="00365BBF" w:rsidP="00365BB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t>三、1,4-苯二甲酸与1,4-二(羟甲基)环己烷和1,2-乙二醇的聚合</w:t>
      </w: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9"/>
        <w:gridCol w:w="1082"/>
        <w:gridCol w:w="6063"/>
      </w:tblGrid>
      <w:tr w:rsidR="00365BBF" w:rsidRPr="00365BBF" w:rsidTr="00365BBF">
        <w:trPr>
          <w:trHeight w:val="698"/>
          <w:jc w:val="center"/>
        </w:trPr>
        <w:tc>
          <w:tcPr>
            <w:tcW w:w="1489" w:type="dxa"/>
            <w:vMerge w:val="restart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082" w:type="dxa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063" w:type="dxa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1,4-苯二甲酸与1,4-二(羟甲基)环己烷和1,2-乙二醇的聚合物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489" w:type="dxa"/>
            <w:vMerge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063" w:type="dxa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1,4-Benzenedicarhoxylic acid polymer with 1,4-cyclohexanedimethanol and 1,2-ethanediol</w:t>
            </w:r>
          </w:p>
        </w:tc>
      </w:tr>
      <w:tr w:rsidR="00365BBF" w:rsidRPr="00365BBF" w:rsidTr="008C5BE5">
        <w:trPr>
          <w:trHeight w:val="722"/>
          <w:jc w:val="center"/>
        </w:trPr>
        <w:tc>
          <w:tcPr>
            <w:tcW w:w="2571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6063" w:type="dxa"/>
            <w:vAlign w:val="center"/>
          </w:tcPr>
          <w:p w:rsidR="00365BBF" w:rsidRPr="00365BBF" w:rsidRDefault="00365BBF" w:rsidP="008C5BE5">
            <w:pPr>
              <w:widowControl/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25038-91-9</w:t>
            </w:r>
          </w:p>
        </w:tc>
      </w:tr>
      <w:tr w:rsidR="00365BBF" w:rsidRPr="00365BBF" w:rsidTr="00365BBF">
        <w:trPr>
          <w:trHeight w:val="650"/>
          <w:jc w:val="center"/>
        </w:trPr>
        <w:tc>
          <w:tcPr>
            <w:tcW w:w="2571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其他名称</w:t>
            </w:r>
          </w:p>
        </w:tc>
        <w:tc>
          <w:tcPr>
            <w:tcW w:w="6063" w:type="dxa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PETG</w:t>
            </w:r>
          </w:p>
        </w:tc>
      </w:tr>
      <w:tr w:rsidR="00365BBF" w:rsidRPr="00365BBF" w:rsidTr="00365BBF">
        <w:trPr>
          <w:trHeight w:val="565"/>
          <w:jc w:val="center"/>
        </w:trPr>
        <w:tc>
          <w:tcPr>
            <w:tcW w:w="2571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通用类别名</w:t>
            </w:r>
          </w:p>
        </w:tc>
        <w:tc>
          <w:tcPr>
            <w:tcW w:w="6063" w:type="dxa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PET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2571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6063" w:type="dxa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30（1,2-乙二醇)；</w:t>
            </w:r>
          </w:p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7.5(1,4-苯二甲酸)。</w:t>
            </w:r>
          </w:p>
        </w:tc>
      </w:tr>
      <w:tr w:rsidR="00365BBF" w:rsidRPr="00365BBF" w:rsidTr="00365BBF">
        <w:trPr>
          <w:trHeight w:val="1062"/>
          <w:jc w:val="center"/>
        </w:trPr>
        <w:tc>
          <w:tcPr>
            <w:tcW w:w="2571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6063" w:type="dxa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2571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063" w:type="dxa"/>
          </w:tcPr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1．1，4-二（羟甲基）环己烷占所有二醇单元1%-34%（摩尔比）时：所生产的材料及制品不可用于接触碳酸饮料和啤酒及酒精含量超过25%的食品，热灌装温度不超过82.2</w:t>
            </w:r>
            <w:r w:rsidRPr="00365BBF">
              <w:rPr>
                <w:rFonts w:ascii="宋体" w:hAnsi="宋体" w:cs="宋体" w:hint="eastAsia"/>
                <w:sz w:val="28"/>
                <w:szCs w:val="28"/>
              </w:rPr>
              <w:t>º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C，储存温度不超过48.9</w:t>
            </w:r>
            <w:r w:rsidRPr="00365BBF">
              <w:rPr>
                <w:rFonts w:ascii="宋体" w:hAnsi="宋体" w:cs="宋体" w:hint="eastAsia"/>
                <w:sz w:val="28"/>
                <w:szCs w:val="28"/>
              </w:rPr>
              <w:t>º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C。在容器中不作热处理。</w:t>
            </w:r>
          </w:p>
          <w:p w:rsidR="00365BBF" w:rsidRPr="00365BBF" w:rsidRDefault="00365BBF" w:rsidP="00365BBF">
            <w:pPr>
              <w:widowControl/>
              <w:spacing w:line="5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2．1，4-二（羟甲基）环己烷占所有二醇单元35%-80%（摩尔比）时：所生产的材料及制品（1）在室温以上、100</w:t>
            </w:r>
            <w:r w:rsidRPr="00365BBF">
              <w:rPr>
                <w:rFonts w:ascii="宋体" w:hAnsi="宋体" w:cs="宋体" w:hint="eastAsia"/>
                <w:sz w:val="28"/>
                <w:szCs w:val="28"/>
              </w:rPr>
              <w:t>º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C以下不可用于接触酒精含量超过13%的食品；（2）在室温条件或更低的温度下，不可用于接触酒精含量超过25%的食品。</w:t>
            </w:r>
          </w:p>
        </w:tc>
      </w:tr>
    </w:tbl>
    <w:p w:rsidR="00365BBF" w:rsidRPr="00365BBF" w:rsidRDefault="00365BBF" w:rsidP="00365BB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365BBF">
        <w:rPr>
          <w:rFonts w:ascii="仿宋_GB2312" w:eastAsia="仿宋_GB2312" w:hAnsi="仿宋" w:hint="eastAsia"/>
          <w:sz w:val="32"/>
          <w:szCs w:val="32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四、1-丁烯与乙烯的聚合物</w:t>
      </w:r>
    </w:p>
    <w:p w:rsidR="00365BBF" w:rsidRPr="00365BBF" w:rsidRDefault="00365BBF" w:rsidP="00365BBF">
      <w:pPr>
        <w:jc w:val="left"/>
        <w:rPr>
          <w:rFonts w:ascii="黑体" w:eastAsia="黑体" w:hAnsi="黑体" w:cs="黑体"/>
          <w:kern w:val="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2"/>
        <w:gridCol w:w="1034"/>
        <w:gridCol w:w="6062"/>
      </w:tblGrid>
      <w:tr w:rsidR="00365BBF" w:rsidRPr="00365BBF" w:rsidTr="00365BBF">
        <w:trPr>
          <w:trHeight w:val="750"/>
        </w:trPr>
        <w:tc>
          <w:tcPr>
            <w:tcW w:w="1432" w:type="dxa"/>
            <w:vMerge w:val="restart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034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中文</w:t>
            </w:r>
          </w:p>
        </w:tc>
        <w:tc>
          <w:tcPr>
            <w:tcW w:w="6062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1-丁烯与乙烯的聚合物</w:t>
            </w:r>
          </w:p>
        </w:tc>
      </w:tr>
      <w:tr w:rsidR="00365BBF" w:rsidRPr="00365BBF" w:rsidTr="00365BBF">
        <w:trPr>
          <w:trHeight w:val="750"/>
        </w:trPr>
        <w:tc>
          <w:tcPr>
            <w:tcW w:w="1432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英文</w:t>
            </w:r>
          </w:p>
        </w:tc>
        <w:tc>
          <w:tcPr>
            <w:tcW w:w="6062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1-Butene, polymer with ethene</w:t>
            </w:r>
          </w:p>
        </w:tc>
      </w:tr>
      <w:tr w:rsidR="00365BBF" w:rsidRPr="00365BBF" w:rsidTr="00365BBF">
        <w:trPr>
          <w:trHeight w:val="735"/>
        </w:trPr>
        <w:tc>
          <w:tcPr>
            <w:tcW w:w="2466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CAS号</w:t>
            </w:r>
          </w:p>
        </w:tc>
        <w:tc>
          <w:tcPr>
            <w:tcW w:w="6062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25087-34-7</w:t>
            </w:r>
          </w:p>
        </w:tc>
      </w:tr>
      <w:tr w:rsidR="00365BBF" w:rsidRPr="00365BBF" w:rsidTr="00365BBF">
        <w:trPr>
          <w:trHeight w:val="1050"/>
        </w:trPr>
        <w:tc>
          <w:tcPr>
            <w:tcW w:w="2466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其他名称</w:t>
            </w:r>
          </w:p>
        </w:tc>
        <w:tc>
          <w:tcPr>
            <w:tcW w:w="6062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1-丁烯/乙烯共聚物，1-Butene/ethene copolymer</w:t>
            </w:r>
          </w:p>
        </w:tc>
      </w:tr>
      <w:tr w:rsidR="00365BBF" w:rsidRPr="00365BBF" w:rsidTr="00365BBF">
        <w:trPr>
          <w:trHeight w:val="581"/>
        </w:trPr>
        <w:tc>
          <w:tcPr>
            <w:tcW w:w="2466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通用类别名</w:t>
            </w:r>
          </w:p>
        </w:tc>
        <w:tc>
          <w:tcPr>
            <w:tcW w:w="6062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PB-1</w:t>
            </w:r>
          </w:p>
        </w:tc>
      </w:tr>
      <w:tr w:rsidR="00365BBF" w:rsidRPr="00365BBF" w:rsidTr="00365BBF">
        <w:trPr>
          <w:trHeight w:val="1050"/>
        </w:trPr>
        <w:tc>
          <w:tcPr>
            <w:tcW w:w="2466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特定迁移限量（SML）/（mg/kg）</w:t>
            </w:r>
          </w:p>
        </w:tc>
        <w:tc>
          <w:tcPr>
            <w:tcW w:w="6062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2466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最大残留量（QM）/（mg/kg）</w:t>
            </w:r>
          </w:p>
        </w:tc>
        <w:tc>
          <w:tcPr>
            <w:tcW w:w="6062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2466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062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乙烯单体的质量分数不超过9.5% 。</w:t>
            </w:r>
          </w:p>
        </w:tc>
      </w:tr>
    </w:tbl>
    <w:p w:rsidR="00365BBF" w:rsidRPr="00365BBF" w:rsidRDefault="00365BBF" w:rsidP="00365BBF">
      <w:pPr>
        <w:widowControl/>
        <w:spacing w:after="200" w:line="276" w:lineRule="auto"/>
        <w:jc w:val="center"/>
        <w:rPr>
          <w:rFonts w:ascii="仿宋_GB2312" w:eastAsia="仿宋_GB2312" w:hAnsi="仿宋"/>
          <w:sz w:val="32"/>
          <w:szCs w:val="32"/>
        </w:rPr>
      </w:pPr>
      <w:r w:rsidRPr="00365BBF">
        <w:rPr>
          <w:rFonts w:ascii="仿宋_GB2312" w:eastAsia="仿宋_GB2312" w:hAnsi="Times New Roman" w:hint="eastAsia"/>
          <w:kern w:val="0"/>
          <w:szCs w:val="21"/>
        </w:rPr>
        <w:br w:type="page"/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五、对苯二甲酸与</w:t>
      </w:r>
      <w:r w:rsidRPr="00365BBF">
        <w:rPr>
          <w:rFonts w:ascii="黑体" w:eastAsia="黑体" w:hAnsi="黑体" w:cs="黑体"/>
          <w:sz w:val="28"/>
          <w:szCs w:val="28"/>
        </w:rPr>
        <w:t>1,4:3,6-</w:t>
      </w:r>
      <w:r w:rsidRPr="00365BBF">
        <w:rPr>
          <w:rFonts w:ascii="黑体" w:eastAsia="黑体" w:hAnsi="黑体" w:cs="黑体" w:hint="eastAsia"/>
          <w:sz w:val="28"/>
          <w:szCs w:val="28"/>
        </w:rPr>
        <w:t>二脱水山梨醇、</w:t>
      </w:r>
      <w:r w:rsidRPr="00365BBF">
        <w:rPr>
          <w:rFonts w:ascii="黑体" w:eastAsia="黑体" w:hAnsi="黑体" w:cs="黑体"/>
          <w:sz w:val="28"/>
          <w:szCs w:val="28"/>
        </w:rPr>
        <w:t>1,4-</w:t>
      </w:r>
      <w:r w:rsidRPr="00365BBF">
        <w:rPr>
          <w:rFonts w:ascii="黑体" w:eastAsia="黑体" w:hAnsi="黑体" w:cs="黑体" w:hint="eastAsia"/>
          <w:sz w:val="28"/>
          <w:szCs w:val="28"/>
        </w:rPr>
        <w:t>二</w:t>
      </w:r>
      <w:r w:rsidRPr="00365BBF">
        <w:rPr>
          <w:rFonts w:ascii="黑体" w:eastAsia="黑体" w:hAnsi="黑体" w:cs="黑体"/>
          <w:sz w:val="28"/>
          <w:szCs w:val="28"/>
        </w:rPr>
        <w:t>(</w:t>
      </w:r>
      <w:r w:rsidRPr="00365BBF">
        <w:rPr>
          <w:rFonts w:ascii="黑体" w:eastAsia="黑体" w:hAnsi="黑体" w:cs="黑体" w:hint="eastAsia"/>
          <w:sz w:val="28"/>
          <w:szCs w:val="28"/>
        </w:rPr>
        <w:t>羟甲基</w:t>
      </w:r>
      <w:r w:rsidRPr="00365BBF">
        <w:rPr>
          <w:rFonts w:ascii="黑体" w:eastAsia="黑体" w:hAnsi="黑体" w:cs="黑体"/>
          <w:sz w:val="28"/>
          <w:szCs w:val="28"/>
        </w:rPr>
        <w:t>)</w:t>
      </w:r>
      <w:r w:rsidRPr="00365BBF">
        <w:rPr>
          <w:rFonts w:ascii="黑体" w:eastAsia="黑体" w:hAnsi="黑体" w:cs="黑体" w:hint="eastAsia"/>
          <w:sz w:val="28"/>
          <w:szCs w:val="28"/>
        </w:rPr>
        <w:t>环己烷和</w:t>
      </w:r>
      <w:r w:rsidRPr="00365BBF">
        <w:rPr>
          <w:rFonts w:ascii="黑体" w:eastAsia="黑体" w:hAnsi="黑体" w:cs="黑体"/>
          <w:sz w:val="28"/>
          <w:szCs w:val="28"/>
        </w:rPr>
        <w:t>1,2-</w:t>
      </w:r>
      <w:r w:rsidRPr="00365BBF">
        <w:rPr>
          <w:rFonts w:ascii="黑体" w:eastAsia="黑体" w:hAnsi="黑体" w:cs="黑体" w:hint="eastAsia"/>
          <w:sz w:val="28"/>
          <w:szCs w:val="28"/>
        </w:rPr>
        <w:t>乙二醇的聚合物</w:t>
      </w:r>
    </w:p>
    <w:p w:rsidR="00365BBF" w:rsidRPr="00365BBF" w:rsidRDefault="00365BBF" w:rsidP="00365BBF">
      <w:pPr>
        <w:rPr>
          <w:rFonts w:ascii="黑体" w:eastAsia="黑体" w:hAnsi="黑体" w:cs="黑体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3"/>
        <w:gridCol w:w="916"/>
        <w:gridCol w:w="6843"/>
      </w:tblGrid>
      <w:tr w:rsidR="00365BBF" w:rsidRPr="00365BBF" w:rsidTr="00365BBF">
        <w:trPr>
          <w:trHeight w:val="698"/>
          <w:jc w:val="center"/>
        </w:trPr>
        <w:tc>
          <w:tcPr>
            <w:tcW w:w="1473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91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843" w:type="dxa"/>
          </w:tcPr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对苯二甲酸与1,4:3,6-二脱水山梨醇、1,4-二(羟甲基)环己烷和1,2-乙二醇的聚合物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473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843" w:type="dxa"/>
          </w:tcPr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Terephthalic acid, polymer with 1,4:3,6-</w:t>
            </w:r>
          </w:p>
          <w:p w:rsidR="00365BBF" w:rsidRPr="00365BBF" w:rsidRDefault="00365BBF" w:rsidP="00365BBF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dianhydro-D-glucitol, 1,4-cyclohexanedimethanol and 1,2-ethanediol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38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6843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1038843-64-9</w:t>
            </w:r>
          </w:p>
        </w:tc>
      </w:tr>
      <w:tr w:rsidR="00365BBF" w:rsidRPr="00365BBF" w:rsidTr="00365BBF">
        <w:trPr>
          <w:trHeight w:val="650"/>
          <w:jc w:val="center"/>
        </w:trPr>
        <w:tc>
          <w:tcPr>
            <w:tcW w:w="2389" w:type="dxa"/>
            <w:gridSpan w:val="2"/>
            <w:vAlign w:val="center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其他名称</w:t>
            </w:r>
          </w:p>
        </w:tc>
        <w:tc>
          <w:tcPr>
            <w:tcW w:w="6843" w:type="dxa"/>
          </w:tcPr>
          <w:p w:rsidR="00365BBF" w:rsidRPr="00365BBF" w:rsidRDefault="00365BBF" w:rsidP="00365BBF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PEICT</w:t>
            </w:r>
          </w:p>
        </w:tc>
      </w:tr>
      <w:tr w:rsidR="00365BBF" w:rsidRPr="00365BBF" w:rsidTr="00365BBF">
        <w:trPr>
          <w:trHeight w:val="565"/>
          <w:jc w:val="center"/>
        </w:trPr>
        <w:tc>
          <w:tcPr>
            <w:tcW w:w="238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通用类别名</w:t>
            </w:r>
          </w:p>
        </w:tc>
        <w:tc>
          <w:tcPr>
            <w:tcW w:w="6843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聚对苯二甲酸乙二醇酯（PET）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238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6843" w:type="dxa"/>
          </w:tcPr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30（1,2-乙二醇）；</w:t>
            </w:r>
          </w:p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7.5(1,4-苯二甲酸)；</w:t>
            </w:r>
          </w:p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5(异山梨醇)。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238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6843" w:type="dxa"/>
            <w:vAlign w:val="center"/>
          </w:tcPr>
          <w:p w:rsidR="00365BBF" w:rsidRPr="00365BBF" w:rsidRDefault="00365BBF" w:rsidP="00365B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2389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843" w:type="dxa"/>
          </w:tcPr>
          <w:p w:rsidR="00365BBF" w:rsidRPr="00365BBF" w:rsidRDefault="00365BBF" w:rsidP="00365BBF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所生产的材料及制品的最高使用温度为100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℃</w:t>
            </w:r>
            <w:r w:rsidRPr="00365BBF">
              <w:rPr>
                <w:rFonts w:ascii="仿宋_GB2312" w:eastAsia="仿宋_GB2312" w:hAnsi="仿宋" w:cs="SimSunOOEnc" w:hint="eastAsia"/>
                <w:kern w:val="0"/>
                <w:sz w:val="28"/>
                <w:szCs w:val="28"/>
              </w:rPr>
              <w:t>。</w:t>
            </w:r>
          </w:p>
          <w:p w:rsidR="00365BBF" w:rsidRPr="00365BBF" w:rsidRDefault="00365BBF" w:rsidP="00365BBF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不得用于生产</w:t>
            </w:r>
            <w:r w:rsidRPr="00365BBF">
              <w:rPr>
                <w:rFonts w:ascii="仿宋_GB2312" w:eastAsia="仿宋_GB2312" w:hAnsi="仿宋" w:cs="仿宋" w:hint="eastAsia"/>
                <w:sz w:val="28"/>
                <w:szCs w:val="24"/>
              </w:rPr>
              <w:t>婴幼儿专用食品接触材料及制品。</w:t>
            </w:r>
          </w:p>
        </w:tc>
      </w:tr>
    </w:tbl>
    <w:p w:rsidR="00365BBF" w:rsidRPr="00365BBF" w:rsidRDefault="00365BBF" w:rsidP="00365BBF">
      <w:pPr>
        <w:widowControl/>
        <w:spacing w:after="200" w:line="276" w:lineRule="auto"/>
        <w:jc w:val="left"/>
        <w:rPr>
          <w:rFonts w:ascii="仿宋_GB2312" w:eastAsia="仿宋_GB2312" w:hAnsi="Times New Roman"/>
          <w:szCs w:val="21"/>
        </w:rPr>
      </w:pPr>
      <w:r w:rsidRPr="00365BBF">
        <w:rPr>
          <w:rFonts w:ascii="仿宋_GB2312" w:eastAsia="仿宋_GB2312" w:hAnsi="Times New Roman" w:hint="eastAsia"/>
          <w:kern w:val="0"/>
          <w:szCs w:val="21"/>
        </w:rPr>
        <w:br w:type="page"/>
      </w:r>
    </w:p>
    <w:p w:rsidR="00365BBF" w:rsidRPr="00365BBF" w:rsidRDefault="00365BBF" w:rsidP="00365BBF">
      <w:pPr>
        <w:widowControl/>
        <w:jc w:val="left"/>
        <w:rPr>
          <w:rFonts w:ascii="Times New Roman" w:hAnsi="Times New Roman"/>
          <w:szCs w:val="21"/>
        </w:rPr>
      </w:pP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t>六、聚偏氟乙烯</w:t>
      </w:r>
    </w:p>
    <w:p w:rsidR="00365BBF" w:rsidRPr="00365BBF" w:rsidRDefault="00365BBF" w:rsidP="00365BBF">
      <w:pPr>
        <w:spacing w:line="276" w:lineRule="auto"/>
        <w:rPr>
          <w:rFonts w:ascii="黑体" w:eastAsia="黑体" w:cs="黑体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1307"/>
        <w:gridCol w:w="5512"/>
      </w:tblGrid>
      <w:tr w:rsidR="00365BBF" w:rsidRPr="00365BBF" w:rsidTr="00365BBF">
        <w:trPr>
          <w:trHeight w:val="698"/>
          <w:jc w:val="center"/>
        </w:trPr>
        <w:tc>
          <w:tcPr>
            <w:tcW w:w="1848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产品名称</w:t>
            </w:r>
          </w:p>
        </w:tc>
        <w:tc>
          <w:tcPr>
            <w:tcW w:w="1307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5512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聚偏氟乙烯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1848" w:type="dxa"/>
            <w:vMerge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5512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Po1yvinylidene fluoride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315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CAS号</w:t>
            </w:r>
          </w:p>
        </w:tc>
        <w:tc>
          <w:tcPr>
            <w:tcW w:w="5512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24937-79-9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15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其它名称</w:t>
            </w:r>
          </w:p>
        </w:tc>
        <w:tc>
          <w:tcPr>
            <w:tcW w:w="5512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10"/>
                <w:szCs w:val="10"/>
              </w:rPr>
            </w:pP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1,1-二氟乙烯均聚物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15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通用类别名</w:t>
            </w:r>
          </w:p>
        </w:tc>
        <w:tc>
          <w:tcPr>
            <w:tcW w:w="5512" w:type="dxa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10"/>
                <w:szCs w:val="10"/>
              </w:rPr>
            </w:pPr>
          </w:p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PVDF</w:t>
            </w:r>
          </w:p>
        </w:tc>
      </w:tr>
      <w:tr w:rsidR="00365BBF" w:rsidRPr="00365BBF" w:rsidTr="008C5BE5">
        <w:trPr>
          <w:trHeight w:val="1236"/>
          <w:jc w:val="center"/>
        </w:trPr>
        <w:tc>
          <w:tcPr>
            <w:tcW w:w="315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5512" w:type="dxa"/>
            <w:vAlign w:val="center"/>
          </w:tcPr>
          <w:p w:rsidR="00365BBF" w:rsidRPr="00365BBF" w:rsidRDefault="00365BBF" w:rsidP="008C5BE5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5（1,1-二氟乙烯）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315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5512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—</w:t>
            </w:r>
          </w:p>
        </w:tc>
      </w:tr>
      <w:tr w:rsidR="00365BBF" w:rsidRPr="00365BBF" w:rsidTr="008C5BE5">
        <w:trPr>
          <w:trHeight w:val="958"/>
          <w:jc w:val="center"/>
        </w:trPr>
        <w:tc>
          <w:tcPr>
            <w:tcW w:w="3155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512" w:type="dxa"/>
            <w:vAlign w:val="center"/>
          </w:tcPr>
          <w:p w:rsidR="00365BBF" w:rsidRPr="00365BBF" w:rsidRDefault="00365BBF" w:rsidP="008C5BE5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所生产的材料</w:t>
            </w:r>
            <w:bookmarkStart w:id="0" w:name="_GoBack"/>
            <w:bookmarkEnd w:id="0"/>
            <w:r w:rsidRPr="00365BBF">
              <w:rPr>
                <w:rFonts w:ascii="仿宋_GB2312" w:eastAsia="仿宋_GB2312" w:hAnsi="仿宋" w:cs="仿宋" w:hint="eastAsia"/>
                <w:sz w:val="28"/>
                <w:szCs w:val="28"/>
              </w:rPr>
              <w:t>及制品不得接触强碱性物质。</w:t>
            </w:r>
          </w:p>
        </w:tc>
      </w:tr>
    </w:tbl>
    <w:p w:rsidR="00365BBF" w:rsidRPr="00365BBF" w:rsidRDefault="00365BBF" w:rsidP="00365BBF">
      <w:pPr>
        <w:widowControl/>
        <w:rPr>
          <w:rFonts w:ascii="仿宋" w:eastAsia="仿宋" w:hAnsi="仿宋"/>
          <w:sz w:val="32"/>
          <w:szCs w:val="32"/>
        </w:rPr>
      </w:pPr>
    </w:p>
    <w:p w:rsidR="00365BBF" w:rsidRPr="00365BBF" w:rsidRDefault="00365BBF" w:rsidP="00365BBF">
      <w:pPr>
        <w:jc w:val="center"/>
        <w:rPr>
          <w:rFonts w:ascii="仿宋_GB2312" w:eastAsia="仿宋_GB2312" w:hAnsi="Times New Roman"/>
          <w:sz w:val="32"/>
          <w:szCs w:val="32"/>
        </w:rPr>
      </w:pPr>
    </w:p>
    <w:p w:rsidR="00365BBF" w:rsidRPr="00365BBF" w:rsidRDefault="00365BBF" w:rsidP="00365BBF">
      <w:pPr>
        <w:rPr>
          <w:rFonts w:ascii="Times New Roman" w:eastAsia="仿宋_GB2312" w:hAnsi="Times New Roman"/>
          <w:sz w:val="32"/>
          <w:szCs w:val="24"/>
        </w:rPr>
      </w:pPr>
    </w:p>
    <w:p w:rsidR="00365BBF" w:rsidRPr="00365BBF" w:rsidRDefault="00365BBF" w:rsidP="00365BBF">
      <w:pPr>
        <w:rPr>
          <w:rFonts w:ascii="Times New Roman" w:eastAsia="仿宋_GB2312" w:hAnsi="Times New Roman"/>
          <w:sz w:val="32"/>
          <w:szCs w:val="24"/>
        </w:rPr>
      </w:pPr>
    </w:p>
    <w:p w:rsidR="00365BBF" w:rsidRPr="00365BBF" w:rsidRDefault="00365BBF" w:rsidP="00365BBF">
      <w:pPr>
        <w:rPr>
          <w:rFonts w:ascii="Times New Roman" w:eastAsia="仿宋_GB2312" w:hAnsi="Times New Roman"/>
          <w:sz w:val="32"/>
          <w:szCs w:val="24"/>
        </w:rPr>
      </w:pPr>
    </w:p>
    <w:p w:rsidR="00365BBF" w:rsidRPr="00365BBF" w:rsidRDefault="00365BBF" w:rsidP="00365BBF">
      <w:pPr>
        <w:rPr>
          <w:rFonts w:ascii="Times New Roman" w:eastAsia="仿宋_GB2312" w:hAnsi="Times New Roman"/>
          <w:sz w:val="32"/>
          <w:szCs w:val="24"/>
        </w:rPr>
      </w:pPr>
    </w:p>
    <w:p w:rsidR="00365BBF" w:rsidRPr="0063628A" w:rsidRDefault="00365BBF" w:rsidP="0063628A">
      <w:pPr>
        <w:rPr>
          <w:rFonts w:ascii="Times New Roman" w:eastAsia="仿宋_GB2312" w:hAnsi="Times New Roman"/>
          <w:sz w:val="32"/>
          <w:szCs w:val="24"/>
        </w:rPr>
      </w:pPr>
    </w:p>
    <w:sectPr w:rsidR="00365BBF" w:rsidRPr="0063628A" w:rsidSect="00981B62">
      <w:headerReference w:type="default" r:id="rId7"/>
      <w:footerReference w:type="default" r:id="rId8"/>
      <w:pgSz w:w="11906" w:h="16838"/>
      <w:pgMar w:top="1440" w:right="1800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4CD" w:rsidRDefault="00B854CD" w:rsidP="00981B62">
      <w:r>
        <w:separator/>
      </w:r>
    </w:p>
  </w:endnote>
  <w:endnote w:type="continuationSeparator" w:id="1">
    <w:p w:rsidR="00B854CD" w:rsidRDefault="00B854CD" w:rsidP="00981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OOEnc">
    <w:altName w:val="宋体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BF" w:rsidRDefault="00981B62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10.65pt;height:12.8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" filled="f" stroked="f">
          <v:textbox style="mso-fit-shape-to-text:t" inset="0,0,0,0">
            <w:txbxContent>
              <w:p w:rsidR="00365BBF" w:rsidRDefault="00981B6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65BB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3628A" w:rsidRPr="0063628A">
                  <w:rPr>
                    <w:noProof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4CD" w:rsidRDefault="00B854CD" w:rsidP="00981B62">
      <w:r>
        <w:separator/>
      </w:r>
    </w:p>
  </w:footnote>
  <w:footnote w:type="continuationSeparator" w:id="1">
    <w:p w:rsidR="00B854CD" w:rsidRDefault="00B854CD" w:rsidP="00981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BF" w:rsidRDefault="00365BBF">
    <w:pPr>
      <w:pStyle w:val="a6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1E93"/>
    <w:multiLevelType w:val="multilevel"/>
    <w:tmpl w:val="16031E93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4" w:hanging="420"/>
      </w:pPr>
    </w:lvl>
    <w:lvl w:ilvl="2">
      <w:start w:val="1"/>
      <w:numFmt w:val="lowerRoman"/>
      <w:lvlText w:val="%3."/>
      <w:lvlJc w:val="right"/>
      <w:pPr>
        <w:ind w:left="1294" w:hanging="420"/>
      </w:pPr>
    </w:lvl>
    <w:lvl w:ilvl="3">
      <w:start w:val="1"/>
      <w:numFmt w:val="decimal"/>
      <w:lvlText w:val="%4."/>
      <w:lvlJc w:val="left"/>
      <w:pPr>
        <w:ind w:left="1714" w:hanging="420"/>
      </w:pPr>
    </w:lvl>
    <w:lvl w:ilvl="4">
      <w:start w:val="1"/>
      <w:numFmt w:val="lowerLetter"/>
      <w:lvlText w:val="%5)"/>
      <w:lvlJc w:val="left"/>
      <w:pPr>
        <w:ind w:left="2134" w:hanging="420"/>
      </w:pPr>
    </w:lvl>
    <w:lvl w:ilvl="5">
      <w:start w:val="1"/>
      <w:numFmt w:val="lowerRoman"/>
      <w:lvlText w:val="%6."/>
      <w:lvlJc w:val="right"/>
      <w:pPr>
        <w:ind w:left="2554" w:hanging="420"/>
      </w:pPr>
    </w:lvl>
    <w:lvl w:ilvl="6">
      <w:start w:val="1"/>
      <w:numFmt w:val="decimal"/>
      <w:lvlText w:val="%7."/>
      <w:lvlJc w:val="left"/>
      <w:pPr>
        <w:ind w:left="2974" w:hanging="420"/>
      </w:pPr>
    </w:lvl>
    <w:lvl w:ilvl="7">
      <w:start w:val="1"/>
      <w:numFmt w:val="lowerLetter"/>
      <w:lvlText w:val="%8)"/>
      <w:lvlJc w:val="left"/>
      <w:pPr>
        <w:ind w:left="3394" w:hanging="420"/>
      </w:pPr>
    </w:lvl>
    <w:lvl w:ilvl="8">
      <w:start w:val="1"/>
      <w:numFmt w:val="lowerRoman"/>
      <w:lvlText w:val="%9."/>
      <w:lvlJc w:val="right"/>
      <w:pPr>
        <w:ind w:left="3814" w:hanging="420"/>
      </w:pPr>
    </w:lvl>
  </w:abstractNum>
  <w:abstractNum w:abstractNumId="1">
    <w:nsid w:val="1897110B"/>
    <w:multiLevelType w:val="multilevel"/>
    <w:tmpl w:val="189711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15392D"/>
    <w:multiLevelType w:val="multilevel"/>
    <w:tmpl w:val="4A1539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C5146C"/>
    <w:multiLevelType w:val="multilevel"/>
    <w:tmpl w:val="68C51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4EB"/>
    <w:rsid w:val="00365BBF"/>
    <w:rsid w:val="0063628A"/>
    <w:rsid w:val="008C5BE5"/>
    <w:rsid w:val="00981B62"/>
    <w:rsid w:val="00B854CD"/>
    <w:rsid w:val="00C814EB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65BBF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814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C814E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65BBF"/>
    <w:rPr>
      <w:rFonts w:ascii="Times New Roman" w:eastAsia="黑体" w:hAnsi="Times New Roman"/>
      <w:b/>
      <w:bCs/>
      <w:kern w:val="44"/>
      <w:sz w:val="32"/>
      <w:szCs w:val="44"/>
      <w:lang/>
    </w:rPr>
  </w:style>
  <w:style w:type="numbering" w:customStyle="1" w:styleId="10">
    <w:name w:val="无列表1"/>
    <w:next w:val="a2"/>
    <w:uiPriority w:val="99"/>
    <w:semiHidden/>
    <w:unhideWhenUsed/>
    <w:rsid w:val="00365BBF"/>
  </w:style>
  <w:style w:type="character" w:customStyle="1" w:styleId="Char0">
    <w:name w:val="副标题 Char"/>
    <w:link w:val="a4"/>
    <w:rsid w:val="00365BBF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rsid w:val="00365BBF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rsid w:val="00365BBF"/>
    <w:rPr>
      <w:kern w:val="2"/>
      <w:sz w:val="18"/>
      <w:szCs w:val="18"/>
    </w:rPr>
  </w:style>
  <w:style w:type="paragraph" w:customStyle="1" w:styleId="11">
    <w:name w:val="样式1"/>
    <w:basedOn w:val="a"/>
    <w:rsid w:val="00365BBF"/>
    <w:rPr>
      <w:rFonts w:ascii="仿宋_GB2312" w:eastAsia="仿宋_GB2312" w:hAnsi="Times New Roman"/>
      <w:sz w:val="28"/>
      <w:szCs w:val="24"/>
    </w:rPr>
  </w:style>
  <w:style w:type="paragraph" w:styleId="a6">
    <w:name w:val="header"/>
    <w:basedOn w:val="a"/>
    <w:link w:val="Char2"/>
    <w:uiPriority w:val="99"/>
    <w:rsid w:val="0036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365BB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36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365BBF"/>
    <w:rPr>
      <w:kern w:val="2"/>
      <w:sz w:val="18"/>
      <w:szCs w:val="18"/>
    </w:rPr>
  </w:style>
  <w:style w:type="paragraph" w:styleId="a4">
    <w:name w:val="Subtitle"/>
    <w:basedOn w:val="a"/>
    <w:next w:val="a"/>
    <w:link w:val="Char0"/>
    <w:qFormat/>
    <w:rsid w:val="00365BBF"/>
    <w:pPr>
      <w:spacing w:before="240" w:after="60"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2">
    <w:name w:val="副标题 Char1"/>
    <w:basedOn w:val="a0"/>
    <w:uiPriority w:val="11"/>
    <w:rsid w:val="00365BBF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正文文本缩进 Char"/>
    <w:link w:val="a7"/>
    <w:uiPriority w:val="99"/>
    <w:rsid w:val="00365BBF"/>
    <w:rPr>
      <w:rFonts w:ascii="仿宋_GB2312" w:eastAsia="仿宋_GB2312" w:cs="仿宋_GB2312"/>
      <w:kern w:val="2"/>
      <w:sz w:val="28"/>
      <w:szCs w:val="28"/>
    </w:rPr>
  </w:style>
  <w:style w:type="character" w:customStyle="1" w:styleId="Char4">
    <w:name w:val="日期 Char"/>
    <w:link w:val="a8"/>
    <w:uiPriority w:val="99"/>
    <w:rsid w:val="00365BBF"/>
    <w:rPr>
      <w:kern w:val="2"/>
      <w:sz w:val="21"/>
      <w:szCs w:val="21"/>
    </w:rPr>
  </w:style>
  <w:style w:type="character" w:styleId="a9">
    <w:name w:val="Hyperlink"/>
    <w:uiPriority w:val="99"/>
    <w:rsid w:val="00365BBF"/>
    <w:rPr>
      <w:color w:val="0000FF"/>
      <w:u w:val="single"/>
    </w:rPr>
  </w:style>
  <w:style w:type="character" w:customStyle="1" w:styleId="12">
    <w:name w:val="访问过的超链接1"/>
    <w:uiPriority w:val="99"/>
    <w:unhideWhenUsed/>
    <w:rsid w:val="00365BBF"/>
    <w:rPr>
      <w:color w:val="800080"/>
      <w:u w:val="single"/>
    </w:rPr>
  </w:style>
  <w:style w:type="character" w:customStyle="1" w:styleId="13">
    <w:name w:val="占位符文本1"/>
    <w:uiPriority w:val="99"/>
    <w:semiHidden/>
    <w:rsid w:val="00365BBF"/>
    <w:rPr>
      <w:color w:val="808080"/>
    </w:rPr>
  </w:style>
  <w:style w:type="character" w:customStyle="1" w:styleId="st">
    <w:name w:val="st"/>
    <w:uiPriority w:val="99"/>
    <w:rsid w:val="00365BBF"/>
  </w:style>
  <w:style w:type="paragraph" w:styleId="a7">
    <w:name w:val="Body Text Indent"/>
    <w:basedOn w:val="a"/>
    <w:link w:val="Char3"/>
    <w:uiPriority w:val="99"/>
    <w:rsid w:val="00365BBF"/>
    <w:pPr>
      <w:ind w:firstLineChars="192" w:firstLine="538"/>
    </w:pPr>
    <w:rPr>
      <w:rFonts w:ascii="仿宋_GB2312" w:eastAsia="仿宋_GB2312" w:cs="仿宋_GB2312"/>
      <w:sz w:val="28"/>
      <w:szCs w:val="28"/>
    </w:rPr>
  </w:style>
  <w:style w:type="character" w:customStyle="1" w:styleId="Char13">
    <w:name w:val="正文文本缩进 Char1"/>
    <w:basedOn w:val="a0"/>
    <w:uiPriority w:val="99"/>
    <w:rsid w:val="00365BBF"/>
    <w:rPr>
      <w:kern w:val="2"/>
      <w:sz w:val="21"/>
      <w:szCs w:val="22"/>
    </w:rPr>
  </w:style>
  <w:style w:type="character" w:customStyle="1" w:styleId="Char14">
    <w:name w:val="批注框文本 Char1"/>
    <w:uiPriority w:val="99"/>
    <w:rsid w:val="00365BBF"/>
    <w:rPr>
      <w:rFonts w:eastAsia="仿宋_GB2312"/>
      <w:kern w:val="2"/>
      <w:sz w:val="18"/>
      <w:szCs w:val="18"/>
    </w:rPr>
  </w:style>
  <w:style w:type="paragraph" w:styleId="a8">
    <w:name w:val="Date"/>
    <w:basedOn w:val="a"/>
    <w:next w:val="a"/>
    <w:link w:val="Char4"/>
    <w:uiPriority w:val="99"/>
    <w:rsid w:val="00365BBF"/>
    <w:pPr>
      <w:ind w:leftChars="2500" w:left="100"/>
    </w:pPr>
    <w:rPr>
      <w:szCs w:val="21"/>
    </w:rPr>
  </w:style>
  <w:style w:type="character" w:customStyle="1" w:styleId="Char15">
    <w:name w:val="日期 Char1"/>
    <w:basedOn w:val="a0"/>
    <w:uiPriority w:val="99"/>
    <w:rsid w:val="00365BBF"/>
    <w:rPr>
      <w:kern w:val="2"/>
      <w:sz w:val="21"/>
      <w:szCs w:val="22"/>
    </w:rPr>
  </w:style>
  <w:style w:type="paragraph" w:customStyle="1" w:styleId="14">
    <w:name w:val="列出段落1"/>
    <w:basedOn w:val="a"/>
    <w:uiPriority w:val="99"/>
    <w:qFormat/>
    <w:rsid w:val="00365BBF"/>
    <w:pPr>
      <w:ind w:firstLineChars="200" w:firstLine="420"/>
    </w:pPr>
    <w:rPr>
      <w:rFonts w:ascii="Times New Roman" w:hAnsi="Times New Roman"/>
      <w:szCs w:val="21"/>
    </w:rPr>
  </w:style>
  <w:style w:type="character" w:styleId="aa">
    <w:name w:val="FollowedHyperlink"/>
    <w:uiPriority w:val="99"/>
    <w:unhideWhenUsed/>
    <w:rsid w:val="00365B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65BBF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814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C814E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65BBF"/>
    <w:rPr>
      <w:rFonts w:ascii="Times New Roman" w:eastAsia="黑体" w:hAnsi="Times New Roman"/>
      <w:b/>
      <w:bCs/>
      <w:kern w:val="44"/>
      <w:sz w:val="32"/>
      <w:szCs w:val="44"/>
      <w:lang w:val="x-none" w:eastAsia="x-none"/>
    </w:rPr>
  </w:style>
  <w:style w:type="numbering" w:customStyle="1" w:styleId="10">
    <w:name w:val="无列表1"/>
    <w:next w:val="a2"/>
    <w:uiPriority w:val="99"/>
    <w:semiHidden/>
    <w:unhideWhenUsed/>
    <w:rsid w:val="00365BBF"/>
  </w:style>
  <w:style w:type="character" w:customStyle="1" w:styleId="Char0">
    <w:name w:val="副标题 Char"/>
    <w:link w:val="a4"/>
    <w:rsid w:val="00365BBF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rsid w:val="00365BBF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rsid w:val="00365BBF"/>
    <w:rPr>
      <w:kern w:val="2"/>
      <w:sz w:val="18"/>
      <w:szCs w:val="18"/>
    </w:rPr>
  </w:style>
  <w:style w:type="paragraph" w:customStyle="1" w:styleId="11">
    <w:name w:val="样式1"/>
    <w:basedOn w:val="a"/>
    <w:rsid w:val="00365BBF"/>
    <w:rPr>
      <w:rFonts w:ascii="仿宋_GB2312" w:eastAsia="仿宋_GB2312" w:hAnsi="Times New Roman"/>
      <w:sz w:val="28"/>
      <w:szCs w:val="24"/>
    </w:rPr>
  </w:style>
  <w:style w:type="paragraph" w:styleId="a6">
    <w:name w:val="header"/>
    <w:basedOn w:val="a"/>
    <w:link w:val="Char2"/>
    <w:uiPriority w:val="99"/>
    <w:rsid w:val="0036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365BB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36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365BBF"/>
    <w:rPr>
      <w:kern w:val="2"/>
      <w:sz w:val="18"/>
      <w:szCs w:val="18"/>
    </w:rPr>
  </w:style>
  <w:style w:type="paragraph" w:styleId="a4">
    <w:name w:val="Subtitle"/>
    <w:basedOn w:val="a"/>
    <w:next w:val="a"/>
    <w:link w:val="Char0"/>
    <w:qFormat/>
    <w:rsid w:val="00365BBF"/>
    <w:pPr>
      <w:spacing w:before="240" w:after="60"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2">
    <w:name w:val="副标题 Char1"/>
    <w:basedOn w:val="a0"/>
    <w:uiPriority w:val="11"/>
    <w:rsid w:val="00365BBF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正文文本缩进 Char"/>
    <w:link w:val="a7"/>
    <w:uiPriority w:val="99"/>
    <w:rsid w:val="00365BBF"/>
    <w:rPr>
      <w:rFonts w:ascii="仿宋_GB2312" w:eastAsia="仿宋_GB2312" w:cs="仿宋_GB2312"/>
      <w:kern w:val="2"/>
      <w:sz w:val="28"/>
      <w:szCs w:val="28"/>
    </w:rPr>
  </w:style>
  <w:style w:type="character" w:customStyle="1" w:styleId="Char4">
    <w:name w:val="日期 Char"/>
    <w:link w:val="a8"/>
    <w:uiPriority w:val="99"/>
    <w:rsid w:val="00365BBF"/>
    <w:rPr>
      <w:kern w:val="2"/>
      <w:sz w:val="21"/>
      <w:szCs w:val="21"/>
    </w:rPr>
  </w:style>
  <w:style w:type="character" w:styleId="a9">
    <w:name w:val="Hyperlink"/>
    <w:uiPriority w:val="99"/>
    <w:rsid w:val="00365BBF"/>
    <w:rPr>
      <w:color w:val="0000FF"/>
      <w:u w:val="single"/>
    </w:rPr>
  </w:style>
  <w:style w:type="character" w:customStyle="1" w:styleId="12">
    <w:name w:val="访问过的超链接1"/>
    <w:uiPriority w:val="99"/>
    <w:unhideWhenUsed/>
    <w:rsid w:val="00365BBF"/>
    <w:rPr>
      <w:color w:val="800080"/>
      <w:u w:val="single"/>
    </w:rPr>
  </w:style>
  <w:style w:type="character" w:customStyle="1" w:styleId="13">
    <w:name w:val="占位符文本1"/>
    <w:uiPriority w:val="99"/>
    <w:semiHidden/>
    <w:rsid w:val="00365BBF"/>
    <w:rPr>
      <w:color w:val="808080"/>
    </w:rPr>
  </w:style>
  <w:style w:type="character" w:customStyle="1" w:styleId="st">
    <w:name w:val="st"/>
    <w:uiPriority w:val="99"/>
    <w:rsid w:val="00365BBF"/>
  </w:style>
  <w:style w:type="paragraph" w:styleId="a7">
    <w:name w:val="Body Text Indent"/>
    <w:basedOn w:val="a"/>
    <w:link w:val="Char3"/>
    <w:uiPriority w:val="99"/>
    <w:rsid w:val="00365BBF"/>
    <w:pPr>
      <w:ind w:firstLineChars="192" w:firstLine="538"/>
    </w:pPr>
    <w:rPr>
      <w:rFonts w:ascii="仿宋_GB2312" w:eastAsia="仿宋_GB2312" w:cs="仿宋_GB2312"/>
      <w:sz w:val="28"/>
      <w:szCs w:val="28"/>
    </w:rPr>
  </w:style>
  <w:style w:type="character" w:customStyle="1" w:styleId="Char13">
    <w:name w:val="正文文本缩进 Char1"/>
    <w:basedOn w:val="a0"/>
    <w:uiPriority w:val="99"/>
    <w:rsid w:val="00365BBF"/>
    <w:rPr>
      <w:kern w:val="2"/>
      <w:sz w:val="21"/>
      <w:szCs w:val="22"/>
    </w:rPr>
  </w:style>
  <w:style w:type="character" w:customStyle="1" w:styleId="Char14">
    <w:name w:val="批注框文本 Char1"/>
    <w:uiPriority w:val="99"/>
    <w:rsid w:val="00365BBF"/>
    <w:rPr>
      <w:rFonts w:eastAsia="仿宋_GB2312"/>
      <w:kern w:val="2"/>
      <w:sz w:val="18"/>
      <w:szCs w:val="18"/>
    </w:rPr>
  </w:style>
  <w:style w:type="paragraph" w:styleId="a8">
    <w:name w:val="Date"/>
    <w:basedOn w:val="a"/>
    <w:next w:val="a"/>
    <w:link w:val="Char4"/>
    <w:uiPriority w:val="99"/>
    <w:rsid w:val="00365BBF"/>
    <w:pPr>
      <w:ind w:leftChars="2500" w:left="100"/>
    </w:pPr>
    <w:rPr>
      <w:szCs w:val="21"/>
    </w:rPr>
  </w:style>
  <w:style w:type="character" w:customStyle="1" w:styleId="Char15">
    <w:name w:val="日期 Char1"/>
    <w:basedOn w:val="a0"/>
    <w:uiPriority w:val="99"/>
    <w:rsid w:val="00365BBF"/>
    <w:rPr>
      <w:kern w:val="2"/>
      <w:sz w:val="21"/>
      <w:szCs w:val="22"/>
    </w:rPr>
  </w:style>
  <w:style w:type="paragraph" w:customStyle="1" w:styleId="14">
    <w:name w:val="列出段落1"/>
    <w:basedOn w:val="a"/>
    <w:uiPriority w:val="99"/>
    <w:qFormat/>
    <w:rsid w:val="00365BBF"/>
    <w:pPr>
      <w:ind w:firstLineChars="200" w:firstLine="420"/>
    </w:pPr>
    <w:rPr>
      <w:rFonts w:ascii="Times New Roman" w:hAnsi="Times New Roman"/>
      <w:szCs w:val="21"/>
    </w:rPr>
  </w:style>
  <w:style w:type="character" w:styleId="aa">
    <w:name w:val="FollowedHyperlink"/>
    <w:uiPriority w:val="99"/>
    <w:unhideWhenUsed/>
    <w:rsid w:val="00365BB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285</Words>
  <Characters>1630</Characters>
  <Application>Microsoft Office Word</Application>
  <DocSecurity>0</DocSecurity>
  <Lines>13</Lines>
  <Paragraphs>3</Paragraphs>
  <ScaleCrop>false</ScaleCrop>
  <Company>中华人民共和国卫生部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食品司,风险评估处,张睿明</dc:creator>
  <cp:keywords/>
  <dc:description/>
  <cp:lastModifiedBy>z</cp:lastModifiedBy>
  <cp:revision>2</cp:revision>
  <cp:lastPrinted>2016-04-27T01:09:00Z</cp:lastPrinted>
  <dcterms:created xsi:type="dcterms:W3CDTF">2016-04-27T01:00:00Z</dcterms:created>
  <dcterms:modified xsi:type="dcterms:W3CDTF">2016-04-29T03:37:00Z</dcterms:modified>
</cp:coreProperties>
</file>