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120"/>
        <w:jc w:val="both"/>
        <w:rPr>
          <w:rFonts w:ascii="Calibri" w:hAnsi="Calibri" w:cs="Calibri"/>
          <w:sz w:val="21"/>
          <w:szCs w:val="21"/>
        </w:rPr>
      </w:pPr>
      <w:bookmarkStart w:id="0" w:name="_GoBack"/>
      <w:bookmarkEnd w:id="0"/>
      <w:r>
        <w:rPr>
          <w:rFonts w:ascii="黑体" w:hAnsi="宋体" w:eastAsia="黑体" w:cs="黑体"/>
          <w:kern w:val="0"/>
          <w:sz w:val="32"/>
          <w:szCs w:val="32"/>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21"/>
          <w:szCs w:val="21"/>
        </w:rPr>
      </w:pPr>
      <w:r>
        <w:rPr>
          <w:rFonts w:hint="eastAsia" w:ascii="宋体" w:hAnsi="宋体" w:eastAsia="宋体" w:cs="宋体"/>
          <w:spacing w:val="-22"/>
          <w:kern w:val="0"/>
          <w:sz w:val="44"/>
          <w:szCs w:val="44"/>
          <w:lang w:val="en-US" w:eastAsia="zh-CN" w:bidi="ar"/>
        </w:rPr>
        <w:t>2020年全国法定传染病报告发病死亡统计表</w:t>
      </w:r>
    </w:p>
    <w:tbl>
      <w:tblPr>
        <w:tblStyle w:val="2"/>
        <w:tblW w:w="0" w:type="auto"/>
        <w:jc w:val="center"/>
        <w:shd w:val="clear" w:color="auto" w:fill="auto"/>
        <w:tblLayout w:type="autofit"/>
        <w:tblCellMar>
          <w:top w:w="15" w:type="dxa"/>
          <w:left w:w="15" w:type="dxa"/>
          <w:bottom w:w="15" w:type="dxa"/>
          <w:right w:w="15" w:type="dxa"/>
        </w:tblCellMar>
      </w:tblPr>
      <w:tblGrid>
        <w:gridCol w:w="2018"/>
        <w:gridCol w:w="1290"/>
        <w:gridCol w:w="1187"/>
        <w:gridCol w:w="697"/>
        <w:gridCol w:w="1673"/>
        <w:gridCol w:w="1657"/>
      </w:tblGrid>
      <w:tr>
        <w:tblPrEx>
          <w:shd w:val="clear" w:color="auto" w:fill="auto"/>
          <w:tblCellMar>
            <w:top w:w="15" w:type="dxa"/>
            <w:left w:w="15" w:type="dxa"/>
            <w:bottom w:w="15" w:type="dxa"/>
            <w:right w:w="15" w:type="dxa"/>
          </w:tblCellMar>
        </w:tblPrEx>
        <w:trPr>
          <w:trHeight w:val="473" w:hRule="atLeast"/>
          <w:jc w:val="center"/>
        </w:trPr>
        <w:tc>
          <w:tcPr>
            <w:tcW w:w="2307"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rPr>
            </w:pPr>
            <w:r>
              <w:rPr>
                <w:rFonts w:ascii="仿宋_GB2312" w:hAnsi="Calibri" w:eastAsia="仿宋_GB2312" w:cs="仿宋_GB2312"/>
                <w:b/>
                <w:kern w:val="0"/>
                <w:sz w:val="20"/>
                <w:szCs w:val="20"/>
                <w:lang w:val="en-US" w:eastAsia="zh-CN" w:bidi="ar"/>
              </w:rPr>
              <w:t>病名</w:t>
            </w:r>
          </w:p>
        </w:tc>
        <w:tc>
          <w:tcPr>
            <w:tcW w:w="1380"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rPr>
            </w:pPr>
            <w:r>
              <w:rPr>
                <w:rFonts w:hint="eastAsia" w:ascii="仿宋_GB2312" w:hAnsi="Calibri" w:eastAsia="仿宋_GB2312" w:cs="仿宋_GB2312"/>
                <w:b/>
                <w:kern w:val="0"/>
                <w:sz w:val="20"/>
                <w:szCs w:val="20"/>
                <w:lang w:val="en-US" w:eastAsia="zh-CN" w:bidi="ar"/>
              </w:rPr>
              <w:t>发病数（例）</w:t>
            </w:r>
          </w:p>
        </w:tc>
        <w:tc>
          <w:tcPr>
            <w:tcW w:w="1275"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rPr>
            </w:pPr>
            <w:r>
              <w:rPr>
                <w:rFonts w:hint="eastAsia" w:ascii="仿宋_GB2312" w:hAnsi="Calibri" w:eastAsia="仿宋_GB2312" w:cs="仿宋_GB2312"/>
                <w:b/>
                <w:kern w:val="0"/>
                <w:sz w:val="20"/>
                <w:szCs w:val="20"/>
                <w:lang w:val="en-US" w:eastAsia="zh-CN" w:bidi="ar"/>
              </w:rPr>
              <w:t>死亡数（人）</w:t>
            </w:r>
          </w:p>
        </w:tc>
        <w:tc>
          <w:tcPr>
            <w:tcW w:w="789" w:type="dxa"/>
            <w:tcBorders>
              <w:top w:val="single" w:color="auto" w:sz="8" w:space="0"/>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　</w:t>
            </w:r>
          </w:p>
        </w:tc>
        <w:tc>
          <w:tcPr>
            <w:tcW w:w="1831"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rPr>
            </w:pPr>
            <w:r>
              <w:rPr>
                <w:rFonts w:hint="eastAsia" w:ascii="仿宋_GB2312" w:hAnsi="Calibri" w:eastAsia="仿宋_GB2312" w:cs="仿宋_GB2312"/>
                <w:b/>
                <w:kern w:val="0"/>
                <w:sz w:val="20"/>
                <w:szCs w:val="20"/>
                <w:lang w:val="en-US" w:eastAsia="zh-CN" w:bidi="ar"/>
              </w:rPr>
              <w:t>发病率（/100 000）</w:t>
            </w:r>
          </w:p>
        </w:tc>
        <w:tc>
          <w:tcPr>
            <w:tcW w:w="1860"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rPr>
            </w:pPr>
            <w:r>
              <w:rPr>
                <w:rFonts w:hint="eastAsia" w:ascii="仿宋_GB2312" w:hAnsi="Calibri" w:eastAsia="仿宋_GB2312" w:cs="仿宋_GB2312"/>
                <w:b/>
                <w:kern w:val="0"/>
                <w:sz w:val="20"/>
                <w:szCs w:val="20"/>
                <w:lang w:val="en-US" w:eastAsia="zh-CN" w:bidi="ar"/>
              </w:rPr>
              <w:t>死亡率(/100 000)</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b/>
                <w:kern w:val="0"/>
                <w:sz w:val="20"/>
                <w:szCs w:val="20"/>
                <w:lang w:val="en-US" w:eastAsia="zh-CN" w:bidi="ar"/>
              </w:rPr>
              <w:t>甲乙丙类总计</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5806728</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26374</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413.6308</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1.8787</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b/>
                <w:kern w:val="0"/>
                <w:sz w:val="20"/>
                <w:szCs w:val="20"/>
                <w:lang w:val="en-US" w:eastAsia="zh-CN" w:bidi="ar"/>
              </w:rPr>
              <w:t>甲乙类传染病合计</w:t>
            </w:r>
          </w:p>
        </w:tc>
        <w:tc>
          <w:tcPr>
            <w:tcW w:w="1380"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2673228</w:t>
            </w:r>
          </w:p>
        </w:tc>
        <w:tc>
          <w:tcPr>
            <w:tcW w:w="1275"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26289</w:t>
            </w:r>
          </w:p>
        </w:tc>
        <w:tc>
          <w:tcPr>
            <w:tcW w:w="789"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190.4221</w:t>
            </w:r>
          </w:p>
        </w:tc>
        <w:tc>
          <w:tcPr>
            <w:tcW w:w="1860"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1.8726</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鼠疫</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4</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3</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0.0003</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0.0002</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霍乱</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11</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0.0008</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传染性非典型肺炎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艾滋病</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62167</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18819</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4.4283</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1.3405</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病毒性肝炎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1138781</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588</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81.1188</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0.0419</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    甲型肝炎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14815</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3</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1.0553</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0.0002</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    乙型肝炎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902476</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464</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64.2861</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0.0331</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    丙型肝炎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194066</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106</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13.8239</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0.0076</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00"/>
              <w:jc w:val="both"/>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丁型肝炎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187</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0.0133</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    戊型肝炎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19034</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12</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1.3558</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0.0009</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    未分型肝炎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8203</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3</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0.5843</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0.0002</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脊髓灰质炎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人感染高致病性禽流感</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麻疹</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856</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0.061</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流行性出血热</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8121</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48</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0.5785</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0.0034</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狂犬病</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202</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188</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0.0144</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0.0134</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流行性乙型脑炎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288</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9</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0.0205</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0.0006</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登革热</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778</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0.0554</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炭疽</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224</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0.016</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细菌性和阿米巴性痢疾</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57820</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4.1187</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0.0001</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肺结核</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670538</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1919</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47.7644</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0.1367</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伤寒和副伤寒</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7011</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5</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0.4994</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0.0004</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流行性脑脊髓膜炎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50</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3</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0.0036</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0.0002</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百日咳</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4475</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0.3188</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0.0001</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白喉</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0.0001</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新生儿破伤风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34</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0.0023</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0.0001</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猩红热</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16564</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1.1799</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0.0001</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布鲁氏菌病</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47245</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3.3654</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淋病</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105160</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7.4909</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梅毒</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464435</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54</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33.0831</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0.0038</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钩端螺旋体病</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297</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8</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0.0212</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0.0006</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血吸虫病</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43</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0.0031</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疟疾</w:t>
            </w:r>
            <w:r>
              <w:rPr>
                <w:rFonts w:hint="eastAsia" w:ascii="仿宋_GB2312" w:hAnsi="Calibri" w:eastAsia="仿宋_GB2312" w:cs="仿宋_GB2312"/>
                <w:kern w:val="0"/>
                <w:sz w:val="20"/>
                <w:szCs w:val="20"/>
                <w:vertAlign w:val="superscript"/>
                <w:lang w:val="en-US" w:eastAsia="zh-CN" w:bidi="ar"/>
              </w:rPr>
              <w:t>*</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1051</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6</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0.0729</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0.0004</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人感染H7N9禽流感</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新型冠状病毒肺炎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87071</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4634</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6.2023</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0.3301</w:t>
            </w:r>
          </w:p>
        </w:tc>
      </w:tr>
      <w:tr>
        <w:tblPrEx>
          <w:tblCellMar>
            <w:top w:w="15" w:type="dxa"/>
            <w:left w:w="15" w:type="dxa"/>
            <w:bottom w:w="15" w:type="dxa"/>
            <w:right w:w="15" w:type="dxa"/>
          </w:tblCellMar>
        </w:tblPrEx>
        <w:trPr>
          <w:trHeight w:val="373" w:hRule="atLeast"/>
          <w:jc w:val="center"/>
        </w:trPr>
        <w:tc>
          <w:tcPr>
            <w:tcW w:w="2307"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b/>
                <w:kern w:val="0"/>
                <w:sz w:val="20"/>
                <w:szCs w:val="20"/>
                <w:lang w:val="en-US" w:eastAsia="zh-CN" w:bidi="ar"/>
              </w:rPr>
              <w:t>丙类传染病合计</w:t>
            </w:r>
          </w:p>
        </w:tc>
        <w:tc>
          <w:tcPr>
            <w:tcW w:w="1380"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3133500</w:t>
            </w:r>
          </w:p>
        </w:tc>
        <w:tc>
          <w:tcPr>
            <w:tcW w:w="1275"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85</w:t>
            </w:r>
          </w:p>
        </w:tc>
        <w:tc>
          <w:tcPr>
            <w:tcW w:w="789"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223.2087</w:t>
            </w:r>
          </w:p>
        </w:tc>
        <w:tc>
          <w:tcPr>
            <w:tcW w:w="1860"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0.0061</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流行性感冒</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1145278</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70</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81.5816</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0.005</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流行性腮腺炎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129120</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9.1976</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0.0001</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风疹</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2201</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0.1568</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急性出血性结膜炎</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28471</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2.0281</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麻风病</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200</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0.0142</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斑疹伤寒</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1069</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0.0761</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黑热病</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202</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0.0144</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0.0001</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包虫病</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3327</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0.237</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0.0001</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丝虫病</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其他感染性腹泻病</w:t>
            </w:r>
          </w:p>
        </w:tc>
        <w:tc>
          <w:tcPr>
            <w:tcW w:w="138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1062277</w:t>
            </w:r>
          </w:p>
        </w:tc>
        <w:tc>
          <w:tcPr>
            <w:tcW w:w="1275"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9</w:t>
            </w:r>
          </w:p>
        </w:tc>
        <w:tc>
          <w:tcPr>
            <w:tcW w:w="789"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75.6692</w:t>
            </w:r>
          </w:p>
        </w:tc>
        <w:tc>
          <w:tcPr>
            <w:tcW w:w="1860" w:type="dxa"/>
            <w:tcBorders>
              <w:top w:val="nil"/>
              <w:left w:val="nil"/>
              <w:bottom w:val="nil"/>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0.0006</w:t>
            </w:r>
          </w:p>
        </w:tc>
      </w:tr>
      <w:tr>
        <w:tblPrEx>
          <w:tblCellMar>
            <w:top w:w="15" w:type="dxa"/>
            <w:left w:w="15" w:type="dxa"/>
            <w:bottom w:w="15" w:type="dxa"/>
            <w:right w:w="15" w:type="dxa"/>
          </w:tblCellMar>
        </w:tblPrEx>
        <w:trPr>
          <w:trHeight w:val="373" w:hRule="atLeast"/>
          <w:jc w:val="center"/>
        </w:trPr>
        <w:tc>
          <w:tcPr>
            <w:tcW w:w="2307"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手足口病</w:t>
            </w:r>
          </w:p>
        </w:tc>
        <w:tc>
          <w:tcPr>
            <w:tcW w:w="1380" w:type="dxa"/>
            <w:tcBorders>
              <w:top w:val="nil"/>
              <w:left w:val="nil"/>
              <w:bottom w:val="single" w:color="auto"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761355</w:t>
            </w:r>
          </w:p>
        </w:tc>
        <w:tc>
          <w:tcPr>
            <w:tcW w:w="1275" w:type="dxa"/>
            <w:tcBorders>
              <w:top w:val="nil"/>
              <w:left w:val="nil"/>
              <w:bottom w:val="single" w:color="auto"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3</w:t>
            </w:r>
          </w:p>
        </w:tc>
        <w:tc>
          <w:tcPr>
            <w:tcW w:w="789"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　</w:t>
            </w:r>
          </w:p>
        </w:tc>
        <w:tc>
          <w:tcPr>
            <w:tcW w:w="1831" w:type="dxa"/>
            <w:tcBorders>
              <w:top w:val="nil"/>
              <w:left w:val="nil"/>
              <w:bottom w:val="single" w:color="auto"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54.2336</w:t>
            </w:r>
          </w:p>
        </w:tc>
        <w:tc>
          <w:tcPr>
            <w:tcW w:w="1860" w:type="dxa"/>
            <w:tcBorders>
              <w:top w:val="nil"/>
              <w:left w:val="nil"/>
              <w:bottom w:val="single" w:color="auto" w:sz="8" w:space="0"/>
              <w:right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right"/>
              <w:rPr>
                <w:rFonts w:hint="default" w:ascii="Calibri" w:hAnsi="Calibri" w:cs="Calibri"/>
                <w:sz w:val="21"/>
                <w:szCs w:val="21"/>
              </w:rPr>
            </w:pPr>
            <w:r>
              <w:rPr>
                <w:rFonts w:hint="eastAsia" w:ascii="仿宋_GB2312" w:hAnsi="Calibri" w:eastAsia="仿宋_GB2312" w:cs="仿宋_GB2312"/>
                <w:kern w:val="0"/>
                <w:sz w:val="20"/>
                <w:szCs w:val="20"/>
                <w:lang w:val="en-US" w:eastAsia="zh-CN" w:bidi="ar"/>
              </w:rPr>
              <w:t>0.0002</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946" w:right="0" w:hanging="660"/>
        <w:jc w:val="left"/>
        <w:rPr>
          <w:rFonts w:hint="default" w:ascii="Calibri" w:hAnsi="Calibri" w:cs="Calibri"/>
          <w:sz w:val="21"/>
          <w:szCs w:val="21"/>
        </w:rPr>
      </w:pPr>
      <w:r>
        <w:rPr>
          <w:rFonts w:ascii="仿宋" w:hAnsi="仿宋" w:eastAsia="仿宋" w:cs="仿宋"/>
          <w:kern w:val="0"/>
          <w:sz w:val="22"/>
          <w:szCs w:val="22"/>
          <w:lang w:val="en-US" w:eastAsia="zh-CN" w:bidi="ar"/>
        </w:rPr>
        <w:t>注：</w:t>
      </w:r>
      <w:r>
        <w:rPr>
          <w:rFonts w:hint="eastAsia" w:ascii="仿宋" w:hAnsi="仿宋" w:eastAsia="仿宋" w:cs="仿宋"/>
          <w:kern w:val="0"/>
          <w:sz w:val="22"/>
          <w:szCs w:val="22"/>
          <w:lang w:val="en-US" w:eastAsia="zh-CN" w:bidi="ar"/>
        </w:rPr>
        <w:t>1.表中数据为本年度报告病例按发病日期统计的临床诊断病例和实验室确诊病例（不含外籍和台港澳）。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946" w:right="0" w:hanging="660"/>
        <w:jc w:val="left"/>
        <w:rPr>
          <w:rFonts w:hint="default" w:ascii="Calibri" w:hAnsi="Calibri" w:cs="Calibri"/>
          <w:sz w:val="21"/>
          <w:szCs w:val="21"/>
        </w:rPr>
      </w:pPr>
      <w:r>
        <w:rPr>
          <w:rFonts w:hint="eastAsia" w:ascii="仿宋" w:hAnsi="仿宋" w:eastAsia="仿宋" w:cs="仿宋"/>
          <w:kern w:val="0"/>
          <w:sz w:val="22"/>
          <w:szCs w:val="22"/>
          <w:lang w:val="en-US" w:eastAsia="zh-CN" w:bidi="ar"/>
        </w:rPr>
        <w:t>      2.新冠肺炎数据为本年度报告病例按报告日期统计的临床诊断病例和实验室确诊病例（含外籍及台港澳输入病例）。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783" w:right="0"/>
        <w:jc w:val="left"/>
        <w:rPr>
          <w:rFonts w:hint="default" w:ascii="Calibri" w:hAnsi="Calibri" w:cs="Calibri"/>
          <w:sz w:val="21"/>
          <w:szCs w:val="21"/>
        </w:rPr>
      </w:pPr>
      <w:r>
        <w:rPr>
          <w:rFonts w:hint="eastAsia" w:ascii="仿宋" w:hAnsi="仿宋" w:eastAsia="仿宋" w:cs="仿宋"/>
          <w:kern w:val="0"/>
          <w:sz w:val="22"/>
          <w:szCs w:val="22"/>
          <w:lang w:val="en-US" w:eastAsia="zh-CN" w:bidi="ar"/>
        </w:rPr>
        <w:t>3.病毒性肝炎报告发病、死亡数为甲型肝炎、乙型肝炎、丙型肝炎、丁型肝炎、戊型肝炎和未分型肝炎的合计数。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783" w:right="0"/>
        <w:jc w:val="left"/>
        <w:rPr>
          <w:rFonts w:hint="default" w:ascii="Calibri" w:hAnsi="Calibri" w:cs="Calibri"/>
          <w:sz w:val="21"/>
          <w:szCs w:val="21"/>
        </w:rPr>
      </w:pPr>
      <w:r>
        <w:rPr>
          <w:rFonts w:hint="eastAsia" w:ascii="仿宋" w:hAnsi="仿宋" w:eastAsia="仿宋" w:cs="仿宋"/>
          <w:kern w:val="0"/>
          <w:sz w:val="22"/>
          <w:szCs w:val="22"/>
          <w:lang w:val="en-US" w:eastAsia="zh-CN" w:bidi="ar"/>
        </w:rPr>
        <w:t>4.疟疾数据为按照终审日期以及按照报告地区统计的中国籍病例。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70"/>
        <w:jc w:val="left"/>
        <w:rPr>
          <w:rFonts w:hint="default" w:ascii="Calibri" w:hAnsi="Calibri" w:cs="Calibri"/>
          <w:sz w:val="21"/>
          <w:szCs w:val="21"/>
        </w:rPr>
      </w:pPr>
      <w:r>
        <w:rPr>
          <w:rFonts w:hint="eastAsia" w:ascii="仿宋" w:hAnsi="仿宋" w:eastAsia="仿宋" w:cs="仿宋"/>
          <w:kern w:val="0"/>
          <w:sz w:val="22"/>
          <w:szCs w:val="22"/>
          <w:lang w:val="en-US" w:eastAsia="zh-CN" w:bidi="ar"/>
        </w:rPr>
        <w:t>5.新生儿破伤风的报告发病率和报告死亡率单位是 /1 000。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70"/>
        <w:jc w:val="left"/>
        <w:rPr>
          <w:rFonts w:hint="default" w:ascii="Calibri" w:hAnsi="Calibri" w:cs="Calibri"/>
          <w:sz w:val="21"/>
          <w:szCs w:val="21"/>
        </w:rPr>
      </w:pPr>
      <w:r>
        <w:rPr>
          <w:rFonts w:hint="eastAsia" w:ascii="仿宋" w:hAnsi="仿宋" w:eastAsia="仿宋" w:cs="仿宋"/>
          <w:kern w:val="0"/>
          <w:sz w:val="22"/>
          <w:szCs w:val="22"/>
          <w:lang w:val="en-US" w:eastAsia="zh-CN" w:bidi="ar"/>
        </w:rPr>
        <w:t>6.人口资料采用2020年国家统计局公布的2019年末全国常住人口资料。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2189E"/>
    <w:rsid w:val="17273E45"/>
    <w:rsid w:val="4C4325B6"/>
    <w:rsid w:val="74421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2021-03-12T09:01:00Z</dcterms:created>
  <dc:creator>杨帆</dc:creator>
  <cp:lastModifiedBy>杨帆</cp:lastModifiedBy>
  <dcterms:modified xsi:type="dcterms:W3CDTF">2021-03-12T09:02:43Z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