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580" w:lineRule="exact"/>
        <w:rPr>
          <w:rFonts w:hint="eastAsia" w:ascii="黑体" w:hAnsi="黑体" w:eastAsia="黑体"/>
          <w:sz w:val="32"/>
        </w:rPr>
      </w:pPr>
      <w:bookmarkStart w:id="0" w:name="_GoBack"/>
      <w:bookmarkEnd w:id="0"/>
      <w:r>
        <w:rPr>
          <w:rFonts w:hint="eastAsia" w:ascii="黑体" w:hAnsi="黑体" w:eastAsia="黑体"/>
          <w:sz w:val="32"/>
        </w:rPr>
        <w:t>附件2</w:t>
      </w:r>
    </w:p>
    <w:p>
      <w:pPr>
        <w:widowControl/>
        <w:spacing w:beforeLines="0" w:afterLines="0"/>
        <w:jc w:val="left"/>
        <w:outlineLvl w:val="0"/>
        <w:rPr>
          <w:rFonts w:hint="eastAsia" w:ascii="宋体" w:hAnsi="宋体" w:eastAsia="宋体"/>
          <w:b/>
          <w:color w:val="auto"/>
          <w:sz w:val="44"/>
        </w:rPr>
      </w:pPr>
    </w:p>
    <w:p>
      <w:pPr>
        <w:widowControl/>
        <w:spacing w:beforeLines="0" w:afterLines="0"/>
        <w:jc w:val="center"/>
        <w:outlineLvl w:val="0"/>
        <w:rPr>
          <w:rFonts w:hint="eastAsia" w:ascii="宋体" w:hAnsi="宋体" w:eastAsia="宋体"/>
          <w:b/>
          <w:color w:val="auto"/>
          <w:sz w:val="44"/>
        </w:rPr>
      </w:pPr>
      <w:r>
        <w:rPr>
          <w:rFonts w:hint="eastAsia" w:ascii="宋体" w:hAnsi="宋体" w:eastAsia="宋体"/>
          <w:b/>
          <w:color w:val="auto"/>
          <w:sz w:val="44"/>
        </w:rPr>
        <w:t>2021年职业卫生国家随机监督抽查计划</w:t>
      </w:r>
    </w:p>
    <w:p>
      <w:pPr>
        <w:widowControl/>
        <w:spacing w:beforeLines="0" w:afterLines="0"/>
        <w:jc w:val="center"/>
        <w:rPr>
          <w:rFonts w:hint="eastAsia" w:ascii="宋体" w:hAnsi="宋体" w:eastAsia="宋体"/>
          <w:b/>
          <w:color w:val="auto"/>
          <w:sz w:val="32"/>
        </w:rPr>
      </w:pPr>
    </w:p>
    <w:p>
      <w:pPr>
        <w:widowControl/>
        <w:spacing w:beforeLines="0" w:afterLines="0" w:line="560" w:lineRule="exact"/>
        <w:ind w:firstLine="602"/>
        <w:jc w:val="left"/>
        <w:outlineLvl w:val="0"/>
        <w:rPr>
          <w:rFonts w:hint="eastAsia" w:ascii="黑体" w:hAnsi="黑体" w:eastAsia="黑体"/>
          <w:color w:val="auto"/>
          <w:sz w:val="32"/>
        </w:rPr>
      </w:pPr>
      <w:r>
        <w:rPr>
          <w:rFonts w:hint="eastAsia" w:ascii="黑体" w:hAnsi="黑体" w:eastAsia="黑体"/>
          <w:color w:val="auto"/>
          <w:sz w:val="32"/>
        </w:rPr>
        <w:t>一、检查内容</w:t>
      </w:r>
    </w:p>
    <w:p>
      <w:pPr>
        <w:widowControl/>
        <w:spacing w:beforeLines="0" w:afterLines="0" w:line="560" w:lineRule="exact"/>
        <w:ind w:firstLine="560"/>
        <w:rPr>
          <w:rFonts w:hint="eastAsia" w:ascii="仿宋_GB2312" w:hAnsi="宋体"/>
          <w:color w:val="auto"/>
          <w:kern w:val="0"/>
          <w:sz w:val="32"/>
        </w:rPr>
      </w:pPr>
      <w:r>
        <w:rPr>
          <w:rFonts w:hint="eastAsia" w:ascii="仿宋_GB2312" w:hAnsi="宋体"/>
          <w:color w:val="auto"/>
          <w:kern w:val="0"/>
          <w:sz w:val="32"/>
        </w:rPr>
        <w:t>（一）用人单位职业卫生国家随机监督抽查。包括煤矿和非煤矿山的专项检查和其他用人单位监督抽查。主要检查用人单位的职业病防治管理组织和措施建立情况，职业卫生培训情况，建设项目职业病防护设施“三同时”开展情况，职业病危害项目申报情况，工作场所职业病危害因素日常监测和定期检测、评价开展情况，职业病危害告知和警示标识设置情况，职业病防护设施、应急救援设施和个人使用的职业病防护用品配备、使用、管理情况，劳动者职业健康监护情况，职业病病人、疑似职业病病人处置情况。</w:t>
      </w:r>
    </w:p>
    <w:p>
      <w:pPr>
        <w:widowControl/>
        <w:spacing w:beforeLines="0" w:afterLines="0" w:line="560" w:lineRule="exact"/>
        <w:ind w:firstLine="560"/>
        <w:rPr>
          <w:rFonts w:hint="eastAsia" w:ascii="仿宋_GB2312" w:hAnsi="宋体"/>
          <w:color w:val="auto"/>
          <w:kern w:val="0"/>
          <w:sz w:val="32"/>
        </w:rPr>
      </w:pPr>
      <w:r>
        <w:rPr>
          <w:rFonts w:hint="eastAsia" w:ascii="仿宋_GB2312" w:hAnsi="宋体"/>
          <w:color w:val="auto"/>
          <w:kern w:val="0"/>
          <w:sz w:val="32"/>
        </w:rPr>
        <w:t>（二）职业卫生技术服务机构国家随机监督抽查。主要检查职业卫生技术服务机构资质条件符合情况</w:t>
      </w:r>
      <w:r>
        <w:rPr>
          <w:rFonts w:hint="eastAsia" w:ascii="仿宋_GB2312" w:hAnsi="宋体"/>
          <w:snapToGrid w:val="0"/>
          <w:color w:val="auto"/>
          <w:kern w:val="0"/>
          <w:sz w:val="32"/>
        </w:rPr>
        <w:t>,</w:t>
      </w:r>
      <w:r>
        <w:rPr>
          <w:rFonts w:hint="eastAsia" w:ascii="仿宋_GB2312" w:hAnsi="宋体"/>
          <w:color w:val="auto"/>
          <w:kern w:val="0"/>
          <w:sz w:val="32"/>
        </w:rPr>
        <w:t>依照法律、法规和标准规范开展职业卫生技术服务活动情况，职业卫生专业技术人员管理情况。</w:t>
      </w:r>
    </w:p>
    <w:p>
      <w:pPr>
        <w:widowControl/>
        <w:numPr>
          <w:ilvl w:val="0"/>
          <w:numId w:val="1"/>
        </w:numPr>
        <w:spacing w:beforeLines="0" w:afterLines="0" w:line="560" w:lineRule="exact"/>
        <w:ind w:firstLine="560"/>
        <w:jc w:val="left"/>
        <w:outlineLvl w:val="0"/>
        <w:rPr>
          <w:rFonts w:hint="eastAsia" w:ascii="黑体" w:hAnsi="黑体" w:eastAsia="黑体"/>
          <w:color w:val="auto"/>
          <w:kern w:val="0"/>
          <w:sz w:val="32"/>
        </w:rPr>
      </w:pPr>
      <w:r>
        <w:rPr>
          <w:rFonts w:hint="eastAsia" w:ascii="黑体" w:hAnsi="黑体" w:eastAsia="黑体"/>
          <w:color w:val="auto"/>
          <w:kern w:val="0"/>
          <w:sz w:val="32"/>
        </w:rPr>
        <w:t>工作要求</w:t>
      </w:r>
    </w:p>
    <w:p>
      <w:pPr>
        <w:widowControl/>
        <w:spacing w:beforeLines="0" w:afterLines="0" w:line="560" w:lineRule="exact"/>
        <w:ind w:firstLine="560"/>
        <w:rPr>
          <w:rFonts w:hint="eastAsia" w:ascii="仿宋_GB2312" w:hAnsi="宋体"/>
          <w:color w:val="auto"/>
          <w:kern w:val="0"/>
          <w:sz w:val="32"/>
        </w:rPr>
      </w:pPr>
      <w:r>
        <w:rPr>
          <w:rFonts w:hint="eastAsia" w:ascii="仿宋_GB2312" w:hAnsi="宋体"/>
          <w:color w:val="auto"/>
          <w:kern w:val="0"/>
          <w:sz w:val="32"/>
        </w:rPr>
        <w:t>（一）各地自行确定用人单位职业卫生双随机抽查比例，其中煤矿和非煤矿山应</w:t>
      </w:r>
      <w:r>
        <w:rPr>
          <w:rFonts w:hint="eastAsia" w:ascii="仿宋_GB2312" w:hAnsi="宋体"/>
          <w:color w:val="auto"/>
          <w:kern w:val="0"/>
          <w:sz w:val="32"/>
          <w:lang w:eastAsia="zh-CN"/>
        </w:rPr>
        <w:t>当</w:t>
      </w:r>
      <w:r>
        <w:rPr>
          <w:rFonts w:hint="eastAsia" w:ascii="仿宋_GB2312" w:hAnsi="宋体"/>
          <w:color w:val="auto"/>
          <w:kern w:val="0"/>
          <w:sz w:val="32"/>
        </w:rPr>
        <w:t>全覆盖检查。抽查底数依据2020年摸底数据，参考职业病危害项目申报系统库数据。各省份监督抽查的用人单位数量应</w:t>
      </w:r>
      <w:r>
        <w:rPr>
          <w:rFonts w:hint="eastAsia" w:ascii="仿宋_GB2312" w:hAnsi="宋体"/>
          <w:color w:val="auto"/>
          <w:kern w:val="0"/>
          <w:sz w:val="32"/>
          <w:lang w:eastAsia="zh-CN"/>
        </w:rPr>
        <w:t>当</w:t>
      </w:r>
      <w:r>
        <w:rPr>
          <w:rFonts w:hint="eastAsia" w:ascii="仿宋_GB2312" w:hAnsi="宋体"/>
          <w:color w:val="auto"/>
          <w:kern w:val="0"/>
          <w:sz w:val="32"/>
        </w:rPr>
        <w:t>不低于2020年的监督检查数量；辖区内注册的职业卫生技术服务机构应</w:t>
      </w:r>
      <w:r>
        <w:rPr>
          <w:rFonts w:hint="eastAsia" w:ascii="仿宋_GB2312" w:hAnsi="宋体"/>
          <w:color w:val="auto"/>
          <w:kern w:val="0"/>
          <w:sz w:val="32"/>
          <w:lang w:eastAsia="zh-CN"/>
        </w:rPr>
        <w:t>当</w:t>
      </w:r>
      <w:r>
        <w:rPr>
          <w:rFonts w:hint="eastAsia" w:ascii="仿宋_GB2312" w:hAnsi="宋体"/>
          <w:color w:val="auto"/>
          <w:kern w:val="0"/>
          <w:sz w:val="32"/>
        </w:rPr>
        <w:t>全覆盖检查。在对用人单位监督检查过程中，对有关职业卫生技术服务机构提供的职业卫生技术服务进行延伸检查。</w:t>
      </w:r>
    </w:p>
    <w:p>
      <w:pPr>
        <w:widowControl/>
        <w:spacing w:beforeLines="0" w:afterLines="0" w:line="560" w:lineRule="exact"/>
        <w:ind w:firstLine="560"/>
        <w:rPr>
          <w:rFonts w:hint="eastAsia" w:ascii="仿宋_GB2312" w:hAnsi="宋体"/>
          <w:color w:val="auto"/>
          <w:kern w:val="0"/>
          <w:sz w:val="32"/>
        </w:rPr>
      </w:pPr>
      <w:r>
        <w:rPr>
          <w:rFonts w:hint="eastAsia" w:ascii="仿宋_GB2312" w:hAnsi="宋体"/>
          <w:color w:val="auto"/>
          <w:kern w:val="0"/>
          <w:sz w:val="32"/>
        </w:rPr>
        <w:t>（二）各地</w:t>
      </w:r>
      <w:r>
        <w:rPr>
          <w:rFonts w:hint="eastAsia" w:ascii="仿宋" w:hAnsi="仿宋" w:eastAsia="仿宋"/>
          <w:color w:val="auto"/>
          <w:sz w:val="32"/>
        </w:rPr>
        <w:t>要切实加强对上报数据信息的审核，按照抽查工作计划表及监督信息报告卡要求填报监督检查和案件查处数据信息，所有数据以信息报告系统填报数据为准，不需另外报送纸质报表</w:t>
      </w:r>
      <w:r>
        <w:rPr>
          <w:rFonts w:hint="eastAsia" w:ascii="仿宋_GB2312" w:hAnsi="宋体"/>
          <w:color w:val="auto"/>
          <w:kern w:val="0"/>
          <w:sz w:val="32"/>
        </w:rPr>
        <w:t>。</w:t>
      </w:r>
    </w:p>
    <w:p>
      <w:pPr>
        <w:widowControl/>
        <w:spacing w:beforeLines="0" w:afterLines="0" w:line="560" w:lineRule="exact"/>
        <w:ind w:firstLine="560"/>
        <w:jc w:val="left"/>
        <w:outlineLvl w:val="0"/>
        <w:rPr>
          <w:rFonts w:hint="eastAsia" w:ascii="仿宋_GB2312" w:hAnsi="宋体"/>
          <w:color w:val="auto"/>
          <w:kern w:val="0"/>
          <w:sz w:val="32"/>
        </w:rPr>
      </w:pPr>
    </w:p>
    <w:p>
      <w:pPr>
        <w:widowControl/>
        <w:spacing w:beforeLines="0" w:afterLines="0" w:line="560" w:lineRule="exact"/>
        <w:ind w:firstLine="560"/>
        <w:jc w:val="left"/>
        <w:outlineLvl w:val="0"/>
        <w:rPr>
          <w:rFonts w:hint="eastAsia" w:ascii="仿宋_GB2312" w:hAnsi="宋体"/>
          <w:color w:val="auto"/>
          <w:kern w:val="0"/>
          <w:sz w:val="32"/>
        </w:rPr>
      </w:pPr>
    </w:p>
    <w:p>
      <w:pPr>
        <w:widowControl/>
        <w:spacing w:beforeLines="0" w:afterLines="0" w:line="550" w:lineRule="exact"/>
        <w:ind w:firstLine="561"/>
        <w:outlineLvl w:val="0"/>
        <w:rPr>
          <w:rFonts w:hint="eastAsia" w:ascii="仿宋" w:hAnsi="仿宋" w:eastAsia="仿宋"/>
          <w:color w:val="auto"/>
          <w:w w:val="98"/>
          <w:kern w:val="0"/>
          <w:sz w:val="32"/>
        </w:rPr>
      </w:pPr>
      <w:r>
        <w:rPr>
          <w:rFonts w:hint="eastAsia" w:ascii="仿宋" w:hAnsi="仿宋" w:eastAsia="仿宋"/>
          <w:color w:val="auto"/>
          <w:kern w:val="0"/>
          <w:sz w:val="32"/>
        </w:rPr>
        <w:t>附表：</w:t>
      </w:r>
      <w:r>
        <w:rPr>
          <w:rFonts w:hint="eastAsia" w:ascii="仿宋" w:hAnsi="仿宋" w:eastAsia="仿宋"/>
          <w:color w:val="auto"/>
          <w:w w:val="98"/>
          <w:kern w:val="0"/>
          <w:sz w:val="32"/>
        </w:rPr>
        <w:t>1.用人单位职业卫生国家随机监督抽查计划表</w:t>
      </w:r>
    </w:p>
    <w:p>
      <w:pPr>
        <w:widowControl/>
        <w:spacing w:beforeLines="0" w:afterLines="0" w:line="550" w:lineRule="exact"/>
        <w:ind w:firstLine="1300" w:firstLineChars="400"/>
        <w:outlineLvl w:val="0"/>
        <w:rPr>
          <w:rFonts w:hint="eastAsia" w:ascii="仿宋" w:hAnsi="仿宋" w:eastAsia="仿宋"/>
          <w:color w:val="auto"/>
          <w:kern w:val="0"/>
          <w:sz w:val="32"/>
        </w:rPr>
      </w:pPr>
      <w:r>
        <w:rPr>
          <w:rFonts w:hint="default" w:ascii="仿宋" w:hAnsi="仿宋" w:eastAsia="仿宋"/>
          <w:color w:val="auto"/>
          <w:w w:val="98"/>
          <w:kern w:val="0"/>
          <w:sz w:val="32"/>
        </w:rPr>
        <w:t xml:space="preserve">  </w:t>
      </w:r>
      <w:r>
        <w:rPr>
          <w:rFonts w:hint="eastAsia" w:ascii="仿宋" w:hAnsi="仿宋" w:eastAsia="仿宋"/>
          <w:color w:val="auto"/>
          <w:w w:val="98"/>
          <w:kern w:val="0"/>
          <w:sz w:val="32"/>
        </w:rPr>
        <w:t xml:space="preserve">2.用人单位职业卫生国家随机监督抽查汇总表       </w:t>
      </w:r>
      <w:r>
        <w:rPr>
          <w:rFonts w:hint="eastAsia" w:ascii="仿宋" w:hAnsi="仿宋" w:eastAsia="仿宋"/>
          <w:color w:val="auto"/>
          <w:kern w:val="0"/>
          <w:sz w:val="32"/>
        </w:rPr>
        <w:t xml:space="preserve"> </w:t>
      </w:r>
    </w:p>
    <w:p>
      <w:pPr>
        <w:widowControl/>
        <w:spacing w:beforeLines="0" w:afterLines="0" w:line="550" w:lineRule="exact"/>
        <w:ind w:firstLine="560"/>
        <w:jc w:val="both"/>
        <w:outlineLvl w:val="0"/>
        <w:rPr>
          <w:rFonts w:hint="eastAsia" w:ascii="仿宋" w:hAnsi="仿宋" w:eastAsia="仿宋"/>
          <w:color w:val="auto"/>
          <w:w w:val="98"/>
          <w:kern w:val="0"/>
          <w:sz w:val="32"/>
        </w:rPr>
      </w:pPr>
      <w:r>
        <w:rPr>
          <w:rFonts w:hint="eastAsia" w:ascii="仿宋" w:hAnsi="仿宋" w:eastAsia="仿宋"/>
          <w:color w:val="auto"/>
          <w:kern w:val="0"/>
          <w:sz w:val="32"/>
        </w:rPr>
        <w:t xml:space="preserve">     </w:t>
      </w:r>
      <w:r>
        <w:rPr>
          <w:rFonts w:hint="default" w:ascii="仿宋" w:hAnsi="仿宋" w:eastAsia="仿宋"/>
          <w:color w:val="auto"/>
          <w:kern w:val="0"/>
          <w:sz w:val="32"/>
        </w:rPr>
        <w:t xml:space="preserve"> </w:t>
      </w:r>
      <w:r>
        <w:rPr>
          <w:rFonts w:hint="eastAsia" w:ascii="仿宋" w:hAnsi="仿宋" w:eastAsia="仿宋"/>
          <w:color w:val="auto"/>
          <w:w w:val="98"/>
          <w:kern w:val="0"/>
          <w:sz w:val="32"/>
        </w:rPr>
        <w:t>3.职业卫生技术服务机构国家随机监督抽查计</w:t>
      </w:r>
    </w:p>
    <w:p>
      <w:pPr>
        <w:widowControl/>
        <w:spacing w:beforeLines="0" w:afterLines="0" w:line="550" w:lineRule="exact"/>
        <w:ind w:firstLine="560"/>
        <w:jc w:val="left"/>
        <w:outlineLvl w:val="0"/>
        <w:rPr>
          <w:rFonts w:hint="eastAsia" w:ascii="仿宋" w:hAnsi="仿宋" w:eastAsia="仿宋"/>
          <w:color w:val="auto"/>
          <w:w w:val="98"/>
          <w:kern w:val="0"/>
          <w:sz w:val="32"/>
        </w:rPr>
      </w:pPr>
      <w:r>
        <w:rPr>
          <w:rFonts w:hint="eastAsia" w:ascii="仿宋" w:hAnsi="仿宋" w:eastAsia="仿宋"/>
          <w:color w:val="auto"/>
          <w:w w:val="98"/>
          <w:kern w:val="0"/>
          <w:sz w:val="32"/>
          <w:lang w:val="en-US" w:eastAsia="zh-CN"/>
        </w:rPr>
        <w:t xml:space="preserve">        </w:t>
      </w:r>
      <w:r>
        <w:rPr>
          <w:rFonts w:hint="eastAsia" w:ascii="仿宋" w:hAnsi="仿宋" w:eastAsia="仿宋"/>
          <w:color w:val="auto"/>
          <w:w w:val="98"/>
          <w:kern w:val="0"/>
          <w:sz w:val="32"/>
          <w:lang w:eastAsia="zh-CN"/>
        </w:rPr>
        <w:t>划</w:t>
      </w:r>
      <w:r>
        <w:rPr>
          <w:rFonts w:hint="eastAsia" w:ascii="仿宋" w:hAnsi="仿宋" w:eastAsia="仿宋"/>
          <w:color w:val="auto"/>
          <w:w w:val="98"/>
          <w:kern w:val="0"/>
          <w:sz w:val="32"/>
        </w:rPr>
        <w:t>表</w:t>
      </w:r>
    </w:p>
    <w:p>
      <w:pPr>
        <w:widowControl/>
        <w:numPr>
          <w:ilvl w:val="0"/>
          <w:numId w:val="0"/>
        </w:numPr>
        <w:spacing w:beforeLines="0" w:afterLines="0" w:line="550" w:lineRule="exact"/>
        <w:ind w:firstLine="602"/>
        <w:jc w:val="left"/>
        <w:outlineLvl w:val="0"/>
        <w:rPr>
          <w:rFonts w:hint="default" w:ascii="仿宋" w:hAnsi="仿宋" w:eastAsia="仿宋"/>
          <w:color w:val="auto"/>
          <w:w w:val="98"/>
          <w:kern w:val="0"/>
          <w:sz w:val="32"/>
        </w:rPr>
      </w:pPr>
      <w:r>
        <w:rPr>
          <w:rFonts w:hint="default" w:ascii="仿宋" w:hAnsi="仿宋" w:eastAsia="仿宋"/>
          <w:color w:val="auto"/>
          <w:w w:val="98"/>
          <w:kern w:val="0"/>
          <w:sz w:val="32"/>
        </w:rPr>
        <w:t xml:space="preserve">      </w:t>
      </w:r>
      <w:r>
        <w:rPr>
          <w:rFonts w:hint="eastAsia" w:ascii="仿宋" w:hAnsi="仿宋" w:eastAsia="仿宋"/>
          <w:color w:val="auto"/>
          <w:w w:val="98"/>
          <w:kern w:val="0"/>
          <w:sz w:val="32"/>
        </w:rPr>
        <w:t>4.职业卫生技术服务机构国家随机监督抽查汇</w:t>
      </w:r>
    </w:p>
    <w:p>
      <w:pPr>
        <w:widowControl/>
        <w:numPr>
          <w:ilvl w:val="0"/>
          <w:numId w:val="0"/>
        </w:numPr>
        <w:spacing w:beforeLines="0" w:afterLines="0" w:line="550" w:lineRule="exact"/>
        <w:ind w:firstLine="602"/>
        <w:jc w:val="left"/>
        <w:outlineLvl w:val="0"/>
        <w:rPr>
          <w:rFonts w:hint="eastAsia" w:ascii="仿宋" w:hAnsi="仿宋" w:eastAsia="仿宋"/>
          <w:color w:val="auto"/>
          <w:sz w:val="32"/>
        </w:rPr>
      </w:pPr>
      <w:r>
        <w:rPr>
          <w:rFonts w:hint="default" w:ascii="仿宋" w:hAnsi="仿宋" w:eastAsia="仿宋"/>
          <w:color w:val="auto"/>
          <w:w w:val="98"/>
          <w:kern w:val="0"/>
          <w:sz w:val="32"/>
        </w:rPr>
        <w:t xml:space="preserve">        </w:t>
      </w:r>
      <w:r>
        <w:rPr>
          <w:rFonts w:hint="eastAsia" w:ascii="仿宋" w:hAnsi="仿宋" w:eastAsia="仿宋"/>
          <w:color w:val="auto"/>
          <w:w w:val="98"/>
          <w:kern w:val="0"/>
          <w:sz w:val="32"/>
        </w:rPr>
        <w:t>总表</w:t>
      </w:r>
    </w:p>
    <w:p>
      <w:pPr>
        <w:spacing w:beforeLines="0" w:afterLines="0" w:line="240" w:lineRule="exact"/>
        <w:ind w:right="-1015" w:rightChars="-306"/>
        <w:rPr>
          <w:rFonts w:hint="default" w:ascii="￥ﾍﾎ￦ﾖﾇ￤ﾻ﾿￥ﾮﾋ" w:hAnsi="￥ﾍﾎ￦ﾖﾇ￤ﾻ﾿￥ﾮﾋ" w:eastAsia="￥ﾍﾎ￦ﾖﾇ￤ﾻ﾿￥ﾮﾋ"/>
          <w:sz w:val="21"/>
        </w:rPr>
      </w:pPr>
    </w:p>
    <w:p>
      <w:pPr>
        <w:spacing w:beforeLines="0" w:afterLines="0" w:line="240" w:lineRule="exact"/>
        <w:ind w:right="-1015" w:rightChars="-306"/>
        <w:rPr>
          <w:rFonts w:hint="default" w:ascii="￥ﾍﾎ￦ﾖﾇ￤ﾻ﾿￥ﾮﾋ" w:hAnsi="￥ﾍﾎ￦ﾖﾇ￤ﾻ﾿￥ﾮﾋ" w:eastAsia="￥ﾍﾎ￦ﾖﾇ￤ﾻ﾿￥ﾮﾋ"/>
          <w:sz w:val="21"/>
        </w:rPr>
      </w:pPr>
    </w:p>
    <w:p>
      <w:pPr>
        <w:spacing w:beforeLines="0" w:afterLines="0" w:line="240" w:lineRule="exact"/>
        <w:ind w:right="-1015" w:rightChars="-306"/>
        <w:rPr>
          <w:rFonts w:hint="default" w:ascii="￥ﾍﾎ￦ﾖﾇ￤ﾻ﾿￥ﾮﾋ" w:hAnsi="￥ﾍﾎ￦ﾖﾇ￤ﾻ﾿￥ﾮﾋ" w:eastAsia="￥ﾍﾎ￦ﾖﾇ￤ﾻ﾿￥ﾮﾋ"/>
          <w:sz w:val="21"/>
        </w:rPr>
      </w:pPr>
    </w:p>
    <w:p>
      <w:pPr>
        <w:spacing w:beforeLines="0" w:afterLines="0" w:line="240" w:lineRule="exact"/>
        <w:ind w:right="-1015" w:rightChars="-306"/>
        <w:rPr>
          <w:rFonts w:hint="default" w:ascii="￥ﾍﾎ￦ﾖﾇ￤ﾻ﾿￥ﾮﾋ" w:hAnsi="￥ﾍﾎ￦ﾖﾇ￤ﾻ﾿￥ﾮﾋ" w:eastAsia="￥ﾍﾎ￦ﾖﾇ￤ﾻ﾿￥ﾮﾋ"/>
          <w:sz w:val="21"/>
        </w:rPr>
        <w:sectPr>
          <w:headerReference r:id="rId3" w:type="default"/>
          <w:footerReference r:id="rId4" w:type="default"/>
          <w:pgSz w:w="11906" w:h="16838"/>
          <w:pgMar w:top="1440" w:right="1797" w:bottom="1440" w:left="1797" w:header="851" w:footer="992" w:gutter="0"/>
          <w:pgBorders w:offsetFrom="page">
            <w:top w:val="none" w:sz="0" w:space="0"/>
            <w:left w:val="none" w:sz="0" w:space="0"/>
            <w:bottom w:val="none" w:sz="0" w:space="0"/>
            <w:right w:val="none" w:sz="0" w:space="0"/>
          </w:pgBorders>
          <w:lnNumType w:countBy="0" w:distance="360"/>
          <w:cols w:space="720" w:num="1"/>
          <w:docGrid w:type="linesAndChars" w:linePitch="312" w:charSpace="2555"/>
        </w:sectPr>
      </w:pPr>
    </w:p>
    <w:p>
      <w:pPr>
        <w:widowControl/>
        <w:spacing w:beforeLines="0" w:afterLines="0"/>
        <w:jc w:val="left"/>
        <w:rPr>
          <w:rFonts w:hint="eastAsia" w:ascii="黑体" w:hAnsi="黑体" w:eastAsia="黑体"/>
          <w:color w:val="auto"/>
          <w:sz w:val="32"/>
        </w:rPr>
      </w:pPr>
      <w:r>
        <w:rPr>
          <w:rFonts w:hint="eastAsia" w:ascii="黑体" w:hAnsi="黑体" w:eastAsia="黑体"/>
          <w:color w:val="auto"/>
          <w:sz w:val="32"/>
        </w:rPr>
        <w:t>附表1</w:t>
      </w:r>
    </w:p>
    <w:p>
      <w:pPr>
        <w:spacing w:beforeLines="0" w:afterLines="0"/>
        <w:jc w:val="center"/>
        <w:outlineLvl w:val="0"/>
        <w:rPr>
          <w:rFonts w:hint="eastAsia" w:ascii="宋体" w:hAnsi="宋体" w:eastAsia="宋体"/>
          <w:color w:val="auto"/>
          <w:sz w:val="44"/>
        </w:rPr>
      </w:pPr>
      <w:r>
        <w:rPr>
          <w:rFonts w:hint="eastAsia" w:ascii="宋体" w:hAnsi="宋体" w:eastAsia="宋体"/>
          <w:b/>
          <w:color w:val="auto"/>
          <w:sz w:val="44"/>
          <w:lang w:val="en-US" w:eastAsia="zh-CN"/>
        </w:rPr>
        <w:t>2021年</w:t>
      </w:r>
      <w:r>
        <w:rPr>
          <w:rFonts w:hint="eastAsia" w:ascii="宋体" w:hAnsi="宋体" w:eastAsia="宋体"/>
          <w:b/>
          <w:color w:val="auto"/>
          <w:sz w:val="44"/>
        </w:rPr>
        <w:t>用人单位职业卫生国家随机监督抽查计划表</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4"/>
        <w:gridCol w:w="1512"/>
        <w:gridCol w:w="1938"/>
        <w:gridCol w:w="8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 w:hRule="atLeast"/>
          <w:tblHeader/>
          <w:jc w:val="center"/>
        </w:trPr>
        <w:tc>
          <w:tcPr>
            <w:tcW w:w="17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黑体" w:hAnsi="黑体" w:eastAsia="黑体"/>
                <w:b/>
                <w:color w:val="auto"/>
                <w:sz w:val="21"/>
              </w:rPr>
            </w:pPr>
            <w:r>
              <w:rPr>
                <w:rFonts w:hint="eastAsia" w:ascii="黑体" w:hAnsi="黑体" w:eastAsia="黑体"/>
                <w:b/>
                <w:color w:val="auto"/>
                <w:sz w:val="21"/>
              </w:rPr>
              <w:t>监督检查对象</w:t>
            </w:r>
          </w:p>
        </w:tc>
        <w:tc>
          <w:tcPr>
            <w:tcW w:w="151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center"/>
              <w:rPr>
                <w:rFonts w:hint="eastAsia" w:ascii="黑体" w:hAnsi="黑体" w:eastAsia="黑体"/>
                <w:b/>
                <w:color w:val="auto"/>
                <w:sz w:val="21"/>
              </w:rPr>
            </w:pPr>
            <w:r>
              <w:rPr>
                <w:rFonts w:hint="eastAsia" w:ascii="黑体" w:hAnsi="黑体" w:eastAsia="黑体"/>
                <w:b/>
                <w:color w:val="auto"/>
                <w:sz w:val="21"/>
              </w:rPr>
              <w:t>抽查任务</w:t>
            </w:r>
          </w:p>
        </w:tc>
        <w:tc>
          <w:tcPr>
            <w:tcW w:w="10883"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center"/>
              <w:rPr>
                <w:rFonts w:hint="eastAsia" w:ascii="黑体" w:hAnsi="黑体" w:eastAsia="黑体"/>
                <w:b/>
                <w:color w:val="auto"/>
                <w:sz w:val="21"/>
              </w:rPr>
            </w:pPr>
            <w:r>
              <w:rPr>
                <w:rFonts w:hint="eastAsia" w:ascii="黑体" w:hAnsi="黑体" w:eastAsia="黑体"/>
                <w:b/>
                <w:color w:val="auto"/>
                <w:sz w:val="21"/>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tblHeader/>
          <w:jc w:val="center"/>
        </w:trPr>
        <w:tc>
          <w:tcPr>
            <w:tcW w:w="173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center"/>
              <w:rPr>
                <w:rFonts w:hint="eastAsia" w:ascii="宋体" w:hAnsi="宋体" w:eastAsia="宋体" w:cs="宋体"/>
                <w:color w:val="auto"/>
                <w:sz w:val="21"/>
              </w:rPr>
            </w:pPr>
            <w:r>
              <w:rPr>
                <w:rFonts w:hint="eastAsia" w:ascii="宋体" w:hAnsi="宋体" w:eastAsia="宋体" w:cs="宋体"/>
                <w:color w:val="auto"/>
                <w:sz w:val="21"/>
              </w:rPr>
              <w:t>用人单位</w:t>
            </w:r>
          </w:p>
        </w:tc>
        <w:tc>
          <w:tcPr>
            <w:tcW w:w="1512"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center"/>
              <w:rPr>
                <w:rFonts w:hint="eastAsia" w:ascii="宋体" w:hAnsi="宋体" w:eastAsia="宋体" w:cs="宋体"/>
                <w:color w:val="auto"/>
                <w:sz w:val="21"/>
              </w:rPr>
            </w:pPr>
            <w:r>
              <w:rPr>
                <w:rFonts w:hint="eastAsia" w:ascii="宋体" w:hAnsi="宋体" w:eastAsia="宋体" w:cs="宋体"/>
                <w:color w:val="auto"/>
                <w:sz w:val="21"/>
              </w:rPr>
              <w:t>抽查用人单位数量不低于2020年监督检查数量。其中煤矿和非煤矿山全覆盖。</w:t>
            </w:r>
          </w:p>
        </w:tc>
        <w:tc>
          <w:tcPr>
            <w:tcW w:w="1938"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1.职业病防治管理组织和措施</w:t>
            </w:r>
          </w:p>
        </w:tc>
        <w:tc>
          <w:tcPr>
            <w:tcW w:w="8945"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1.是否按规定设置或者指定职业卫生管理机构或者组织，配备专职或者兼职的职业卫生管理人员；</w:t>
            </w:r>
          </w:p>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2.是否建立、落实及公布职业卫生管理制度和操作规程。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center"/>
              <w:rPr>
                <w:rFonts w:hint="eastAsia" w:ascii="宋体" w:hAnsi="宋体" w:eastAsia="宋体" w:cs="宋体"/>
                <w:color w:val="auto"/>
                <w:sz w:val="21"/>
              </w:rPr>
            </w:pPr>
          </w:p>
        </w:tc>
        <w:tc>
          <w:tcPr>
            <w:tcW w:w="151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center"/>
              <w:rPr>
                <w:rFonts w:hint="eastAsia" w:ascii="宋体" w:hAnsi="宋体" w:eastAsia="宋体" w:cs="宋体"/>
                <w:color w:val="auto"/>
                <w:sz w:val="21"/>
              </w:rPr>
            </w:pPr>
          </w:p>
        </w:tc>
        <w:tc>
          <w:tcPr>
            <w:tcW w:w="1938"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2.职业卫生培训</w:t>
            </w:r>
          </w:p>
        </w:tc>
        <w:tc>
          <w:tcPr>
            <w:tcW w:w="8945"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主要负责人、职业卫生管理人员和劳动者是否按规定的周期接受职业卫生培训，培训内容、时间是否符合要求。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center"/>
              <w:rPr>
                <w:rFonts w:hint="eastAsia" w:ascii="宋体" w:hAnsi="宋体" w:eastAsia="宋体" w:cs="宋体"/>
                <w:color w:val="auto"/>
                <w:sz w:val="21"/>
              </w:rPr>
            </w:pPr>
          </w:p>
        </w:tc>
        <w:tc>
          <w:tcPr>
            <w:tcW w:w="151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center"/>
              <w:rPr>
                <w:rFonts w:hint="eastAsia" w:ascii="宋体" w:hAnsi="宋体" w:eastAsia="宋体" w:cs="宋体"/>
                <w:color w:val="auto"/>
                <w:sz w:val="21"/>
              </w:rPr>
            </w:pPr>
          </w:p>
        </w:tc>
        <w:tc>
          <w:tcPr>
            <w:tcW w:w="1938"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3.建设项目职业病防护设施“三同时”</w:t>
            </w:r>
          </w:p>
        </w:tc>
        <w:tc>
          <w:tcPr>
            <w:tcW w:w="8945"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是否落实建设项目职业病防护设施“三同时”制度，是否按程序开展评审及存档、公示。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center"/>
              <w:rPr>
                <w:rFonts w:hint="eastAsia" w:ascii="宋体" w:hAnsi="宋体" w:eastAsia="宋体" w:cs="宋体"/>
                <w:color w:val="auto"/>
                <w:sz w:val="21"/>
              </w:rPr>
            </w:pPr>
          </w:p>
        </w:tc>
        <w:tc>
          <w:tcPr>
            <w:tcW w:w="151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center"/>
              <w:rPr>
                <w:rFonts w:hint="eastAsia" w:ascii="宋体" w:hAnsi="宋体" w:eastAsia="宋体" w:cs="宋体"/>
                <w:color w:val="auto"/>
                <w:sz w:val="21"/>
              </w:rPr>
            </w:pPr>
          </w:p>
        </w:tc>
        <w:tc>
          <w:tcPr>
            <w:tcW w:w="1938"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4.职业病危害项目申报</w:t>
            </w:r>
          </w:p>
        </w:tc>
        <w:tc>
          <w:tcPr>
            <w:tcW w:w="8945"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是否如实、及时开展工作场所职业病危害项目申报。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center"/>
              <w:rPr>
                <w:rFonts w:hint="eastAsia" w:ascii="宋体" w:hAnsi="宋体" w:eastAsia="宋体" w:cs="宋体"/>
                <w:color w:val="auto"/>
                <w:sz w:val="21"/>
              </w:rPr>
            </w:pPr>
          </w:p>
        </w:tc>
        <w:tc>
          <w:tcPr>
            <w:tcW w:w="151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center"/>
              <w:rPr>
                <w:rFonts w:hint="eastAsia" w:ascii="宋体" w:hAnsi="宋体" w:eastAsia="宋体" w:cs="宋体"/>
                <w:color w:val="auto"/>
                <w:sz w:val="21"/>
              </w:rPr>
            </w:pPr>
          </w:p>
        </w:tc>
        <w:tc>
          <w:tcPr>
            <w:tcW w:w="1938"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5.工作场所职业卫生管理</w:t>
            </w:r>
          </w:p>
        </w:tc>
        <w:tc>
          <w:tcPr>
            <w:tcW w:w="8945"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1.是否按规定开展工作场所职业病危害因素监测、检测、评价，是否进行检测结果的报告和公布；</w:t>
            </w:r>
          </w:p>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2.是否按规定配置职业病防护设施、应急救援设施并及时维护、保养，是否按规定发放、管理职业病防护用品并督促劳动者佩戴使用。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center"/>
              <w:rPr>
                <w:rFonts w:hint="eastAsia" w:ascii="宋体" w:hAnsi="宋体" w:eastAsia="宋体" w:cs="宋体"/>
                <w:color w:val="auto"/>
                <w:sz w:val="21"/>
              </w:rPr>
            </w:pPr>
          </w:p>
        </w:tc>
        <w:tc>
          <w:tcPr>
            <w:tcW w:w="151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center"/>
              <w:rPr>
                <w:rFonts w:hint="eastAsia" w:ascii="宋体" w:hAnsi="宋体" w:eastAsia="宋体" w:cs="宋体"/>
                <w:color w:val="auto"/>
                <w:sz w:val="21"/>
              </w:rPr>
            </w:pPr>
          </w:p>
        </w:tc>
        <w:tc>
          <w:tcPr>
            <w:tcW w:w="1938"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6.职业病危害警示和告知</w:t>
            </w:r>
          </w:p>
        </w:tc>
        <w:tc>
          <w:tcPr>
            <w:tcW w:w="8945"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是否按规定设置职业病危害警示标识，告知职业病危害及危害后果。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center"/>
              <w:rPr>
                <w:rFonts w:hint="eastAsia" w:ascii="宋体" w:hAnsi="宋体" w:eastAsia="宋体" w:cs="宋体"/>
                <w:color w:val="auto"/>
                <w:sz w:val="21"/>
              </w:rPr>
            </w:pPr>
          </w:p>
        </w:tc>
        <w:tc>
          <w:tcPr>
            <w:tcW w:w="151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center"/>
              <w:rPr>
                <w:rFonts w:hint="eastAsia" w:ascii="宋体" w:hAnsi="宋体" w:eastAsia="宋体" w:cs="宋体"/>
                <w:color w:val="auto"/>
                <w:sz w:val="21"/>
              </w:rPr>
            </w:pPr>
          </w:p>
        </w:tc>
        <w:tc>
          <w:tcPr>
            <w:tcW w:w="1938"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7.劳动者职业健康监护</w:t>
            </w:r>
          </w:p>
        </w:tc>
        <w:tc>
          <w:tcPr>
            <w:tcW w:w="8945"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是否按规定开展劳动者职业健康监护、放射工作人员个人剂量监测。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center"/>
              <w:rPr>
                <w:rFonts w:hint="eastAsia" w:ascii="宋体" w:hAnsi="宋体" w:eastAsia="宋体" w:cs="宋体"/>
                <w:color w:val="auto"/>
                <w:sz w:val="21"/>
              </w:rPr>
            </w:pPr>
          </w:p>
        </w:tc>
        <w:tc>
          <w:tcPr>
            <w:tcW w:w="151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center"/>
              <w:rPr>
                <w:rFonts w:hint="eastAsia" w:ascii="宋体" w:hAnsi="宋体" w:eastAsia="宋体" w:cs="宋体"/>
                <w:color w:val="auto"/>
                <w:sz w:val="21"/>
              </w:rPr>
            </w:pPr>
          </w:p>
        </w:tc>
        <w:tc>
          <w:tcPr>
            <w:tcW w:w="1938"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8.职业病病人和疑似职业病病人处置</w:t>
            </w:r>
          </w:p>
        </w:tc>
        <w:tc>
          <w:tcPr>
            <w:tcW w:w="8945"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1.是否按规定处置职业病人、疑似职业病人；</w:t>
            </w:r>
          </w:p>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2.是否为劳动者进行职业病诊断提供健康损害与职业史、职业病危害接触关系等相关资料。</w:t>
            </w:r>
          </w:p>
        </w:tc>
      </w:tr>
    </w:tbl>
    <w:p>
      <w:pPr>
        <w:spacing w:beforeLines="0" w:afterLines="0"/>
        <w:rPr>
          <w:rFonts w:hint="eastAsia" w:ascii="仿宋_GB2312" w:hAnsi="黑体"/>
          <w:b/>
          <w:color w:val="auto"/>
          <w:sz w:val="24"/>
        </w:rPr>
      </w:pPr>
      <w:r>
        <w:rPr>
          <w:rFonts w:hint="eastAsia" w:ascii="仿宋_GB2312" w:hAnsi="黑体"/>
          <w:b/>
          <w:color w:val="auto"/>
          <w:sz w:val="24"/>
        </w:rPr>
        <w:t xml:space="preserve">                                                             </w:t>
      </w:r>
    </w:p>
    <w:p>
      <w:pPr>
        <w:widowControl/>
        <w:spacing w:beforeLines="0" w:afterLines="0"/>
        <w:jc w:val="left"/>
        <w:rPr>
          <w:rFonts w:hint="default"/>
          <w:color w:val="auto"/>
          <w:sz w:val="21"/>
        </w:rPr>
      </w:pPr>
    </w:p>
    <w:p>
      <w:pPr>
        <w:spacing w:beforeLines="0" w:afterLines="0"/>
        <w:jc w:val="left"/>
        <w:rPr>
          <w:rFonts w:hint="default"/>
          <w:color w:val="auto"/>
          <w:sz w:val="21"/>
        </w:rPr>
      </w:pPr>
      <w:r>
        <w:rPr>
          <w:rFonts w:hint="eastAsia" w:ascii="黑体" w:hAnsi="黑体" w:eastAsia="黑体"/>
          <w:color w:val="auto"/>
          <w:sz w:val="32"/>
        </w:rPr>
        <w:t>附表2</w:t>
      </w:r>
    </w:p>
    <w:p>
      <w:pPr>
        <w:spacing w:beforeLines="0" w:afterLines="0"/>
        <w:jc w:val="center"/>
        <w:outlineLvl w:val="0"/>
        <w:rPr>
          <w:rFonts w:hint="eastAsia" w:ascii="宋体" w:hAnsi="宋体" w:eastAsia="宋体"/>
          <w:color w:val="auto"/>
          <w:sz w:val="32"/>
        </w:rPr>
      </w:pPr>
      <w:r>
        <w:rPr>
          <w:rFonts w:hint="eastAsia" w:ascii="宋体" w:hAnsi="宋体" w:eastAsia="宋体"/>
          <w:b/>
          <w:color w:val="auto"/>
          <w:sz w:val="44"/>
          <w:lang w:val="en-US" w:eastAsia="zh-CN"/>
        </w:rPr>
        <w:t>2021年</w:t>
      </w:r>
      <w:r>
        <w:rPr>
          <w:rFonts w:hint="eastAsia" w:ascii="宋体" w:hAnsi="宋体" w:eastAsia="宋体"/>
          <w:b/>
          <w:color w:val="auto"/>
          <w:sz w:val="44"/>
        </w:rPr>
        <w:t>用人单位职业卫生国家随机监督抽查汇总表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467"/>
        <w:gridCol w:w="467"/>
        <w:gridCol w:w="467"/>
        <w:gridCol w:w="671"/>
        <w:gridCol w:w="724"/>
        <w:gridCol w:w="725"/>
        <w:gridCol w:w="723"/>
        <w:gridCol w:w="723"/>
        <w:gridCol w:w="723"/>
        <w:gridCol w:w="728"/>
        <w:gridCol w:w="723"/>
        <w:gridCol w:w="889"/>
        <w:gridCol w:w="988"/>
        <w:gridCol w:w="1022"/>
        <w:gridCol w:w="519"/>
        <w:gridCol w:w="414"/>
        <w:gridCol w:w="621"/>
        <w:gridCol w:w="621"/>
        <w:gridCol w:w="621"/>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2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用人单位类别</w:t>
            </w:r>
          </w:p>
        </w:tc>
        <w:tc>
          <w:tcPr>
            <w:tcW w:w="46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辖区单位数</w:t>
            </w:r>
          </w:p>
        </w:tc>
        <w:tc>
          <w:tcPr>
            <w:tcW w:w="46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抽查单位数</w:t>
            </w:r>
          </w:p>
        </w:tc>
        <w:tc>
          <w:tcPr>
            <w:tcW w:w="46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不合格单位数</w:t>
            </w:r>
          </w:p>
        </w:tc>
        <w:tc>
          <w:tcPr>
            <w:tcW w:w="8639"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不合格情况</w:t>
            </w:r>
          </w:p>
        </w:tc>
        <w:tc>
          <w:tcPr>
            <w:tcW w:w="51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责令限期改正单位数</w:t>
            </w:r>
          </w:p>
        </w:tc>
        <w:tc>
          <w:tcPr>
            <w:tcW w:w="41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default" w:ascii="宋体" w:hAnsi="宋体" w:eastAsia="宋体" w:cs="宋体"/>
                <w:color w:val="auto"/>
                <w:kern w:val="0"/>
                <w:sz w:val="21"/>
              </w:rPr>
            </w:pPr>
            <w:r>
              <w:rPr>
                <w:rFonts w:hint="eastAsia" w:ascii="宋体" w:hAnsi="宋体" w:eastAsia="宋体" w:cs="宋体"/>
                <w:color w:val="auto"/>
                <w:kern w:val="0"/>
                <w:sz w:val="21"/>
              </w:rPr>
              <w:t>行政处罚单位</w:t>
            </w:r>
          </w:p>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数</w:t>
            </w:r>
          </w:p>
        </w:tc>
        <w:tc>
          <w:tcPr>
            <w:tcW w:w="2472" w:type="dxa"/>
            <w:gridSpan w:val="4"/>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2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139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职业病防治管理组织和措施</w:t>
            </w:r>
          </w:p>
        </w:tc>
        <w:tc>
          <w:tcPr>
            <w:tcW w:w="72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职业卫生培训</w:t>
            </w: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建设项目“三同时”</w:t>
            </w: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职业病危害项目申报</w:t>
            </w:r>
          </w:p>
        </w:tc>
        <w:tc>
          <w:tcPr>
            <w:tcW w:w="145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工作场所职业卫生管理</w:t>
            </w: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职业病危害警示和告知</w:t>
            </w:r>
          </w:p>
        </w:tc>
        <w:tc>
          <w:tcPr>
            <w:tcW w:w="88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劳动者职业健康监护</w:t>
            </w:r>
          </w:p>
        </w:tc>
        <w:tc>
          <w:tcPr>
            <w:tcW w:w="201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职业病病人和疑似职业病病人处置</w:t>
            </w:r>
          </w:p>
        </w:tc>
        <w:tc>
          <w:tcPr>
            <w:tcW w:w="51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4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2472" w:type="dxa"/>
            <w:gridSpan w:val="4"/>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67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职业卫生管理机构或者组织不合格单位数</w:t>
            </w:r>
          </w:p>
        </w:tc>
        <w:tc>
          <w:tcPr>
            <w:tcW w:w="72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职业卫生管理制度和操作规程不合格单位数</w:t>
            </w:r>
          </w:p>
        </w:tc>
        <w:tc>
          <w:tcPr>
            <w:tcW w:w="72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职业卫生培训不合格单位数</w:t>
            </w: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建设项目职业病防护设施“三同时”不合格单位数</w:t>
            </w: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工作场所职业病危害项目申报不合格单位数</w:t>
            </w: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工作场所职业病危害因素监测、检测、评价不合格单位数</w:t>
            </w:r>
          </w:p>
        </w:tc>
        <w:tc>
          <w:tcPr>
            <w:tcW w:w="72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职业病防护设施、应急救援设施、防护用品不合格单位数</w:t>
            </w: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职业病危害警示和告知不合格单位数</w:t>
            </w:r>
          </w:p>
        </w:tc>
        <w:tc>
          <w:tcPr>
            <w:tcW w:w="88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劳动者职业健康监护、放射工作人员个人剂量监测不合格单位数</w:t>
            </w:r>
          </w:p>
        </w:tc>
        <w:tc>
          <w:tcPr>
            <w:tcW w:w="9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职业病病人、疑似职业病病人处置不合格单位数</w:t>
            </w:r>
          </w:p>
        </w:tc>
        <w:tc>
          <w:tcPr>
            <w:tcW w:w="102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未为劳动者进行职业病诊断提供健康损害与职业史、职业病危害接触关系等相关资料单位数</w:t>
            </w:r>
          </w:p>
        </w:tc>
        <w:tc>
          <w:tcPr>
            <w:tcW w:w="51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4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警告单位数</w:t>
            </w:r>
          </w:p>
        </w:tc>
        <w:tc>
          <w:tcPr>
            <w:tcW w:w="62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罚款（万元）</w:t>
            </w:r>
          </w:p>
        </w:tc>
        <w:tc>
          <w:tcPr>
            <w:tcW w:w="62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责令停止作业单位数</w:t>
            </w:r>
          </w:p>
        </w:tc>
        <w:tc>
          <w:tcPr>
            <w:tcW w:w="6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提请关闭单位数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煤矿</w:t>
            </w:r>
          </w:p>
        </w:tc>
        <w:tc>
          <w:tcPr>
            <w:tcW w:w="467"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467"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467"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671"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4"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8"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889"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988"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1022"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51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41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6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非煤</w:t>
            </w:r>
          </w:p>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矿山</w:t>
            </w:r>
          </w:p>
        </w:tc>
        <w:tc>
          <w:tcPr>
            <w:tcW w:w="467"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467"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467"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671"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4"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8"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889"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988"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1022"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51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default" w:ascii="宋体" w:hAnsi="宋体" w:eastAsia="宋体" w:cs="宋体"/>
                <w:color w:val="auto"/>
                <w:kern w:val="0"/>
                <w:sz w:val="21"/>
              </w:rPr>
            </w:pPr>
          </w:p>
        </w:tc>
        <w:tc>
          <w:tcPr>
            <w:tcW w:w="41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6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其他用人单位</w:t>
            </w:r>
          </w:p>
        </w:tc>
        <w:tc>
          <w:tcPr>
            <w:tcW w:w="467"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467"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467"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671"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4"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8"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889"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988"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1022"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51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41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6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合计</w:t>
            </w:r>
          </w:p>
        </w:tc>
        <w:tc>
          <w:tcPr>
            <w:tcW w:w="467"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467"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467"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671"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4"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8"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889"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988"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1022"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51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41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62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c>
          <w:tcPr>
            <w:tcW w:w="6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4" w:leftChars="-20" w:right="-64" w:rightChars="-20"/>
              <w:jc w:val="center"/>
              <w:rPr>
                <w:rFonts w:hint="eastAsia" w:ascii="宋体" w:hAnsi="宋体" w:eastAsia="宋体" w:cs="宋体"/>
                <w:color w:val="auto"/>
                <w:kern w:val="0"/>
                <w:sz w:val="21"/>
              </w:rPr>
            </w:pPr>
          </w:p>
        </w:tc>
      </w:tr>
    </w:tbl>
    <w:p>
      <w:pPr>
        <w:spacing w:before="217" w:beforeLines="50" w:after="217" w:afterLines="50"/>
        <w:outlineLvl w:val="1"/>
        <w:rPr>
          <w:rFonts w:hint="eastAsia" w:ascii="宋体" w:hAnsi="宋体" w:eastAsia="宋体" w:cs="宋体"/>
          <w:b/>
          <w:color w:val="auto"/>
          <w:sz w:val="28"/>
          <w:lang w:eastAsia="zh-CN"/>
        </w:rPr>
      </w:pPr>
      <w:r>
        <w:rPr>
          <w:rFonts w:hint="eastAsia" w:ascii="宋体" w:hAnsi="宋体" w:eastAsia="宋体" w:cs="宋体"/>
          <w:b/>
          <w:color w:val="auto"/>
          <w:sz w:val="28"/>
        </w:rPr>
        <w:t>填报单位：                             填报人：                  联系电话：</w:t>
      </w:r>
      <w:r>
        <w:rPr>
          <w:rFonts w:hint="eastAsia" w:ascii="宋体" w:hAnsi="宋体" w:eastAsia="宋体" w:cs="宋体"/>
          <w:b/>
          <w:color w:val="auto"/>
          <w:sz w:val="28"/>
          <w:lang w:val="en-US" w:eastAsia="zh-CN"/>
        </w:rPr>
        <w:t xml:space="preserve"> </w:t>
      </w:r>
    </w:p>
    <w:p>
      <w:pPr>
        <w:spacing w:before="217" w:beforeLines="50" w:after="217" w:afterLines="50"/>
        <w:outlineLvl w:val="1"/>
        <w:rPr>
          <w:rFonts w:hint="default" w:ascii="宋体" w:hAnsi="宋体" w:eastAsia="宋体" w:cs="宋体"/>
          <w:b/>
          <w:color w:val="auto"/>
          <w:kern w:val="2"/>
          <w:sz w:val="28"/>
        </w:rPr>
        <w:sectPr>
          <w:pgSz w:w="16838" w:h="11906" w:orient="landscape"/>
          <w:pgMar w:top="1800" w:right="1440" w:bottom="1800" w:left="1440" w:header="851" w:footer="992" w:gutter="0"/>
          <w:pgBorders w:offsetFrom="page">
            <w:top w:val="none" w:sz="0" w:space="0"/>
            <w:left w:val="none" w:sz="0" w:space="0"/>
            <w:bottom w:val="none" w:sz="0" w:space="0"/>
            <w:right w:val="none" w:sz="0" w:space="0"/>
          </w:pgBorders>
          <w:lnNumType w:countBy="0" w:distance="360"/>
          <w:cols w:space="720" w:num="1"/>
          <w:docGrid w:type="lines" w:linePitch="435" w:charSpace="0"/>
        </w:sectPr>
      </w:pPr>
    </w:p>
    <w:p>
      <w:pPr>
        <w:spacing w:beforeLines="0" w:afterLines="0"/>
        <w:jc w:val="left"/>
        <w:rPr>
          <w:rFonts w:hint="eastAsia" w:ascii="宋体" w:hAnsi="宋体" w:eastAsia="宋体"/>
          <w:b/>
          <w:color w:val="auto"/>
          <w:sz w:val="32"/>
        </w:rPr>
      </w:pPr>
      <w:r>
        <w:rPr>
          <w:rFonts w:hint="eastAsia" w:ascii="黑体" w:hAnsi="黑体" w:eastAsia="黑体"/>
          <w:color w:val="auto"/>
          <w:sz w:val="32"/>
        </w:rPr>
        <w:t>附表3</w:t>
      </w:r>
    </w:p>
    <w:p>
      <w:pPr>
        <w:spacing w:beforeLines="0" w:afterLines="0"/>
        <w:jc w:val="center"/>
        <w:rPr>
          <w:rFonts w:hint="eastAsia" w:ascii="宋体" w:hAnsi="宋体" w:eastAsia="宋体"/>
          <w:color w:val="auto"/>
          <w:sz w:val="44"/>
        </w:rPr>
      </w:pPr>
      <w:r>
        <w:rPr>
          <w:rFonts w:hint="eastAsia" w:ascii="宋体" w:hAnsi="宋体" w:eastAsia="宋体"/>
          <w:b/>
          <w:color w:val="auto"/>
          <w:sz w:val="44"/>
          <w:lang w:val="en-US" w:eastAsia="zh-CN"/>
        </w:rPr>
        <w:t>2021年</w:t>
      </w:r>
      <w:r>
        <w:rPr>
          <w:rFonts w:hint="eastAsia" w:ascii="宋体" w:hAnsi="宋体" w:eastAsia="宋体"/>
          <w:b/>
          <w:color w:val="auto"/>
          <w:sz w:val="44"/>
        </w:rPr>
        <w:t>职业卫生技术服务机构国家随机监督抽查计划表</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2"/>
        <w:gridCol w:w="1785"/>
        <w:gridCol w:w="2250"/>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 w:hRule="atLeast"/>
          <w:tblHeader/>
          <w:jc w:val="center"/>
        </w:trPr>
        <w:tc>
          <w:tcPr>
            <w:tcW w:w="1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宋体" w:hAnsi="宋体" w:eastAsia="宋体" w:cs="宋体"/>
                <w:color w:val="auto"/>
                <w:sz w:val="28"/>
              </w:rPr>
            </w:pPr>
            <w:r>
              <w:rPr>
                <w:rFonts w:hint="eastAsia" w:ascii="宋体" w:hAnsi="宋体" w:eastAsia="宋体" w:cs="宋体"/>
                <w:color w:val="auto"/>
                <w:sz w:val="28"/>
              </w:rPr>
              <w:t>监督检查对象</w:t>
            </w:r>
          </w:p>
        </w:tc>
        <w:tc>
          <w:tcPr>
            <w:tcW w:w="17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center"/>
              <w:rPr>
                <w:rFonts w:hint="eastAsia" w:ascii="宋体" w:hAnsi="宋体" w:eastAsia="宋体" w:cs="宋体"/>
                <w:color w:val="auto"/>
                <w:sz w:val="28"/>
              </w:rPr>
            </w:pPr>
            <w:r>
              <w:rPr>
                <w:rFonts w:hint="eastAsia" w:ascii="宋体" w:hAnsi="宋体" w:eastAsia="宋体" w:cs="宋体"/>
                <w:color w:val="auto"/>
                <w:sz w:val="28"/>
              </w:rPr>
              <w:t>抽查任务</w:t>
            </w:r>
          </w:p>
        </w:tc>
        <w:tc>
          <w:tcPr>
            <w:tcW w:w="10346"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center"/>
              <w:rPr>
                <w:rFonts w:hint="eastAsia" w:ascii="宋体" w:hAnsi="宋体" w:eastAsia="宋体" w:cs="宋体"/>
                <w:color w:val="auto"/>
                <w:sz w:val="28"/>
              </w:rPr>
            </w:pPr>
            <w:r>
              <w:rPr>
                <w:rFonts w:hint="eastAsia" w:ascii="宋体" w:hAnsi="宋体" w:eastAsia="宋体" w:cs="宋体"/>
                <w:color w:val="auto"/>
                <w:sz w:val="28"/>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blHeader/>
          <w:jc w:val="center"/>
        </w:trPr>
        <w:tc>
          <w:tcPr>
            <w:tcW w:w="1992"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center"/>
              <w:rPr>
                <w:rFonts w:hint="eastAsia" w:ascii="宋体" w:hAnsi="宋体" w:eastAsia="宋体" w:cs="宋体"/>
                <w:color w:val="auto"/>
                <w:sz w:val="21"/>
              </w:rPr>
            </w:pPr>
            <w:r>
              <w:rPr>
                <w:rFonts w:hint="eastAsia" w:ascii="宋体" w:hAnsi="宋体" w:eastAsia="宋体" w:cs="宋体"/>
                <w:color w:val="auto"/>
                <w:sz w:val="21"/>
              </w:rPr>
              <w:t>职业卫生技术</w:t>
            </w:r>
          </w:p>
          <w:p>
            <w:pPr>
              <w:tabs>
                <w:tab w:val="left" w:pos="6660"/>
              </w:tabs>
              <w:adjustRightInd w:val="0"/>
              <w:snapToGrid w:val="0"/>
              <w:spacing w:beforeLines="0" w:afterLines="0"/>
              <w:jc w:val="center"/>
              <w:rPr>
                <w:rFonts w:hint="eastAsia" w:ascii="宋体" w:hAnsi="宋体" w:eastAsia="宋体" w:cs="宋体"/>
                <w:color w:val="auto"/>
                <w:sz w:val="21"/>
              </w:rPr>
            </w:pPr>
            <w:r>
              <w:rPr>
                <w:rFonts w:hint="eastAsia" w:ascii="宋体" w:hAnsi="宋体" w:eastAsia="宋体" w:cs="宋体"/>
                <w:color w:val="auto"/>
                <w:sz w:val="21"/>
              </w:rPr>
              <w:t>服务机构</w:t>
            </w:r>
          </w:p>
          <w:p>
            <w:pPr>
              <w:tabs>
                <w:tab w:val="left" w:pos="6660"/>
              </w:tabs>
              <w:adjustRightInd w:val="0"/>
              <w:snapToGrid w:val="0"/>
              <w:spacing w:beforeLines="0" w:afterLines="0"/>
              <w:jc w:val="center"/>
              <w:rPr>
                <w:rFonts w:hint="eastAsia" w:ascii="宋体" w:hAnsi="宋体" w:eastAsia="宋体" w:cs="宋体"/>
                <w:color w:val="auto"/>
                <w:sz w:val="21"/>
              </w:rPr>
            </w:pPr>
            <w:r>
              <w:rPr>
                <w:rFonts w:hint="eastAsia" w:ascii="宋体" w:hAnsi="宋体" w:eastAsia="宋体" w:cs="宋体"/>
                <w:color w:val="auto"/>
                <w:sz w:val="21"/>
              </w:rPr>
              <w:t>（甲、乙级）</w:t>
            </w:r>
          </w:p>
        </w:tc>
        <w:tc>
          <w:tcPr>
            <w:tcW w:w="178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center"/>
              <w:rPr>
                <w:rFonts w:hint="eastAsia" w:ascii="宋体" w:hAnsi="宋体" w:eastAsia="宋体" w:cs="宋体"/>
                <w:color w:val="auto"/>
                <w:sz w:val="21"/>
              </w:rPr>
            </w:pPr>
            <w:r>
              <w:rPr>
                <w:rFonts w:hint="eastAsia" w:ascii="宋体" w:hAnsi="宋体" w:eastAsia="宋体" w:cs="宋体"/>
                <w:color w:val="auto"/>
                <w:sz w:val="21"/>
              </w:rPr>
              <w:t>辖区内注册的职业卫生技术服务机构全覆盖检查</w:t>
            </w:r>
          </w:p>
        </w:tc>
        <w:tc>
          <w:tcPr>
            <w:tcW w:w="22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1.资质证书</w:t>
            </w:r>
          </w:p>
        </w:tc>
        <w:tc>
          <w:tcPr>
            <w:tcW w:w="80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1.是否未取得职业卫生技术服务资质认可擅自从事职业卫生检测、评价技术服务；</w:t>
            </w:r>
          </w:p>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2.是否有涂改、倒卖、出租、出借职业卫生技术服务机构资质证书，或者以其他形式非法转让职业卫生技术服务机构资质证书情形。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blHeader/>
          <w:jc w:val="center"/>
        </w:trPr>
        <w:tc>
          <w:tcPr>
            <w:tcW w:w="199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p>
        </w:tc>
        <w:tc>
          <w:tcPr>
            <w:tcW w:w="178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p>
        </w:tc>
        <w:tc>
          <w:tcPr>
            <w:tcW w:w="22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2.资质条件</w:t>
            </w:r>
          </w:p>
        </w:tc>
        <w:tc>
          <w:tcPr>
            <w:tcW w:w="80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kern w:val="0"/>
                <w:sz w:val="21"/>
              </w:rPr>
            </w:pPr>
            <w:r>
              <w:rPr>
                <w:rFonts w:hint="eastAsia" w:ascii="宋体" w:hAnsi="宋体" w:eastAsia="宋体" w:cs="宋体"/>
                <w:color w:val="auto"/>
                <w:sz w:val="21"/>
              </w:rPr>
              <w:t>已经取得资质的职业卫生技术服务机构，是否继续符合规定的资质条件；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8" w:hRule="atLeast"/>
          <w:tblHeader/>
          <w:jc w:val="center"/>
        </w:trPr>
        <w:tc>
          <w:tcPr>
            <w:tcW w:w="199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p>
        </w:tc>
        <w:tc>
          <w:tcPr>
            <w:tcW w:w="178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p>
        </w:tc>
        <w:tc>
          <w:tcPr>
            <w:tcW w:w="22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3.业务范围及出具证明</w:t>
            </w:r>
          </w:p>
        </w:tc>
        <w:tc>
          <w:tcPr>
            <w:tcW w:w="80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1.是否超出资质认可范围从事职业卫生技术服务；</w:t>
            </w:r>
          </w:p>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2.是否出具虚假或者失实的职业卫生技术报告或其他虚假证明文件。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blHeader/>
          <w:jc w:val="center"/>
        </w:trPr>
        <w:tc>
          <w:tcPr>
            <w:tcW w:w="199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p>
        </w:tc>
        <w:tc>
          <w:tcPr>
            <w:tcW w:w="178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p>
        </w:tc>
        <w:tc>
          <w:tcPr>
            <w:tcW w:w="22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4.技术服务相关工作要求</w:t>
            </w:r>
          </w:p>
        </w:tc>
        <w:tc>
          <w:tcPr>
            <w:tcW w:w="80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1.是否按照法律法规和标准规范的要求开展现场调查、职业病危害因素识别、现场采样、现场检测、样品管理、实验室分析、数据处理及应用、危害程度评价、防护措施及其效果评价、技术报告编制等职业卫生技术服务活动；</w:t>
            </w:r>
          </w:p>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2.是否存在具备自行检测条件而委托其他机构检测的情形，是否存在委托检测的机构不具备职业卫生技术服务机构资质和相应检测能力的情形，是否存在委托其他机构实施样品现场采集和检测结果分析及应用等工作的情形；</w:t>
            </w:r>
          </w:p>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3.是否以书面形式与用人单位明确技术服务内容、范围以及双方的责任；</w:t>
            </w:r>
          </w:p>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4.是否转包职业卫生技术服务项目；</w:t>
            </w:r>
          </w:p>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5.是否擅自更改、简化职业卫生技术服务程序和相关内容；</w:t>
            </w:r>
          </w:p>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6.是否按规定在网上公开职业卫生技术报告相关信息。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4" w:hRule="atLeast"/>
          <w:tblHeader/>
          <w:jc w:val="center"/>
        </w:trPr>
        <w:tc>
          <w:tcPr>
            <w:tcW w:w="199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p>
        </w:tc>
        <w:tc>
          <w:tcPr>
            <w:tcW w:w="178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p>
        </w:tc>
        <w:tc>
          <w:tcPr>
            <w:tcW w:w="22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5.专业技术人员管理</w:t>
            </w:r>
          </w:p>
        </w:tc>
        <w:tc>
          <w:tcPr>
            <w:tcW w:w="809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1.是否使用非本机构专业技术人员从事职业卫生技术服务活动的；</w:t>
            </w:r>
          </w:p>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2.是否安排未达到技术评审考核评估要求的专业技术人员参与职业卫生技术服务的；</w:t>
            </w:r>
          </w:p>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3.是否在职业卫生技术报告或者有关原始记录上代替他人签字；</w:t>
            </w:r>
          </w:p>
          <w:p>
            <w:pPr>
              <w:tabs>
                <w:tab w:val="left" w:pos="6660"/>
              </w:tabs>
              <w:adjustRightInd w:val="0"/>
              <w:snapToGrid w:val="0"/>
              <w:spacing w:beforeLines="0" w:afterLines="0"/>
              <w:jc w:val="left"/>
              <w:rPr>
                <w:rFonts w:hint="eastAsia" w:ascii="宋体" w:hAnsi="宋体" w:eastAsia="宋体" w:cs="宋体"/>
                <w:color w:val="auto"/>
                <w:sz w:val="21"/>
              </w:rPr>
            </w:pPr>
            <w:r>
              <w:rPr>
                <w:rFonts w:hint="eastAsia" w:ascii="宋体" w:hAnsi="宋体" w:eastAsia="宋体" w:cs="宋体"/>
                <w:color w:val="auto"/>
                <w:sz w:val="21"/>
              </w:rPr>
              <w:t>4.是否未参与相应职业卫生技术服务事项而在技术报告或者有关原始记录上签字。</w:t>
            </w:r>
          </w:p>
        </w:tc>
      </w:tr>
    </w:tbl>
    <w:p>
      <w:pPr>
        <w:spacing w:beforeLines="0" w:afterLines="0"/>
        <w:jc w:val="left"/>
        <w:rPr>
          <w:rFonts w:hint="eastAsia" w:ascii="宋体" w:hAnsi="宋体" w:eastAsia="宋体"/>
          <w:b/>
          <w:color w:val="auto"/>
          <w:sz w:val="32"/>
        </w:rPr>
      </w:pPr>
    </w:p>
    <w:p>
      <w:pPr>
        <w:spacing w:beforeLines="0" w:afterLines="0"/>
        <w:jc w:val="left"/>
        <w:rPr>
          <w:rFonts w:hint="eastAsia" w:ascii="黑体" w:hAnsi="黑体" w:eastAsia="黑体"/>
          <w:color w:val="auto"/>
          <w:sz w:val="32"/>
        </w:rPr>
      </w:pPr>
      <w:r>
        <w:rPr>
          <w:rFonts w:hint="eastAsia" w:ascii="黑体" w:hAnsi="黑体" w:eastAsia="黑体"/>
          <w:color w:val="auto"/>
          <w:sz w:val="32"/>
        </w:rPr>
        <w:t>附表4</w:t>
      </w:r>
    </w:p>
    <w:p>
      <w:pPr>
        <w:spacing w:beforeLines="0" w:afterLines="0"/>
        <w:jc w:val="center"/>
        <w:rPr>
          <w:rFonts w:hint="default"/>
          <w:color w:val="auto"/>
          <w:sz w:val="21"/>
        </w:rPr>
      </w:pPr>
      <w:r>
        <w:rPr>
          <w:rFonts w:hint="eastAsia" w:ascii="宋体" w:hAnsi="宋体" w:eastAsia="宋体"/>
          <w:b/>
          <w:color w:val="auto"/>
          <w:sz w:val="44"/>
          <w:lang w:val="en-US" w:eastAsia="zh-CN"/>
        </w:rPr>
        <w:t>2021年</w:t>
      </w:r>
      <w:r>
        <w:rPr>
          <w:rFonts w:hint="eastAsia" w:ascii="宋体" w:hAnsi="宋体" w:eastAsia="宋体"/>
          <w:b/>
          <w:color w:val="auto"/>
          <w:sz w:val="44"/>
        </w:rPr>
        <w:t>职业卫生技术服务机构国家随机监督抽查汇总表</w:t>
      </w:r>
      <w:r>
        <w:rPr>
          <w:rFonts w:hint="default"/>
          <w:color w:val="auto"/>
          <w:sz w:val="21"/>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4"/>
        <w:gridCol w:w="490"/>
        <w:gridCol w:w="462"/>
        <w:gridCol w:w="8"/>
        <w:gridCol w:w="473"/>
        <w:gridCol w:w="1252"/>
        <w:gridCol w:w="1735"/>
        <w:gridCol w:w="1545"/>
        <w:gridCol w:w="1325"/>
        <w:gridCol w:w="897"/>
        <w:gridCol w:w="1118"/>
        <w:gridCol w:w="1192"/>
        <w:gridCol w:w="687"/>
        <w:gridCol w:w="834"/>
        <w:gridCol w:w="856"/>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78" w:type="dxa"/>
            <w:vMerge w:val="restart"/>
            <w:tcBorders>
              <w:left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lang w:eastAsia="zh-CN"/>
              </w:rPr>
            </w:pPr>
            <w:r>
              <w:rPr>
                <w:rFonts w:hint="eastAsia" w:ascii="宋体" w:hAnsi="宋体" w:eastAsia="宋体" w:cs="宋体"/>
                <w:color w:val="auto"/>
                <w:kern w:val="0"/>
                <w:sz w:val="21"/>
                <w:lang w:eastAsia="zh-CN"/>
              </w:rPr>
              <w:t>职业卫生技术服务机构类别</w:t>
            </w:r>
          </w:p>
        </w:tc>
        <w:tc>
          <w:tcPr>
            <w:tcW w:w="494" w:type="dxa"/>
            <w:gridSpan w:val="2"/>
            <w:vMerge w:val="restart"/>
            <w:tcBorders>
              <w:left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lang w:eastAsia="zh-CN"/>
              </w:rPr>
            </w:pPr>
            <w:r>
              <w:rPr>
                <w:rFonts w:hint="eastAsia" w:ascii="宋体" w:hAnsi="宋体" w:eastAsia="宋体" w:cs="宋体"/>
                <w:color w:val="auto"/>
                <w:kern w:val="0"/>
                <w:sz w:val="21"/>
                <w:lang w:eastAsia="zh-CN"/>
              </w:rPr>
              <w:t>辖区单位数</w:t>
            </w:r>
          </w:p>
        </w:tc>
        <w:tc>
          <w:tcPr>
            <w:tcW w:w="462" w:type="dxa"/>
            <w:vMerge w:val="restart"/>
            <w:tcBorders>
              <w:left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lang w:eastAsia="zh-CN"/>
              </w:rPr>
            </w:pPr>
            <w:r>
              <w:rPr>
                <w:rFonts w:hint="eastAsia" w:ascii="宋体" w:hAnsi="宋体" w:eastAsia="宋体" w:cs="宋体"/>
                <w:color w:val="auto"/>
                <w:kern w:val="0"/>
                <w:sz w:val="21"/>
                <w:lang w:eastAsia="zh-CN"/>
              </w:rPr>
              <w:t>抽查单位数</w:t>
            </w:r>
          </w:p>
        </w:tc>
        <w:tc>
          <w:tcPr>
            <w:tcW w:w="481" w:type="dxa"/>
            <w:gridSpan w:val="2"/>
            <w:vMerge w:val="restart"/>
            <w:tcBorders>
              <w:left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lang w:eastAsia="zh-CN"/>
              </w:rPr>
            </w:pPr>
            <w:r>
              <w:rPr>
                <w:rFonts w:hint="eastAsia" w:ascii="宋体" w:hAnsi="宋体" w:eastAsia="宋体" w:cs="宋体"/>
                <w:color w:val="auto"/>
                <w:kern w:val="0"/>
                <w:sz w:val="21"/>
                <w:lang w:eastAsia="zh-CN"/>
              </w:rPr>
              <w:t>不合格单位数</w:t>
            </w:r>
          </w:p>
        </w:tc>
        <w:tc>
          <w:tcPr>
            <w:tcW w:w="9064" w:type="dxa"/>
            <w:gridSpan w:val="7"/>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lang w:val="en-US" w:eastAsia="zh-CN"/>
              </w:rPr>
            </w:pPr>
            <w:r>
              <w:rPr>
                <w:rFonts w:hint="eastAsia" w:ascii="宋体" w:hAnsi="宋体" w:eastAsia="宋体" w:cs="宋体"/>
                <w:color w:val="auto"/>
                <w:kern w:val="0"/>
                <w:sz w:val="21"/>
                <w:lang w:val="en-US" w:eastAsia="zh-CN"/>
              </w:rPr>
              <w:t>不合格情况</w:t>
            </w:r>
          </w:p>
        </w:tc>
        <w:tc>
          <w:tcPr>
            <w:tcW w:w="3130" w:type="dxa"/>
            <w:gridSpan w:val="4"/>
            <w:tcBorders>
              <w:top w:val="single" w:color="auto" w:sz="4" w:space="0"/>
              <w:left w:val="nil"/>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lang w:eastAsia="zh-CN"/>
              </w:rPr>
            </w:pPr>
            <w:r>
              <w:rPr>
                <w:rFonts w:hint="eastAsia" w:ascii="宋体" w:hAnsi="宋体" w:eastAsia="宋体" w:cs="宋体"/>
                <w:color w:val="auto"/>
                <w:kern w:val="0"/>
                <w:sz w:val="21"/>
                <w:lang w:eastAsia="zh-CN"/>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78" w:type="dxa"/>
            <w:vMerge w:val="continue"/>
            <w:tcBorders>
              <w:left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494" w:type="dxa"/>
            <w:gridSpan w:val="2"/>
            <w:vMerge w:val="continue"/>
            <w:tcBorders>
              <w:left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462" w:type="dxa"/>
            <w:vMerge w:val="continue"/>
            <w:tcBorders>
              <w:left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481" w:type="dxa"/>
            <w:gridSpan w:val="2"/>
            <w:vMerge w:val="continue"/>
            <w:tcBorders>
              <w:left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2987" w:type="dxa"/>
            <w:gridSpan w:val="2"/>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资质证书</w:t>
            </w:r>
          </w:p>
        </w:tc>
        <w:tc>
          <w:tcPr>
            <w:tcW w:w="1545" w:type="dxa"/>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资质条件</w:t>
            </w:r>
          </w:p>
        </w:tc>
        <w:tc>
          <w:tcPr>
            <w:tcW w:w="4532" w:type="dxa"/>
            <w:gridSpan w:val="4"/>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技术服务规范性</w:t>
            </w:r>
          </w:p>
        </w:tc>
        <w:tc>
          <w:tcPr>
            <w:tcW w:w="687" w:type="dxa"/>
            <w:vMerge w:val="restart"/>
            <w:tcBorders>
              <w:top w:val="single" w:color="auto" w:sz="4" w:space="0"/>
              <w:left w:val="nil"/>
              <w:right w:val="single" w:color="auto" w:sz="4" w:space="0"/>
              <w:tl2br w:val="nil"/>
              <w:tr2bl w:val="nil"/>
            </w:tcBorders>
            <w:noWrap w:val="0"/>
            <w:vAlign w:val="center"/>
          </w:tcPr>
          <w:p>
            <w:pPr>
              <w:adjustRightInd w:val="0"/>
              <w:snapToGrid w:val="0"/>
              <w:spacing w:beforeLines="0" w:afterLines="0"/>
              <w:ind w:left="-166" w:leftChars="-50" w:right="-166" w:rightChars="-50"/>
              <w:jc w:val="center"/>
              <w:rPr>
                <w:rFonts w:hint="eastAsia" w:ascii="宋体" w:hAnsi="宋体" w:eastAsia="宋体" w:cs="宋体"/>
                <w:color w:val="auto"/>
                <w:kern w:val="0"/>
                <w:sz w:val="21"/>
              </w:rPr>
            </w:pPr>
            <w:r>
              <w:rPr>
                <w:rFonts w:hint="eastAsia" w:ascii="宋体" w:hAnsi="宋体" w:eastAsia="宋体" w:cs="宋体"/>
                <w:color w:val="auto"/>
                <w:kern w:val="0"/>
                <w:sz w:val="21"/>
              </w:rPr>
              <w:t>案件</w:t>
            </w:r>
          </w:p>
          <w:p>
            <w:pPr>
              <w:adjustRightInd w:val="0"/>
              <w:snapToGrid w:val="0"/>
              <w:spacing w:beforeLines="0" w:afterLines="0"/>
              <w:ind w:left="-166" w:leftChars="-50" w:right="-166" w:rightChars="-50"/>
              <w:jc w:val="center"/>
              <w:rPr>
                <w:rFonts w:hint="eastAsia" w:ascii="宋体" w:hAnsi="宋体" w:eastAsia="宋体" w:cs="宋体"/>
                <w:color w:val="auto"/>
                <w:kern w:val="0"/>
                <w:sz w:val="21"/>
              </w:rPr>
            </w:pPr>
            <w:r>
              <w:rPr>
                <w:rFonts w:hint="eastAsia" w:ascii="宋体" w:hAnsi="宋体" w:eastAsia="宋体" w:cs="宋体"/>
                <w:color w:val="auto"/>
                <w:kern w:val="0"/>
                <w:sz w:val="21"/>
              </w:rPr>
              <w:t>查处数</w:t>
            </w:r>
          </w:p>
        </w:tc>
        <w:tc>
          <w:tcPr>
            <w:tcW w:w="834" w:type="dxa"/>
            <w:vMerge w:val="restart"/>
            <w:tcBorders>
              <w:top w:val="single" w:color="auto" w:sz="4" w:space="0"/>
              <w:left w:val="nil"/>
              <w:right w:val="single" w:color="auto" w:sz="4" w:space="0"/>
              <w:tl2br w:val="nil"/>
              <w:tr2bl w:val="nil"/>
            </w:tcBorders>
            <w:noWrap w:val="0"/>
            <w:vAlign w:val="center"/>
          </w:tcPr>
          <w:p>
            <w:pPr>
              <w:adjustRightInd w:val="0"/>
              <w:snapToGrid w:val="0"/>
              <w:spacing w:beforeLines="0" w:afterLines="0"/>
              <w:ind w:left="-166" w:leftChars="-50" w:right="-166" w:rightChars="-50"/>
              <w:jc w:val="center"/>
              <w:rPr>
                <w:rFonts w:hint="eastAsia" w:ascii="宋体" w:hAnsi="宋体" w:eastAsia="宋体" w:cs="宋体"/>
                <w:color w:val="auto"/>
                <w:kern w:val="0"/>
                <w:sz w:val="21"/>
              </w:rPr>
            </w:pPr>
            <w:r>
              <w:rPr>
                <w:rFonts w:hint="eastAsia" w:ascii="宋体" w:hAnsi="宋体" w:eastAsia="宋体" w:cs="宋体"/>
                <w:color w:val="auto"/>
                <w:kern w:val="0"/>
                <w:sz w:val="21"/>
              </w:rPr>
              <w:t>警告</w:t>
            </w:r>
          </w:p>
          <w:p>
            <w:pPr>
              <w:adjustRightInd w:val="0"/>
              <w:snapToGrid w:val="0"/>
              <w:spacing w:beforeLines="0" w:afterLines="0"/>
              <w:ind w:left="-166" w:leftChars="-50" w:right="-166" w:rightChars="-50"/>
              <w:jc w:val="center"/>
              <w:rPr>
                <w:rFonts w:hint="eastAsia" w:ascii="宋体" w:hAnsi="宋体" w:eastAsia="宋体" w:cs="宋体"/>
                <w:color w:val="auto"/>
                <w:kern w:val="0"/>
                <w:sz w:val="21"/>
              </w:rPr>
            </w:pPr>
            <w:r>
              <w:rPr>
                <w:rFonts w:hint="eastAsia" w:ascii="宋体" w:hAnsi="宋体" w:eastAsia="宋体" w:cs="宋体"/>
                <w:color w:val="auto"/>
                <w:kern w:val="0"/>
                <w:sz w:val="21"/>
              </w:rPr>
              <w:t>单位数</w:t>
            </w:r>
          </w:p>
        </w:tc>
        <w:tc>
          <w:tcPr>
            <w:tcW w:w="856" w:type="dxa"/>
            <w:vMerge w:val="restart"/>
            <w:tcBorders>
              <w:top w:val="single" w:color="auto" w:sz="4" w:space="0"/>
              <w:left w:val="nil"/>
              <w:right w:val="single" w:color="auto" w:sz="4" w:space="0"/>
              <w:tl2br w:val="nil"/>
              <w:tr2bl w:val="nil"/>
            </w:tcBorders>
            <w:noWrap w:val="0"/>
            <w:vAlign w:val="center"/>
          </w:tcPr>
          <w:p>
            <w:pPr>
              <w:adjustRightInd w:val="0"/>
              <w:snapToGrid w:val="0"/>
              <w:spacing w:beforeLines="0" w:afterLines="0"/>
              <w:ind w:left="-166" w:leftChars="-50" w:right="-166" w:rightChars="-50"/>
              <w:jc w:val="center"/>
              <w:rPr>
                <w:rFonts w:hint="eastAsia" w:ascii="宋体" w:hAnsi="宋体" w:eastAsia="宋体" w:cs="宋体"/>
                <w:color w:val="auto"/>
                <w:kern w:val="0"/>
                <w:sz w:val="21"/>
              </w:rPr>
            </w:pPr>
            <w:r>
              <w:rPr>
                <w:rFonts w:hint="eastAsia" w:ascii="宋体" w:hAnsi="宋体" w:eastAsia="宋体" w:cs="宋体"/>
                <w:color w:val="auto"/>
                <w:kern w:val="0"/>
                <w:sz w:val="21"/>
              </w:rPr>
              <w:t>罚款</w:t>
            </w:r>
          </w:p>
          <w:p>
            <w:pPr>
              <w:adjustRightInd w:val="0"/>
              <w:snapToGrid w:val="0"/>
              <w:spacing w:beforeLines="0" w:afterLines="0"/>
              <w:ind w:left="-166" w:leftChars="-50" w:right="-166" w:rightChars="-50"/>
              <w:jc w:val="center"/>
              <w:rPr>
                <w:rFonts w:hint="eastAsia" w:ascii="宋体" w:hAnsi="宋体" w:eastAsia="宋体" w:cs="宋体"/>
                <w:color w:val="auto"/>
                <w:kern w:val="0"/>
                <w:sz w:val="21"/>
              </w:rPr>
            </w:pPr>
            <w:r>
              <w:rPr>
                <w:rFonts w:hint="eastAsia" w:ascii="宋体" w:hAnsi="宋体" w:eastAsia="宋体" w:cs="宋体"/>
                <w:color w:val="auto"/>
                <w:kern w:val="0"/>
                <w:sz w:val="21"/>
              </w:rPr>
              <w:t>（万元）</w:t>
            </w:r>
          </w:p>
        </w:tc>
        <w:tc>
          <w:tcPr>
            <w:tcW w:w="753" w:type="dxa"/>
            <w:vMerge w:val="restart"/>
            <w:tcBorders>
              <w:top w:val="single" w:color="auto" w:sz="4" w:space="0"/>
              <w:left w:val="nil"/>
              <w:right w:val="single" w:color="auto" w:sz="4" w:space="0"/>
              <w:tl2br w:val="nil"/>
              <w:tr2bl w:val="nil"/>
            </w:tcBorders>
            <w:noWrap w:val="0"/>
            <w:vAlign w:val="center"/>
          </w:tcPr>
          <w:p>
            <w:pPr>
              <w:adjustRightInd w:val="0"/>
              <w:snapToGrid w:val="0"/>
              <w:spacing w:beforeLines="0" w:afterLines="0"/>
              <w:ind w:left="-166" w:leftChars="-50" w:right="-166" w:rightChars="-50"/>
              <w:jc w:val="center"/>
              <w:rPr>
                <w:rFonts w:hint="eastAsia" w:ascii="宋体" w:hAnsi="宋体" w:eastAsia="宋体" w:cs="宋体"/>
                <w:color w:val="auto"/>
                <w:kern w:val="0"/>
                <w:sz w:val="21"/>
              </w:rPr>
            </w:pPr>
            <w:r>
              <w:rPr>
                <w:rFonts w:hint="eastAsia" w:ascii="宋体" w:hAnsi="宋体" w:eastAsia="宋体" w:cs="宋体"/>
                <w:color w:val="auto"/>
                <w:kern w:val="0"/>
                <w:sz w:val="21"/>
              </w:rPr>
              <w:t>没收</w:t>
            </w:r>
          </w:p>
          <w:p>
            <w:pPr>
              <w:adjustRightInd w:val="0"/>
              <w:snapToGrid w:val="0"/>
              <w:spacing w:beforeLines="0" w:afterLines="0"/>
              <w:ind w:left="-166" w:leftChars="-50" w:right="-166" w:rightChars="-50"/>
              <w:jc w:val="center"/>
              <w:rPr>
                <w:rFonts w:hint="eastAsia" w:ascii="宋体" w:hAnsi="宋体" w:eastAsia="宋体" w:cs="宋体"/>
                <w:color w:val="auto"/>
                <w:kern w:val="0"/>
                <w:sz w:val="21"/>
              </w:rPr>
            </w:pPr>
            <w:r>
              <w:rPr>
                <w:rFonts w:hint="eastAsia" w:ascii="宋体" w:hAnsi="宋体" w:eastAsia="宋体" w:cs="宋体"/>
                <w:color w:val="auto"/>
                <w:kern w:val="0"/>
                <w:sz w:val="21"/>
              </w:rPr>
              <w:t>违法</w:t>
            </w:r>
          </w:p>
          <w:p>
            <w:pPr>
              <w:adjustRightInd w:val="0"/>
              <w:snapToGrid w:val="0"/>
              <w:spacing w:beforeLines="0" w:afterLines="0"/>
              <w:ind w:left="-166" w:leftChars="-50" w:right="-166" w:rightChars="-50"/>
              <w:jc w:val="center"/>
              <w:rPr>
                <w:rFonts w:hint="eastAsia" w:ascii="宋体" w:hAnsi="宋体" w:eastAsia="宋体" w:cs="宋体"/>
                <w:color w:val="auto"/>
                <w:kern w:val="0"/>
                <w:sz w:val="21"/>
              </w:rPr>
            </w:pPr>
            <w:r>
              <w:rPr>
                <w:rFonts w:hint="eastAsia" w:ascii="宋体" w:hAnsi="宋体" w:eastAsia="宋体" w:cs="宋体"/>
                <w:color w:val="auto"/>
                <w:kern w:val="0"/>
                <w:sz w:val="21"/>
              </w:rPr>
              <w:t>所得</w:t>
            </w:r>
          </w:p>
          <w:p>
            <w:pPr>
              <w:adjustRightInd w:val="0"/>
              <w:snapToGrid w:val="0"/>
              <w:spacing w:beforeLines="0" w:afterLines="0"/>
              <w:ind w:left="-66" w:leftChars="-20" w:right="-66"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jc w:val="center"/>
        </w:trPr>
        <w:tc>
          <w:tcPr>
            <w:tcW w:w="478" w:type="dxa"/>
            <w:vMerge w:val="continue"/>
            <w:tcBorders>
              <w:left w:val="single" w:color="auto" w:sz="4" w:space="0"/>
              <w:right w:val="single" w:color="auto" w:sz="4" w:space="0"/>
              <w:tl2br w:val="nil"/>
              <w:tr2bl w:val="nil"/>
            </w:tcBorders>
            <w:noWrap w:val="0"/>
            <w:vAlign w:val="center"/>
          </w:tcPr>
          <w:p>
            <w:pPr>
              <w:adjustRightInd w:val="0"/>
              <w:snapToGrid w:val="0"/>
              <w:spacing w:beforeLines="0" w:afterLines="0"/>
              <w:ind w:left="-166" w:leftChars="-50" w:right="-166" w:rightChars="-50"/>
              <w:jc w:val="center"/>
              <w:rPr>
                <w:rFonts w:hint="eastAsia" w:ascii="宋体" w:hAnsi="宋体" w:eastAsia="宋体" w:cs="宋体"/>
                <w:color w:val="auto"/>
                <w:kern w:val="0"/>
                <w:sz w:val="21"/>
              </w:rPr>
            </w:pPr>
          </w:p>
        </w:tc>
        <w:tc>
          <w:tcPr>
            <w:tcW w:w="494" w:type="dxa"/>
            <w:gridSpan w:val="2"/>
            <w:vMerge w:val="continue"/>
            <w:tcBorders>
              <w:left w:val="single" w:color="auto" w:sz="4" w:space="0"/>
              <w:right w:val="single" w:color="auto" w:sz="4" w:space="0"/>
              <w:tl2br w:val="nil"/>
              <w:tr2bl w:val="nil"/>
            </w:tcBorders>
            <w:noWrap w:val="0"/>
            <w:vAlign w:val="center"/>
          </w:tcPr>
          <w:p>
            <w:pPr>
              <w:adjustRightInd w:val="0"/>
              <w:snapToGrid w:val="0"/>
              <w:spacing w:beforeLines="0" w:afterLines="0"/>
              <w:ind w:left="-166" w:leftChars="-50" w:right="-166" w:rightChars="-50"/>
              <w:jc w:val="center"/>
              <w:rPr>
                <w:rFonts w:hint="eastAsia" w:ascii="宋体" w:hAnsi="宋体" w:eastAsia="宋体" w:cs="宋体"/>
                <w:color w:val="auto"/>
                <w:kern w:val="0"/>
                <w:sz w:val="21"/>
              </w:rPr>
            </w:pPr>
          </w:p>
        </w:tc>
        <w:tc>
          <w:tcPr>
            <w:tcW w:w="462" w:type="dxa"/>
            <w:vMerge w:val="continue"/>
            <w:tcBorders>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166" w:leftChars="-50" w:right="-166" w:rightChars="-50"/>
              <w:jc w:val="center"/>
              <w:rPr>
                <w:rFonts w:hint="eastAsia" w:ascii="宋体" w:hAnsi="宋体" w:eastAsia="宋体" w:cs="宋体"/>
                <w:color w:val="auto"/>
                <w:kern w:val="0"/>
                <w:sz w:val="21"/>
              </w:rPr>
            </w:pPr>
          </w:p>
        </w:tc>
        <w:tc>
          <w:tcPr>
            <w:tcW w:w="481" w:type="dxa"/>
            <w:gridSpan w:val="2"/>
            <w:vMerge w:val="continue"/>
            <w:tcBorders>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166" w:leftChars="-50" w:right="-166" w:rightChars="-50"/>
              <w:jc w:val="center"/>
              <w:rPr>
                <w:rFonts w:hint="eastAsia" w:ascii="宋体" w:hAnsi="宋体" w:eastAsia="宋体" w:cs="宋体"/>
                <w:color w:val="auto"/>
                <w:kern w:val="0"/>
                <w:sz w:val="21"/>
              </w:rPr>
            </w:pPr>
          </w:p>
        </w:tc>
        <w:tc>
          <w:tcPr>
            <w:tcW w:w="1252" w:type="dxa"/>
            <w:tcBorders>
              <w:top w:val="single" w:color="auto" w:sz="4" w:space="0"/>
              <w:left w:val="nil"/>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无资质擅自从事检测、评价服务单位数</w:t>
            </w:r>
          </w:p>
        </w:tc>
        <w:tc>
          <w:tcPr>
            <w:tcW w:w="1735" w:type="dxa"/>
            <w:tcBorders>
              <w:top w:val="single" w:color="auto" w:sz="4" w:space="0"/>
              <w:left w:val="nil"/>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涂改、倒卖、出租、出借或其他形式非法转让资质证书单位数</w:t>
            </w:r>
          </w:p>
        </w:tc>
        <w:tc>
          <w:tcPr>
            <w:tcW w:w="1545" w:type="dxa"/>
            <w:tcBorders>
              <w:top w:val="single" w:color="auto" w:sz="4" w:space="0"/>
              <w:left w:val="nil"/>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已经取得资质的机构不再继续符合资质条件单位数</w:t>
            </w:r>
          </w:p>
        </w:tc>
        <w:tc>
          <w:tcPr>
            <w:tcW w:w="1325" w:type="dxa"/>
            <w:tcBorders>
              <w:top w:val="single" w:color="auto" w:sz="4" w:space="0"/>
              <w:left w:val="nil"/>
              <w:right w:val="single" w:color="auto" w:sz="4" w:space="0"/>
              <w:tl2br w:val="nil"/>
              <w:tr2bl w:val="nil"/>
            </w:tcBorders>
            <w:noWrap w:val="0"/>
            <w:vAlign w:val="center"/>
          </w:tcPr>
          <w:p>
            <w:pPr>
              <w:adjustRightInd w:val="0"/>
              <w:snapToGrid w:val="0"/>
              <w:spacing w:beforeLines="0" w:afterLines="0"/>
              <w:ind w:left="-166" w:leftChars="-50" w:right="-166" w:rightChars="-50"/>
              <w:jc w:val="center"/>
              <w:rPr>
                <w:rFonts w:hint="eastAsia" w:ascii="宋体" w:hAnsi="宋体" w:eastAsia="宋体" w:cs="宋体"/>
                <w:color w:val="auto"/>
                <w:kern w:val="0"/>
                <w:sz w:val="21"/>
              </w:rPr>
            </w:pPr>
            <w:r>
              <w:rPr>
                <w:rFonts w:hint="eastAsia" w:ascii="宋体" w:hAnsi="宋体" w:eastAsia="宋体" w:cs="宋体"/>
                <w:color w:val="auto"/>
                <w:kern w:val="0"/>
                <w:sz w:val="21"/>
              </w:rPr>
              <w:t>超出资质认可范围从事职业卫生技术服务单位数</w:t>
            </w:r>
          </w:p>
        </w:tc>
        <w:tc>
          <w:tcPr>
            <w:tcW w:w="897" w:type="dxa"/>
            <w:tcBorders>
              <w:top w:val="single" w:color="auto" w:sz="4" w:space="0"/>
              <w:left w:val="nil"/>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出具虚假证明文件单位数</w:t>
            </w:r>
          </w:p>
        </w:tc>
        <w:tc>
          <w:tcPr>
            <w:tcW w:w="1118" w:type="dxa"/>
            <w:tcBorders>
              <w:top w:val="single" w:color="auto" w:sz="4" w:space="0"/>
              <w:left w:val="nil"/>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不符合技术服务相关工作要求单位数</w:t>
            </w:r>
          </w:p>
        </w:tc>
        <w:tc>
          <w:tcPr>
            <w:tcW w:w="1192" w:type="dxa"/>
            <w:tcBorders>
              <w:top w:val="single" w:color="auto" w:sz="4" w:space="0"/>
              <w:left w:val="nil"/>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不符合专业技术人员管理要求单位数</w:t>
            </w:r>
          </w:p>
        </w:tc>
        <w:tc>
          <w:tcPr>
            <w:tcW w:w="687" w:type="dxa"/>
            <w:vMerge w:val="continue"/>
            <w:tcBorders>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834" w:type="dxa"/>
            <w:vMerge w:val="continue"/>
            <w:tcBorders>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856" w:type="dxa"/>
            <w:vMerge w:val="continue"/>
            <w:tcBorders>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753" w:type="dxa"/>
            <w:vMerge w:val="continue"/>
            <w:tcBorders>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甲级</w:t>
            </w:r>
          </w:p>
        </w:tc>
        <w:tc>
          <w:tcPr>
            <w:tcW w:w="490" w:type="dxa"/>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rPr>
                <w:rFonts w:hint="eastAsia" w:ascii="宋体" w:hAnsi="宋体" w:eastAsia="宋体" w:cs="宋体"/>
                <w:color w:val="auto"/>
                <w:kern w:val="0"/>
                <w:sz w:val="21"/>
              </w:rPr>
            </w:pPr>
          </w:p>
        </w:tc>
        <w:tc>
          <w:tcPr>
            <w:tcW w:w="470" w:type="dxa"/>
            <w:gridSpan w:val="2"/>
            <w:tcBorders>
              <w:top w:val="single" w:color="auto" w:sz="4" w:space="0"/>
              <w:left w:val="nil"/>
              <w:bottom w:val="single" w:color="auto" w:sz="4" w:space="0"/>
              <w:right w:val="single" w:color="auto" w:sz="4" w:space="0"/>
              <w:tl2br w:val="nil"/>
              <w:tr2bl w:val="nil"/>
            </w:tcBorders>
            <w:noWrap w:val="0"/>
            <w:vAlign w:val="top"/>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473" w:type="dxa"/>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1252" w:type="dxa"/>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1735" w:type="dxa"/>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1545" w:type="dxa"/>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1325" w:type="dxa"/>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897" w:type="dxa"/>
            <w:tcBorders>
              <w:top w:val="single" w:color="auto" w:sz="4" w:space="0"/>
              <w:left w:val="nil"/>
              <w:bottom w:val="single" w:color="auto" w:sz="4" w:space="0"/>
              <w:right w:val="single" w:color="auto" w:sz="4" w:space="0"/>
              <w:tl2br w:val="nil"/>
              <w:tr2bl w:val="nil"/>
            </w:tcBorders>
            <w:noWrap w:val="0"/>
            <w:vAlign w:val="top"/>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1118" w:type="dxa"/>
            <w:tcBorders>
              <w:top w:val="single" w:color="auto" w:sz="4" w:space="0"/>
              <w:left w:val="nil"/>
              <w:bottom w:val="single" w:color="auto" w:sz="4" w:space="0"/>
              <w:right w:val="single" w:color="auto" w:sz="4" w:space="0"/>
              <w:tl2br w:val="nil"/>
              <w:tr2bl w:val="nil"/>
            </w:tcBorders>
            <w:noWrap w:val="0"/>
            <w:vAlign w:val="top"/>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1192" w:type="dxa"/>
            <w:tcBorders>
              <w:top w:val="single" w:color="auto" w:sz="4" w:space="0"/>
              <w:left w:val="nil"/>
              <w:bottom w:val="single" w:color="auto" w:sz="4" w:space="0"/>
              <w:right w:val="single" w:color="auto" w:sz="4" w:space="0"/>
              <w:tl2br w:val="nil"/>
              <w:tr2bl w:val="nil"/>
            </w:tcBorders>
            <w:noWrap w:val="0"/>
            <w:vAlign w:val="top"/>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687" w:type="dxa"/>
            <w:tcBorders>
              <w:top w:val="single" w:color="auto" w:sz="4" w:space="0"/>
              <w:left w:val="nil"/>
              <w:bottom w:val="single" w:color="auto" w:sz="4" w:space="0"/>
              <w:right w:val="single" w:color="auto" w:sz="4" w:space="0"/>
              <w:tl2br w:val="nil"/>
              <w:tr2bl w:val="nil"/>
            </w:tcBorders>
            <w:noWrap w:val="0"/>
            <w:vAlign w:val="top"/>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834" w:type="dxa"/>
            <w:tcBorders>
              <w:top w:val="single" w:color="auto" w:sz="4" w:space="0"/>
              <w:left w:val="nil"/>
              <w:bottom w:val="single" w:color="auto" w:sz="4" w:space="0"/>
              <w:right w:val="single" w:color="auto" w:sz="4" w:space="0"/>
              <w:tl2br w:val="nil"/>
              <w:tr2bl w:val="nil"/>
            </w:tcBorders>
            <w:noWrap w:val="0"/>
            <w:vAlign w:val="top"/>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856" w:type="dxa"/>
            <w:tcBorders>
              <w:top w:val="single" w:color="auto" w:sz="4" w:space="0"/>
              <w:left w:val="nil"/>
              <w:bottom w:val="single" w:color="auto" w:sz="4" w:space="0"/>
              <w:right w:val="single" w:color="auto" w:sz="4" w:space="0"/>
              <w:tl2br w:val="nil"/>
              <w:tr2bl w:val="nil"/>
            </w:tcBorders>
            <w:noWrap w:val="0"/>
            <w:vAlign w:val="top"/>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753" w:type="dxa"/>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4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乙级</w:t>
            </w:r>
          </w:p>
        </w:tc>
        <w:tc>
          <w:tcPr>
            <w:tcW w:w="490" w:type="dxa"/>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470" w:type="dxa"/>
            <w:gridSpan w:val="2"/>
            <w:tcBorders>
              <w:top w:val="single" w:color="auto" w:sz="4" w:space="0"/>
              <w:left w:val="nil"/>
              <w:bottom w:val="single" w:color="auto" w:sz="4" w:space="0"/>
              <w:right w:val="single" w:color="auto" w:sz="4" w:space="0"/>
              <w:tl2br w:val="nil"/>
              <w:tr2bl w:val="nil"/>
            </w:tcBorders>
            <w:noWrap w:val="0"/>
            <w:vAlign w:val="top"/>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473" w:type="dxa"/>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1252" w:type="dxa"/>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1735" w:type="dxa"/>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1545" w:type="dxa"/>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1325" w:type="dxa"/>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897" w:type="dxa"/>
            <w:tcBorders>
              <w:top w:val="single" w:color="auto" w:sz="4" w:space="0"/>
              <w:left w:val="nil"/>
              <w:bottom w:val="single" w:color="auto" w:sz="4" w:space="0"/>
              <w:right w:val="single" w:color="auto" w:sz="4" w:space="0"/>
              <w:tl2br w:val="nil"/>
              <w:tr2bl w:val="nil"/>
            </w:tcBorders>
            <w:noWrap w:val="0"/>
            <w:vAlign w:val="top"/>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1118" w:type="dxa"/>
            <w:tcBorders>
              <w:top w:val="single" w:color="auto" w:sz="4" w:space="0"/>
              <w:left w:val="nil"/>
              <w:bottom w:val="single" w:color="auto" w:sz="4" w:space="0"/>
              <w:right w:val="single" w:color="auto" w:sz="4" w:space="0"/>
              <w:tl2br w:val="nil"/>
              <w:tr2bl w:val="nil"/>
            </w:tcBorders>
            <w:noWrap w:val="0"/>
            <w:vAlign w:val="top"/>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1192" w:type="dxa"/>
            <w:tcBorders>
              <w:top w:val="single" w:color="auto" w:sz="4" w:space="0"/>
              <w:left w:val="nil"/>
              <w:bottom w:val="single" w:color="auto" w:sz="4" w:space="0"/>
              <w:right w:val="single" w:color="auto" w:sz="4" w:space="0"/>
              <w:tl2br w:val="nil"/>
              <w:tr2bl w:val="nil"/>
            </w:tcBorders>
            <w:noWrap w:val="0"/>
            <w:vAlign w:val="top"/>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687" w:type="dxa"/>
            <w:tcBorders>
              <w:top w:val="single" w:color="auto" w:sz="4" w:space="0"/>
              <w:left w:val="nil"/>
              <w:bottom w:val="single" w:color="auto" w:sz="4" w:space="0"/>
              <w:right w:val="single" w:color="auto" w:sz="4" w:space="0"/>
              <w:tl2br w:val="nil"/>
              <w:tr2bl w:val="nil"/>
            </w:tcBorders>
            <w:noWrap w:val="0"/>
            <w:vAlign w:val="top"/>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834" w:type="dxa"/>
            <w:tcBorders>
              <w:top w:val="single" w:color="auto" w:sz="4" w:space="0"/>
              <w:left w:val="nil"/>
              <w:bottom w:val="single" w:color="auto" w:sz="4" w:space="0"/>
              <w:right w:val="single" w:color="auto" w:sz="4" w:space="0"/>
              <w:tl2br w:val="nil"/>
              <w:tr2bl w:val="nil"/>
            </w:tcBorders>
            <w:noWrap w:val="0"/>
            <w:vAlign w:val="top"/>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856" w:type="dxa"/>
            <w:tcBorders>
              <w:top w:val="single" w:color="auto" w:sz="4" w:space="0"/>
              <w:left w:val="nil"/>
              <w:bottom w:val="single" w:color="auto" w:sz="4" w:space="0"/>
              <w:right w:val="single" w:color="auto" w:sz="4" w:space="0"/>
              <w:tl2br w:val="nil"/>
              <w:tr2bl w:val="nil"/>
            </w:tcBorders>
            <w:noWrap w:val="0"/>
            <w:vAlign w:val="top"/>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753" w:type="dxa"/>
            <w:tcBorders>
              <w:top w:val="single" w:color="auto" w:sz="4" w:space="0"/>
              <w:left w:val="nil"/>
              <w:bottom w:val="single" w:color="auto" w:sz="4" w:space="0"/>
              <w:right w:val="single" w:color="auto" w:sz="4" w:space="0"/>
              <w:tl2br w:val="nil"/>
              <w:tr2bl w:val="nil"/>
            </w:tcBorders>
            <w:noWrap w:val="0"/>
            <w:vAlign w:val="top"/>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4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r>
              <w:rPr>
                <w:rFonts w:hint="eastAsia" w:ascii="宋体" w:hAnsi="宋体" w:eastAsia="宋体" w:cs="宋体"/>
                <w:color w:val="auto"/>
                <w:kern w:val="0"/>
                <w:sz w:val="21"/>
              </w:rPr>
              <w:t>合计</w:t>
            </w:r>
          </w:p>
        </w:tc>
        <w:tc>
          <w:tcPr>
            <w:tcW w:w="490" w:type="dxa"/>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470" w:type="dxa"/>
            <w:gridSpan w:val="2"/>
            <w:tcBorders>
              <w:top w:val="single" w:color="auto" w:sz="4" w:space="0"/>
              <w:left w:val="nil"/>
              <w:bottom w:val="single" w:color="auto" w:sz="4" w:space="0"/>
              <w:right w:val="single" w:color="auto" w:sz="4" w:space="0"/>
              <w:tl2br w:val="nil"/>
              <w:tr2bl w:val="nil"/>
            </w:tcBorders>
            <w:noWrap w:val="0"/>
            <w:vAlign w:val="top"/>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473" w:type="dxa"/>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1252" w:type="dxa"/>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1735" w:type="dxa"/>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1545" w:type="dxa"/>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1325" w:type="dxa"/>
            <w:tcBorders>
              <w:top w:val="single" w:color="auto" w:sz="4" w:space="0"/>
              <w:left w:val="nil"/>
              <w:bottom w:val="single" w:color="auto" w:sz="4" w:space="0"/>
              <w:right w:val="single" w:color="auto" w:sz="4" w:space="0"/>
              <w:tl2br w:val="nil"/>
              <w:tr2bl w:val="nil"/>
            </w:tcBorders>
            <w:noWrap w:val="0"/>
            <w:vAlign w:val="center"/>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897" w:type="dxa"/>
            <w:tcBorders>
              <w:top w:val="single" w:color="auto" w:sz="4" w:space="0"/>
              <w:left w:val="nil"/>
              <w:bottom w:val="single" w:color="auto" w:sz="4" w:space="0"/>
              <w:right w:val="single" w:color="auto" w:sz="4" w:space="0"/>
              <w:tl2br w:val="nil"/>
              <w:tr2bl w:val="nil"/>
            </w:tcBorders>
            <w:noWrap w:val="0"/>
            <w:vAlign w:val="top"/>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1118" w:type="dxa"/>
            <w:tcBorders>
              <w:top w:val="single" w:color="auto" w:sz="4" w:space="0"/>
              <w:left w:val="nil"/>
              <w:bottom w:val="single" w:color="auto" w:sz="4" w:space="0"/>
              <w:right w:val="single" w:color="auto" w:sz="4" w:space="0"/>
              <w:tl2br w:val="nil"/>
              <w:tr2bl w:val="nil"/>
            </w:tcBorders>
            <w:noWrap w:val="0"/>
            <w:vAlign w:val="top"/>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1192" w:type="dxa"/>
            <w:tcBorders>
              <w:top w:val="single" w:color="auto" w:sz="4" w:space="0"/>
              <w:left w:val="nil"/>
              <w:bottom w:val="single" w:color="auto" w:sz="4" w:space="0"/>
              <w:right w:val="single" w:color="auto" w:sz="4" w:space="0"/>
              <w:tl2br w:val="nil"/>
              <w:tr2bl w:val="nil"/>
            </w:tcBorders>
            <w:noWrap w:val="0"/>
            <w:vAlign w:val="top"/>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687" w:type="dxa"/>
            <w:tcBorders>
              <w:top w:val="single" w:color="auto" w:sz="4" w:space="0"/>
              <w:left w:val="nil"/>
              <w:bottom w:val="single" w:color="auto" w:sz="4" w:space="0"/>
              <w:right w:val="single" w:color="auto" w:sz="4" w:space="0"/>
              <w:tl2br w:val="nil"/>
              <w:tr2bl w:val="nil"/>
            </w:tcBorders>
            <w:noWrap w:val="0"/>
            <w:vAlign w:val="top"/>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834" w:type="dxa"/>
            <w:tcBorders>
              <w:top w:val="single" w:color="auto" w:sz="4" w:space="0"/>
              <w:left w:val="nil"/>
              <w:bottom w:val="single" w:color="auto" w:sz="4" w:space="0"/>
              <w:right w:val="single" w:color="auto" w:sz="4" w:space="0"/>
              <w:tl2br w:val="nil"/>
              <w:tr2bl w:val="nil"/>
            </w:tcBorders>
            <w:noWrap w:val="0"/>
            <w:vAlign w:val="top"/>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856" w:type="dxa"/>
            <w:tcBorders>
              <w:top w:val="single" w:color="auto" w:sz="4" w:space="0"/>
              <w:left w:val="nil"/>
              <w:bottom w:val="single" w:color="auto" w:sz="4" w:space="0"/>
              <w:right w:val="single" w:color="auto" w:sz="4" w:space="0"/>
              <w:tl2br w:val="nil"/>
              <w:tr2bl w:val="nil"/>
            </w:tcBorders>
            <w:noWrap w:val="0"/>
            <w:vAlign w:val="top"/>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c>
          <w:tcPr>
            <w:tcW w:w="753" w:type="dxa"/>
            <w:tcBorders>
              <w:top w:val="single" w:color="auto" w:sz="4" w:space="0"/>
              <w:left w:val="nil"/>
              <w:bottom w:val="single" w:color="auto" w:sz="4" w:space="0"/>
              <w:right w:val="single" w:color="auto" w:sz="4" w:space="0"/>
              <w:tl2br w:val="nil"/>
              <w:tr2bl w:val="nil"/>
            </w:tcBorders>
            <w:noWrap w:val="0"/>
            <w:vAlign w:val="top"/>
          </w:tcPr>
          <w:p>
            <w:pPr>
              <w:adjustRightInd w:val="0"/>
              <w:snapToGrid w:val="0"/>
              <w:spacing w:beforeLines="0" w:afterLines="0"/>
              <w:ind w:left="-66" w:leftChars="-20" w:right="-66" w:rightChars="-20"/>
              <w:jc w:val="center"/>
              <w:rPr>
                <w:rFonts w:hint="eastAsia" w:ascii="宋体" w:hAnsi="宋体" w:eastAsia="宋体" w:cs="宋体"/>
                <w:color w:val="auto"/>
                <w:kern w:val="0"/>
                <w:sz w:val="21"/>
              </w:rPr>
            </w:pPr>
          </w:p>
        </w:tc>
      </w:tr>
    </w:tbl>
    <w:p>
      <w:pPr>
        <w:spacing w:beforeLines="0" w:afterLines="0"/>
        <w:jc w:val="center"/>
        <w:rPr>
          <w:rFonts w:hint="eastAsia" w:ascii="仿宋_GB2312" w:hAnsi="宋体"/>
          <w:b/>
          <w:color w:val="auto"/>
          <w:sz w:val="28"/>
        </w:rPr>
      </w:pPr>
    </w:p>
    <w:p>
      <w:pPr>
        <w:spacing w:beforeLines="0" w:afterLines="0"/>
        <w:ind w:firstLine="584" w:firstLineChars="200"/>
        <w:rPr>
          <w:rFonts w:hint="eastAsia" w:ascii="宋体" w:hAnsi="宋体" w:eastAsia="宋体" w:cs="宋体"/>
          <w:b/>
          <w:color w:val="auto"/>
          <w:sz w:val="32"/>
        </w:rPr>
      </w:pPr>
      <w:r>
        <w:rPr>
          <w:rFonts w:hint="eastAsia" w:ascii="宋体" w:hAnsi="宋体" w:eastAsia="宋体" w:cs="宋体"/>
          <w:b/>
          <w:color w:val="auto"/>
          <w:sz w:val="28"/>
        </w:rPr>
        <w:t>填报单位：                             填报人：                  联系电话：</w:t>
      </w:r>
    </w:p>
    <w:p>
      <w:pPr>
        <w:spacing w:before="217" w:beforeLines="50" w:after="217" w:afterLines="50"/>
        <w:outlineLvl w:val="1"/>
        <w:rPr>
          <w:rFonts w:hint="default"/>
          <w:color w:val="auto"/>
          <w:sz w:val="21"/>
        </w:rPr>
      </w:pPr>
    </w:p>
    <w:p>
      <w:pPr>
        <w:spacing w:beforeLines="0" w:afterLines="0" w:line="240" w:lineRule="exact"/>
        <w:ind w:right="-1015" w:rightChars="-306"/>
        <w:rPr>
          <w:rFonts w:hint="default" w:ascii="￥ﾍﾎ￦ﾖﾇ￤ﾻ﾿￥ﾮﾋ" w:hAnsi="￥ﾍﾎ￦ﾖﾇ￤ﾻ﾿￥ﾮﾋ" w:eastAsia="￥ﾍﾎ￦ﾖﾇ￤ﾻ﾿￥ﾮﾋ"/>
          <w:sz w:val="21"/>
        </w:rPr>
      </w:pPr>
    </w:p>
    <w:p>
      <w:pPr>
        <w:spacing w:beforeLines="0" w:afterLines="0" w:line="240" w:lineRule="exact"/>
        <w:ind w:right="-1015" w:rightChars="-306"/>
        <w:rPr>
          <w:rFonts w:hint="default" w:ascii="￥ﾍﾎ￦ﾖﾇ￤ﾻ﾿￥ﾮﾋ" w:hAnsi="￥ﾍﾎ￦ﾖﾇ￤ﾻ﾿￥ﾮﾋ" w:eastAsia="￥ﾍﾎ￦ﾖﾇ￤ﾻ﾿￥ﾮﾋ"/>
          <w:sz w:val="21"/>
        </w:rPr>
      </w:pPr>
    </w:p>
    <w:p>
      <w:pPr>
        <w:spacing w:beforeLines="0" w:afterLines="0" w:line="240" w:lineRule="exact"/>
        <w:ind w:right="-1015" w:rightChars="-306"/>
        <w:rPr>
          <w:rFonts w:hint="default" w:ascii="￥ﾍﾎ￦ﾖﾇ￤ﾻ﾿￥ﾮﾋ" w:hAnsi="￥ﾍﾎ￦ﾖﾇ￤ﾻ﾿￥ﾮﾋ" w:eastAsia="￥ﾍﾎ￦ﾖﾇ￤ﾻ﾿￥ﾮﾋ"/>
          <w:sz w:val="21"/>
        </w:rPr>
        <w:sectPr>
          <w:pgSz w:w="16838" w:h="11906" w:orient="landscape"/>
          <w:pgMar w:top="720" w:right="720" w:bottom="720" w:left="720" w:header="851" w:footer="992" w:gutter="0"/>
          <w:pgBorders w:offsetFrom="page">
            <w:top w:val="none" w:sz="0" w:space="0"/>
            <w:left w:val="none" w:sz="0" w:space="0"/>
            <w:bottom w:val="none" w:sz="0" w:space="0"/>
            <w:right w:val="none" w:sz="0" w:space="0"/>
          </w:pgBorders>
          <w:lnNumType w:countBy="0" w:distance="360"/>
          <w:cols w:space="720" w:num="1"/>
          <w:docGrid w:type="linesAndChars" w:linePitch="437" w:charSpace="2555"/>
        </w:sectPr>
      </w:pPr>
    </w:p>
    <w:p/>
    <w:sectPr>
      <w:footerReference r:id="rId5" w:type="default"/>
      <w:pgSz w:w="11905" w:h="16838"/>
      <w:pgMar w:top="1440" w:right="1559" w:bottom="1440" w:left="1559" w:header="283" w:footer="283" w:gutter="0"/>
      <w:pgBorders w:offsetFrom="page">
        <w:top w:val="none" w:sz="0" w:space="0"/>
        <w:left w:val="none" w:sz="0" w:space="0"/>
        <w:bottom w:val="none" w:sz="0" w:space="0"/>
        <w:right w:val="none" w:sz="0" w:space="0"/>
      </w:pgBorders>
      <w:cols w:space="72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auto"/>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楷体_GB2312">
    <w:altName w:val="方正楷体_GBK"/>
    <w:panose1 w:val="02010609030101010101"/>
    <w:charset w:val="00"/>
    <w:family w:val="modern"/>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楷体">
    <w:altName w:val="方正楷体_GBK"/>
    <w:panose1 w:val="02010609060101010101"/>
    <w:charset w:val="00"/>
    <w:family w:val="auto"/>
    <w:pitch w:val="default"/>
    <w:sig w:usb0="00000000" w:usb1="00000000" w:usb2="00000016" w:usb3="00000000" w:csb0="00040001" w:csb1="00000000"/>
  </w:font>
  <w:font w:name="￥ﾍﾎ￦ﾖﾇ￤ﾻ﾿￥ﾮﾋ">
    <w:altName w:val="Noto Serif CJK JP"/>
    <w:panose1 w:val="02010600040101010101"/>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erif CJK JP">
    <w:panose1 w:val="02020400000000000000"/>
    <w:charset w:val="86"/>
    <w:family w:val="auto"/>
    <w:pitch w:val="default"/>
    <w:sig w:usb0="3000008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jc w:val="center"/>
      <w:rPr>
        <w:rFonts w:hint="default"/>
        <w:sz w:val="18"/>
      </w:rPr>
    </w:pPr>
    <w:r>
      <w:rPr>
        <w:rFonts w:hint="default"/>
        <w:sz w:val="18"/>
      </w:rPr>
      <w:fldChar w:fldCharType="begin"/>
    </w:r>
    <w:r>
      <w:rPr>
        <w:rFonts w:hint="default"/>
        <w:sz w:val="18"/>
      </w:rPr>
      <w:instrText xml:space="preserve">PAGE   \* MERGEFORMAT</w:instrText>
    </w:r>
    <w:r>
      <w:rPr>
        <w:rFonts w:hint="default"/>
        <w:sz w:val="18"/>
      </w:rPr>
      <w:fldChar w:fldCharType="separate"/>
    </w:r>
    <w:r>
      <w:rPr>
        <w:rFonts w:hint="default"/>
        <w:sz w:val="18"/>
        <w:lang w:val="zh-CN"/>
      </w:rPr>
      <w:t>1</w:t>
    </w:r>
    <w:r>
      <w:rPr>
        <w:rFonts w:hint="default"/>
        <w:sz w:val="18"/>
        <w:lang w:val="zh-CN"/>
      </w:rPr>
      <w:fldChar w:fldCharType="end"/>
    </w:r>
  </w:p>
  <w:p>
    <w:pPr>
      <w:pStyle w:val="5"/>
      <w:spacing w:beforeLines="0" w:afterLines="0"/>
      <w:rPr>
        <w:rFonts w:hint="default"/>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jc w:val="center"/>
      <w:rPr>
        <w:rFonts w:hint="default"/>
        <w:sz w:val="18"/>
      </w:rPr>
    </w:pPr>
    <w:r>
      <w:rPr>
        <w:rFonts w:hint="default"/>
        <w:sz w:val="18"/>
      </w:rPr>
      <w:fldChar w:fldCharType="begin"/>
    </w:r>
    <w:r>
      <w:rPr>
        <w:rFonts w:hint="default"/>
        <w:sz w:val="18"/>
      </w:rPr>
      <w:instrText xml:space="preserve">PAGE   \* MERGEFORMAT</w:instrText>
    </w:r>
    <w:r>
      <w:rPr>
        <w:rFonts w:hint="default"/>
        <w:sz w:val="18"/>
      </w:rPr>
      <w:fldChar w:fldCharType="separate"/>
    </w:r>
    <w:r>
      <w:rPr>
        <w:rFonts w:hint="default"/>
        <w:sz w:val="18"/>
        <w:lang w:val="zh-CN"/>
      </w:rPr>
      <w:t>48</w:t>
    </w:r>
    <w:r>
      <w:rPr>
        <w:rFonts w:hint="default"/>
        <w:sz w:val="18"/>
        <w:lang w:val="zh-CN"/>
      </w:rPr>
      <w:fldChar w:fldCharType="end"/>
    </w:r>
  </w:p>
  <w:p>
    <w:pPr>
      <w:spacing w:beforeLines="0" w:afterLines="0"/>
      <w:rPr>
        <w:rFonts w:hint="default"/>
        <w:sz w:val="3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spacing w:beforeLines="0" w:afterLines="0"/>
      <w:rPr>
        <w:rFonts w:hint="default"/>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FC6D85"/>
    <w:multiLevelType w:val="multilevel"/>
    <w:tmpl w:val="5DFC6D85"/>
    <w:lvl w:ilvl="0" w:tentative="0">
      <w:start w:val="2"/>
      <w:numFmt w:val="chineseCounting"/>
      <w:suff w:val="nothing"/>
      <w:lvlText w:val="%1、"/>
      <w:lvlJc w:val="left"/>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drawingGridHorizontalSpacing w:val="161"/>
  <w:drawingGridVerticalSpacing w:val="22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BC7"/>
    <w:rsid w:val="000566AF"/>
    <w:rsid w:val="00065E39"/>
    <w:rsid w:val="000B20C5"/>
    <w:rsid w:val="000B7575"/>
    <w:rsid w:val="000C647A"/>
    <w:rsid w:val="000F19EC"/>
    <w:rsid w:val="001131CD"/>
    <w:rsid w:val="00117A34"/>
    <w:rsid w:val="001431F2"/>
    <w:rsid w:val="00172ADC"/>
    <w:rsid w:val="00182F97"/>
    <w:rsid w:val="0018374C"/>
    <w:rsid w:val="00185C39"/>
    <w:rsid w:val="00192793"/>
    <w:rsid w:val="0020598F"/>
    <w:rsid w:val="002302E2"/>
    <w:rsid w:val="002437D9"/>
    <w:rsid w:val="00274FD5"/>
    <w:rsid w:val="002A3404"/>
    <w:rsid w:val="0033029F"/>
    <w:rsid w:val="00344090"/>
    <w:rsid w:val="00392A30"/>
    <w:rsid w:val="003B6B2A"/>
    <w:rsid w:val="003B7190"/>
    <w:rsid w:val="003D0CA4"/>
    <w:rsid w:val="003D2B2B"/>
    <w:rsid w:val="003E5C74"/>
    <w:rsid w:val="003E72FA"/>
    <w:rsid w:val="0042348E"/>
    <w:rsid w:val="00442F12"/>
    <w:rsid w:val="00444A95"/>
    <w:rsid w:val="00444D58"/>
    <w:rsid w:val="0046142E"/>
    <w:rsid w:val="00465527"/>
    <w:rsid w:val="00480B19"/>
    <w:rsid w:val="004A04C6"/>
    <w:rsid w:val="004C27BE"/>
    <w:rsid w:val="004C2971"/>
    <w:rsid w:val="004D63AB"/>
    <w:rsid w:val="004F21A2"/>
    <w:rsid w:val="004F79E4"/>
    <w:rsid w:val="0054534A"/>
    <w:rsid w:val="0055474B"/>
    <w:rsid w:val="00595FFA"/>
    <w:rsid w:val="00596ECE"/>
    <w:rsid w:val="00597DD5"/>
    <w:rsid w:val="005E4F09"/>
    <w:rsid w:val="006143F3"/>
    <w:rsid w:val="0062569C"/>
    <w:rsid w:val="006350BD"/>
    <w:rsid w:val="00651334"/>
    <w:rsid w:val="00671EAA"/>
    <w:rsid w:val="006732CD"/>
    <w:rsid w:val="006C4861"/>
    <w:rsid w:val="006D7D21"/>
    <w:rsid w:val="00700D71"/>
    <w:rsid w:val="00705972"/>
    <w:rsid w:val="00720B6A"/>
    <w:rsid w:val="00747543"/>
    <w:rsid w:val="007573F5"/>
    <w:rsid w:val="007A09E6"/>
    <w:rsid w:val="007C0336"/>
    <w:rsid w:val="007F6F3C"/>
    <w:rsid w:val="008009DD"/>
    <w:rsid w:val="00816B8F"/>
    <w:rsid w:val="008211A0"/>
    <w:rsid w:val="00827707"/>
    <w:rsid w:val="0086708C"/>
    <w:rsid w:val="008B1A2C"/>
    <w:rsid w:val="008C7C8B"/>
    <w:rsid w:val="008D5528"/>
    <w:rsid w:val="00904692"/>
    <w:rsid w:val="00922CEC"/>
    <w:rsid w:val="009235D5"/>
    <w:rsid w:val="00925479"/>
    <w:rsid w:val="0093230D"/>
    <w:rsid w:val="009415B6"/>
    <w:rsid w:val="009458EB"/>
    <w:rsid w:val="00971B0E"/>
    <w:rsid w:val="009A2BD1"/>
    <w:rsid w:val="009B4F09"/>
    <w:rsid w:val="009F5B14"/>
    <w:rsid w:val="00A36256"/>
    <w:rsid w:val="00A71A86"/>
    <w:rsid w:val="00A85A8B"/>
    <w:rsid w:val="00AB06E8"/>
    <w:rsid w:val="00B1045D"/>
    <w:rsid w:val="00B252A7"/>
    <w:rsid w:val="00B63616"/>
    <w:rsid w:val="00B748BC"/>
    <w:rsid w:val="00BB6575"/>
    <w:rsid w:val="00C1658E"/>
    <w:rsid w:val="00C17F56"/>
    <w:rsid w:val="00C32EA5"/>
    <w:rsid w:val="00C37FCF"/>
    <w:rsid w:val="00C5326E"/>
    <w:rsid w:val="00C617C0"/>
    <w:rsid w:val="00CB0E40"/>
    <w:rsid w:val="00CB4F78"/>
    <w:rsid w:val="00CF2559"/>
    <w:rsid w:val="00CF6CD1"/>
    <w:rsid w:val="00D46C5D"/>
    <w:rsid w:val="00D91381"/>
    <w:rsid w:val="00E22884"/>
    <w:rsid w:val="00E27E49"/>
    <w:rsid w:val="00E33018"/>
    <w:rsid w:val="00E74F39"/>
    <w:rsid w:val="00ED1187"/>
    <w:rsid w:val="00ED2F2D"/>
    <w:rsid w:val="00F02D52"/>
    <w:rsid w:val="00F314AD"/>
    <w:rsid w:val="00F33CEC"/>
    <w:rsid w:val="00F474C1"/>
    <w:rsid w:val="00F56977"/>
    <w:rsid w:val="00F70B97"/>
    <w:rsid w:val="00F8139F"/>
    <w:rsid w:val="00F95B11"/>
    <w:rsid w:val="00F96001"/>
    <w:rsid w:val="00F961B9"/>
    <w:rsid w:val="00FC5193"/>
    <w:rsid w:val="00FC6E4B"/>
    <w:rsid w:val="00FF4B49"/>
    <w:rsid w:val="02AD1715"/>
    <w:rsid w:val="02D90BF5"/>
    <w:rsid w:val="037C16D6"/>
    <w:rsid w:val="05096702"/>
    <w:rsid w:val="05A34B8C"/>
    <w:rsid w:val="092416C4"/>
    <w:rsid w:val="093A1F0F"/>
    <w:rsid w:val="0AB044DA"/>
    <w:rsid w:val="0DA65985"/>
    <w:rsid w:val="0F580B51"/>
    <w:rsid w:val="0F873ED1"/>
    <w:rsid w:val="0FB477AB"/>
    <w:rsid w:val="10FE747F"/>
    <w:rsid w:val="1125475A"/>
    <w:rsid w:val="121B6A80"/>
    <w:rsid w:val="13236DDF"/>
    <w:rsid w:val="143F27A8"/>
    <w:rsid w:val="149F0DFC"/>
    <w:rsid w:val="154F768C"/>
    <w:rsid w:val="16315E68"/>
    <w:rsid w:val="17ED7516"/>
    <w:rsid w:val="18167DE7"/>
    <w:rsid w:val="181E7883"/>
    <w:rsid w:val="183D4C4A"/>
    <w:rsid w:val="1A012D9E"/>
    <w:rsid w:val="1A643C5B"/>
    <w:rsid w:val="1AFF1ADD"/>
    <w:rsid w:val="1BE941B5"/>
    <w:rsid w:val="1CFFA33D"/>
    <w:rsid w:val="1E9248A2"/>
    <w:rsid w:val="1EC91910"/>
    <w:rsid w:val="1F5A4EA2"/>
    <w:rsid w:val="1F6B9967"/>
    <w:rsid w:val="1FFE352C"/>
    <w:rsid w:val="22DE3C7F"/>
    <w:rsid w:val="235923D6"/>
    <w:rsid w:val="23DB5204"/>
    <w:rsid w:val="24536EFD"/>
    <w:rsid w:val="27F27B58"/>
    <w:rsid w:val="283769AC"/>
    <w:rsid w:val="2B3D67FD"/>
    <w:rsid w:val="2BF000A4"/>
    <w:rsid w:val="2C6848EE"/>
    <w:rsid w:val="2CE713EE"/>
    <w:rsid w:val="2CFB9A7E"/>
    <w:rsid w:val="2DF30593"/>
    <w:rsid w:val="2DF92A67"/>
    <w:rsid w:val="30092D77"/>
    <w:rsid w:val="308E7801"/>
    <w:rsid w:val="32096139"/>
    <w:rsid w:val="329E2170"/>
    <w:rsid w:val="346D3D0D"/>
    <w:rsid w:val="375202BD"/>
    <w:rsid w:val="37FDB560"/>
    <w:rsid w:val="38715DB1"/>
    <w:rsid w:val="391018E9"/>
    <w:rsid w:val="396037E6"/>
    <w:rsid w:val="39E43671"/>
    <w:rsid w:val="3A9314F4"/>
    <w:rsid w:val="3B080392"/>
    <w:rsid w:val="3B7243E2"/>
    <w:rsid w:val="3C334623"/>
    <w:rsid w:val="3C667AA0"/>
    <w:rsid w:val="3DFA1FEB"/>
    <w:rsid w:val="3EFF1C11"/>
    <w:rsid w:val="3EFF2FAC"/>
    <w:rsid w:val="3FF7D842"/>
    <w:rsid w:val="3FFD41D0"/>
    <w:rsid w:val="3FFFBA71"/>
    <w:rsid w:val="406640F1"/>
    <w:rsid w:val="40C2612C"/>
    <w:rsid w:val="432E04DD"/>
    <w:rsid w:val="466A6CFA"/>
    <w:rsid w:val="46D26802"/>
    <w:rsid w:val="46FD7D2D"/>
    <w:rsid w:val="47B56E8B"/>
    <w:rsid w:val="47FF73FC"/>
    <w:rsid w:val="48B23945"/>
    <w:rsid w:val="49490846"/>
    <w:rsid w:val="4A7807D2"/>
    <w:rsid w:val="4BBC1069"/>
    <w:rsid w:val="4BFF6F7C"/>
    <w:rsid w:val="4EB17C31"/>
    <w:rsid w:val="4F1F1299"/>
    <w:rsid w:val="4F67794D"/>
    <w:rsid w:val="4FD7149E"/>
    <w:rsid w:val="4FDBC286"/>
    <w:rsid w:val="507150CB"/>
    <w:rsid w:val="52560DD5"/>
    <w:rsid w:val="533F26D5"/>
    <w:rsid w:val="55F172FB"/>
    <w:rsid w:val="56CFA50E"/>
    <w:rsid w:val="57A94720"/>
    <w:rsid w:val="58AA29B6"/>
    <w:rsid w:val="5B59085E"/>
    <w:rsid w:val="5BF1D830"/>
    <w:rsid w:val="5DAF9CE3"/>
    <w:rsid w:val="5DAFCF4D"/>
    <w:rsid w:val="5DBF70FD"/>
    <w:rsid w:val="5E144F6B"/>
    <w:rsid w:val="5F0465CD"/>
    <w:rsid w:val="602D40D8"/>
    <w:rsid w:val="634264A2"/>
    <w:rsid w:val="6402054A"/>
    <w:rsid w:val="64097E92"/>
    <w:rsid w:val="64722E82"/>
    <w:rsid w:val="64BB4D80"/>
    <w:rsid w:val="668D2E4E"/>
    <w:rsid w:val="66EE3C98"/>
    <w:rsid w:val="66FFA9E0"/>
    <w:rsid w:val="684634D7"/>
    <w:rsid w:val="68933625"/>
    <w:rsid w:val="697835B2"/>
    <w:rsid w:val="69FF809F"/>
    <w:rsid w:val="6B875B44"/>
    <w:rsid w:val="6C4318A3"/>
    <w:rsid w:val="6DBBE534"/>
    <w:rsid w:val="6FF8D79B"/>
    <w:rsid w:val="714F114B"/>
    <w:rsid w:val="71F63175"/>
    <w:rsid w:val="72E6FDCB"/>
    <w:rsid w:val="74EE729E"/>
    <w:rsid w:val="75F5A3E3"/>
    <w:rsid w:val="76C15778"/>
    <w:rsid w:val="76FFA940"/>
    <w:rsid w:val="77771DA1"/>
    <w:rsid w:val="7777DCAC"/>
    <w:rsid w:val="77D64F37"/>
    <w:rsid w:val="77E92F5A"/>
    <w:rsid w:val="77F11C72"/>
    <w:rsid w:val="77F74BB4"/>
    <w:rsid w:val="77FF7335"/>
    <w:rsid w:val="78BBB42B"/>
    <w:rsid w:val="79113003"/>
    <w:rsid w:val="79241EDF"/>
    <w:rsid w:val="79B915B5"/>
    <w:rsid w:val="79FFB683"/>
    <w:rsid w:val="7ABFCE51"/>
    <w:rsid w:val="7AEA6C4D"/>
    <w:rsid w:val="7B6D0BE6"/>
    <w:rsid w:val="7B7236EC"/>
    <w:rsid w:val="7BBE9E2A"/>
    <w:rsid w:val="7BBFC151"/>
    <w:rsid w:val="7BFE5638"/>
    <w:rsid w:val="7BFFCBBC"/>
    <w:rsid w:val="7CEBE8CC"/>
    <w:rsid w:val="7D6B5E70"/>
    <w:rsid w:val="7DBF5BB1"/>
    <w:rsid w:val="7DFBB3A2"/>
    <w:rsid w:val="7DFF1E9B"/>
    <w:rsid w:val="7E1C1167"/>
    <w:rsid w:val="7E980EBB"/>
    <w:rsid w:val="7E9A9FC6"/>
    <w:rsid w:val="7EF75881"/>
    <w:rsid w:val="7F685CE2"/>
    <w:rsid w:val="7FDB93D3"/>
    <w:rsid w:val="7FDD4BFD"/>
    <w:rsid w:val="7FE751E5"/>
    <w:rsid w:val="7FFB9E6A"/>
    <w:rsid w:val="9F9C2ADD"/>
    <w:rsid w:val="9FFDC13D"/>
    <w:rsid w:val="9FFF4704"/>
    <w:rsid w:val="AEC6E640"/>
    <w:rsid w:val="AEEAA218"/>
    <w:rsid w:val="B56BBD16"/>
    <w:rsid w:val="B7EEDEDA"/>
    <w:rsid w:val="BBBFCE11"/>
    <w:rsid w:val="BCF6AE52"/>
    <w:rsid w:val="BDED0878"/>
    <w:rsid w:val="BDFF8292"/>
    <w:rsid w:val="BF7FFE6C"/>
    <w:rsid w:val="BFFB0456"/>
    <w:rsid w:val="BFFDE1F7"/>
    <w:rsid w:val="C769BE17"/>
    <w:rsid w:val="CAFF9929"/>
    <w:rsid w:val="DBD778EE"/>
    <w:rsid w:val="DE7F87E5"/>
    <w:rsid w:val="DFF72D80"/>
    <w:rsid w:val="DFF93CD6"/>
    <w:rsid w:val="E2EDC839"/>
    <w:rsid w:val="E35D8FD1"/>
    <w:rsid w:val="E7BF97E2"/>
    <w:rsid w:val="EAEB89BE"/>
    <w:rsid w:val="EECF47A0"/>
    <w:rsid w:val="EF9A8693"/>
    <w:rsid w:val="EFDF8742"/>
    <w:rsid w:val="F35F6F7B"/>
    <w:rsid w:val="F373ADBC"/>
    <w:rsid w:val="F5D7C388"/>
    <w:rsid w:val="F77E5D02"/>
    <w:rsid w:val="F77FDE13"/>
    <w:rsid w:val="F7DF49DF"/>
    <w:rsid w:val="F95DB365"/>
    <w:rsid w:val="FABF0B2E"/>
    <w:rsid w:val="FB0EBB25"/>
    <w:rsid w:val="FB7E63A9"/>
    <w:rsid w:val="FBFBB4DB"/>
    <w:rsid w:val="FBFFAFB8"/>
    <w:rsid w:val="FCD5A777"/>
    <w:rsid w:val="FD9E74E9"/>
    <w:rsid w:val="FE3BD92A"/>
    <w:rsid w:val="FED5B177"/>
    <w:rsid w:val="FEFB9E7B"/>
    <w:rsid w:val="FEFFF1C3"/>
    <w:rsid w:val="FF1BA2D2"/>
    <w:rsid w:val="FF93E5E3"/>
    <w:rsid w:val="FF94BF43"/>
    <w:rsid w:val="FFA7F691"/>
    <w:rsid w:val="FFDF2F83"/>
    <w:rsid w:val="FFEF36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1"/>
    <w:qFormat/>
    <w:uiPriority w:val="0"/>
    <w:pPr>
      <w:keepNext/>
      <w:keepLines/>
      <w:spacing w:before="340" w:after="330" w:line="578" w:lineRule="auto"/>
      <w:outlineLvl w:val="0"/>
    </w:pPr>
    <w:rPr>
      <w:rFonts w:eastAsia="黑体"/>
      <w:b/>
      <w:bCs/>
      <w:kern w:val="44"/>
      <w:szCs w:val="4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spacing w:beforeLines="0" w:afterLines="0"/>
      <w:jc w:val="left"/>
    </w:pPr>
    <w:rPr>
      <w:rFonts w:hint="default"/>
      <w:sz w:val="32"/>
    </w:rPr>
  </w:style>
  <w:style w:type="paragraph" w:styleId="4">
    <w:name w:val="Balloon Text"/>
    <w:basedOn w:val="1"/>
    <w:link w:val="12"/>
    <w:qFormat/>
    <w:uiPriority w:val="0"/>
    <w:rPr>
      <w:rFonts w:eastAsia="宋体"/>
      <w:sz w:val="18"/>
      <w:szCs w:val="18"/>
    </w:rPr>
  </w:style>
  <w:style w:type="paragraph" w:styleId="5">
    <w:name w:val="footer"/>
    <w:basedOn w:val="1"/>
    <w:link w:val="13"/>
    <w:qFormat/>
    <w:uiPriority w:val="99"/>
    <w:pPr>
      <w:tabs>
        <w:tab w:val="center" w:pos="4153"/>
        <w:tab w:val="right" w:pos="8306"/>
      </w:tabs>
      <w:snapToGrid w:val="0"/>
      <w:jc w:val="left"/>
    </w:pPr>
    <w:rPr>
      <w:rFonts w:eastAsia="宋体"/>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7">
    <w:name w:val="Subtitle"/>
    <w:basedOn w:val="1"/>
    <w:next w:val="1"/>
    <w:link w:val="15"/>
    <w:qFormat/>
    <w:uiPriority w:val="0"/>
    <w:pPr>
      <w:spacing w:before="240" w:after="60" w:line="312" w:lineRule="auto"/>
      <w:outlineLvl w:val="1"/>
    </w:pPr>
    <w:rPr>
      <w:rFonts w:ascii="Cambria" w:hAnsi="Cambria" w:eastAsia="楷体_GB2312"/>
      <w:b/>
      <w:bCs/>
      <w:kern w:val="28"/>
      <w:szCs w:val="32"/>
    </w:rPr>
  </w:style>
  <w:style w:type="character" w:styleId="10">
    <w:name w:val="page number"/>
    <w:basedOn w:val="9"/>
    <w:qFormat/>
    <w:uiPriority w:val="0"/>
  </w:style>
  <w:style w:type="character" w:customStyle="1" w:styleId="11">
    <w:name w:val="标题 1 Char"/>
    <w:link w:val="2"/>
    <w:qFormat/>
    <w:uiPriority w:val="0"/>
    <w:rPr>
      <w:rFonts w:eastAsia="黑体"/>
      <w:b/>
      <w:bCs/>
      <w:kern w:val="44"/>
      <w:sz w:val="32"/>
      <w:szCs w:val="44"/>
    </w:rPr>
  </w:style>
  <w:style w:type="character" w:customStyle="1" w:styleId="12">
    <w:name w:val="批注框文本 Char"/>
    <w:link w:val="4"/>
    <w:qFormat/>
    <w:uiPriority w:val="0"/>
    <w:rPr>
      <w:kern w:val="2"/>
      <w:sz w:val="18"/>
      <w:szCs w:val="18"/>
    </w:rPr>
  </w:style>
  <w:style w:type="character" w:customStyle="1" w:styleId="13">
    <w:name w:val="页脚 Char"/>
    <w:link w:val="5"/>
    <w:qFormat/>
    <w:uiPriority w:val="99"/>
    <w:rPr>
      <w:kern w:val="2"/>
      <w:sz w:val="18"/>
      <w:szCs w:val="18"/>
    </w:rPr>
  </w:style>
  <w:style w:type="character" w:customStyle="1" w:styleId="14">
    <w:name w:val="页眉 Char"/>
    <w:link w:val="6"/>
    <w:qFormat/>
    <w:uiPriority w:val="0"/>
    <w:rPr>
      <w:kern w:val="2"/>
      <w:sz w:val="18"/>
      <w:szCs w:val="18"/>
    </w:rPr>
  </w:style>
  <w:style w:type="character" w:customStyle="1" w:styleId="15">
    <w:name w:val="副标题 Char"/>
    <w:link w:val="7"/>
    <w:qFormat/>
    <w:uiPriority w:val="0"/>
    <w:rPr>
      <w:rFonts w:ascii="Cambria" w:hAnsi="Cambria" w:eastAsia="楷体_GB2312"/>
      <w:b/>
      <w:bCs/>
      <w:kern w:val="28"/>
      <w:sz w:val="32"/>
      <w:szCs w:val="32"/>
    </w:rPr>
  </w:style>
  <w:style w:type="paragraph" w:styleId="16">
    <w:name w:val="List Paragraph"/>
    <w:basedOn w:val="1"/>
    <w:unhideWhenUsed/>
    <w:qFormat/>
    <w:uiPriority w:val="99"/>
    <w:pPr>
      <w:spacing w:beforeLines="0" w:afterLines="0"/>
      <w:ind w:firstLine="420" w:firstLineChars="200"/>
    </w:pPr>
    <w:rPr>
      <w:rFonts w:hint="default"/>
      <w:sz w:val="32"/>
    </w:rPr>
  </w:style>
  <w:style w:type="paragraph" w:customStyle="1" w:styleId="17">
    <w:name w:val="样式1"/>
    <w:basedOn w:val="1"/>
    <w:qFormat/>
    <w:uiPriority w:val="0"/>
    <w:rPr>
      <w:rFonts w:ascii="仿宋_GB2312"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Powerise</Company>
  <Pages>2</Pages>
  <Words>17</Words>
  <Characters>99</Characters>
  <Lines>1</Lines>
  <Paragraphs>1</Paragraphs>
  <TotalTime>15</TotalTime>
  <ScaleCrop>false</ScaleCrop>
  <LinksUpToDate>false</LinksUpToDate>
  <CharactersWithSpaces>115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2013-07-17T14:22:00Z</dcterms:created>
  <dc:creator>vv</dc:creator>
  <cp:lastModifiedBy>wjw</cp:lastModifiedBy>
  <cp:lastPrinted>2021-03-31T01:13:00Z</cp:lastPrinted>
  <dcterms:modified xsi:type="dcterms:W3CDTF">2021-03-31T17:04:14Z</dcterms:modified>
  <dc:title>国家卫生健康委员会办公厅</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