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7EAE8" w14:textId="77777777" w:rsidR="00207628" w:rsidRDefault="00207628" w:rsidP="00151D7F">
      <w:pPr>
        <w:spacing w:line="360" w:lineRule="auto"/>
        <w:ind w:firstLineChars="200" w:firstLine="640"/>
        <w:rPr>
          <w:rFonts w:ascii="仿宋" w:eastAsia="仿宋" w:hAnsi="仿宋" w:cs="仿宋"/>
          <w:sz w:val="32"/>
          <w:szCs w:val="32"/>
        </w:rPr>
      </w:pPr>
    </w:p>
    <w:p w14:paraId="4E1B9973" w14:textId="77777777" w:rsidR="00B003F6" w:rsidRDefault="00B003F6" w:rsidP="00151D7F">
      <w:pPr>
        <w:spacing w:line="360" w:lineRule="auto"/>
        <w:ind w:firstLineChars="200" w:firstLine="640"/>
        <w:rPr>
          <w:rFonts w:ascii="仿宋" w:eastAsia="仿宋" w:hAnsi="仿宋" w:cs="仿宋"/>
          <w:sz w:val="32"/>
          <w:szCs w:val="32"/>
        </w:rPr>
      </w:pPr>
    </w:p>
    <w:p w14:paraId="13DAC272" w14:textId="77777777" w:rsidR="00B003F6" w:rsidRDefault="00B003F6" w:rsidP="00151D7F">
      <w:pPr>
        <w:spacing w:line="360" w:lineRule="auto"/>
        <w:ind w:firstLineChars="200" w:firstLine="640"/>
        <w:rPr>
          <w:rFonts w:ascii="仿宋" w:eastAsia="仿宋" w:hAnsi="仿宋" w:cs="仿宋"/>
          <w:sz w:val="32"/>
          <w:szCs w:val="32"/>
        </w:rPr>
      </w:pPr>
    </w:p>
    <w:p w14:paraId="4A6257F2" w14:textId="77777777" w:rsidR="00B003F6" w:rsidRDefault="00B003F6" w:rsidP="00151D7F">
      <w:pPr>
        <w:spacing w:line="360" w:lineRule="auto"/>
        <w:ind w:firstLineChars="200" w:firstLine="640"/>
        <w:rPr>
          <w:rFonts w:ascii="仿宋" w:eastAsia="仿宋" w:hAnsi="仿宋" w:cs="仿宋"/>
          <w:sz w:val="32"/>
          <w:szCs w:val="32"/>
        </w:rPr>
      </w:pPr>
    </w:p>
    <w:p w14:paraId="39D4B229" w14:textId="77777777" w:rsidR="00B003F6" w:rsidRDefault="00B003F6" w:rsidP="00151D7F">
      <w:pPr>
        <w:spacing w:line="360" w:lineRule="auto"/>
        <w:ind w:firstLineChars="200" w:firstLine="640"/>
        <w:rPr>
          <w:rFonts w:ascii="仿宋" w:eastAsia="仿宋" w:hAnsi="仿宋" w:cs="仿宋"/>
          <w:sz w:val="32"/>
          <w:szCs w:val="32"/>
        </w:rPr>
      </w:pPr>
    </w:p>
    <w:p w14:paraId="2FC3A12B" w14:textId="77777777" w:rsidR="00B003F6" w:rsidRDefault="00B003F6" w:rsidP="00B003F6">
      <w:pPr>
        <w:spacing w:line="360" w:lineRule="auto"/>
        <w:ind w:firstLineChars="200" w:firstLine="600"/>
        <w:rPr>
          <w:rFonts w:ascii="仿宋" w:eastAsia="仿宋" w:hAnsi="仿宋" w:cs="仿宋"/>
          <w:sz w:val="30"/>
          <w:szCs w:val="30"/>
        </w:rPr>
      </w:pPr>
    </w:p>
    <w:p w14:paraId="7F0AB307" w14:textId="77777777" w:rsidR="00B003F6" w:rsidRDefault="00B003F6" w:rsidP="00151D7F">
      <w:pPr>
        <w:spacing w:line="360" w:lineRule="auto"/>
        <w:ind w:firstLineChars="200" w:firstLine="640"/>
        <w:rPr>
          <w:rFonts w:ascii="仿宋" w:eastAsia="仿宋" w:hAnsi="仿宋" w:cs="仿宋"/>
          <w:sz w:val="32"/>
          <w:szCs w:val="32"/>
        </w:rPr>
      </w:pPr>
    </w:p>
    <w:p w14:paraId="58830D86" w14:textId="77777777" w:rsidR="00B003F6" w:rsidRDefault="00B003F6" w:rsidP="00151D7F">
      <w:pPr>
        <w:spacing w:line="360" w:lineRule="auto"/>
        <w:ind w:firstLineChars="200" w:firstLine="640"/>
        <w:rPr>
          <w:rFonts w:ascii="仿宋" w:eastAsia="仿宋" w:hAnsi="仿宋" w:cs="仿宋"/>
          <w:sz w:val="32"/>
          <w:szCs w:val="32"/>
        </w:rPr>
      </w:pPr>
    </w:p>
    <w:p w14:paraId="36AAC2CB" w14:textId="77777777" w:rsidR="00B003F6" w:rsidRDefault="00B003F6" w:rsidP="00151D7F">
      <w:pPr>
        <w:spacing w:line="360" w:lineRule="auto"/>
        <w:ind w:firstLineChars="200" w:firstLine="640"/>
        <w:rPr>
          <w:rFonts w:ascii="仿宋" w:eastAsia="仿宋" w:hAnsi="仿宋" w:cs="仿宋"/>
          <w:sz w:val="32"/>
          <w:szCs w:val="32"/>
        </w:rPr>
      </w:pPr>
    </w:p>
    <w:p w14:paraId="4FFFBBEA" w14:textId="77777777" w:rsidR="00B003F6" w:rsidRDefault="00B003F6" w:rsidP="00151D7F">
      <w:pPr>
        <w:spacing w:line="360" w:lineRule="auto"/>
        <w:ind w:firstLineChars="200" w:firstLine="640"/>
        <w:rPr>
          <w:rFonts w:ascii="仿宋" w:eastAsia="仿宋" w:hAnsi="仿宋" w:cs="仿宋"/>
          <w:sz w:val="32"/>
          <w:szCs w:val="32"/>
        </w:rPr>
      </w:pPr>
    </w:p>
    <w:p w14:paraId="20D8D581" w14:textId="77777777" w:rsidR="00B003F6" w:rsidRPr="00136FBE" w:rsidRDefault="00B003F6" w:rsidP="00B003F6">
      <w:pPr>
        <w:spacing w:line="360" w:lineRule="auto"/>
        <w:jc w:val="center"/>
        <w:rPr>
          <w:rFonts w:ascii="宋体" w:cs="Times New Roman"/>
          <w:b/>
          <w:bCs/>
          <w:sz w:val="48"/>
          <w:szCs w:val="48"/>
        </w:rPr>
      </w:pPr>
      <w:r w:rsidRPr="00136FBE">
        <w:rPr>
          <w:rFonts w:ascii="宋体" w:hAnsi="宋体" w:cs="宋体" w:hint="eastAsia"/>
          <w:b/>
          <w:bCs/>
          <w:sz w:val="48"/>
          <w:szCs w:val="48"/>
        </w:rPr>
        <w:t>新型抗肿瘤药物临床应用指导原则</w:t>
      </w:r>
    </w:p>
    <w:p w14:paraId="39837301" w14:textId="77777777" w:rsidR="00B003F6" w:rsidRPr="00136FBE" w:rsidRDefault="00B003F6" w:rsidP="00B003F6">
      <w:pPr>
        <w:spacing w:line="360" w:lineRule="auto"/>
        <w:jc w:val="center"/>
        <w:rPr>
          <w:rFonts w:ascii="宋体" w:cs="Times New Roman"/>
          <w:b/>
          <w:bCs/>
          <w:sz w:val="48"/>
          <w:szCs w:val="48"/>
        </w:rPr>
      </w:pPr>
      <w:r w:rsidRPr="00136FBE">
        <w:rPr>
          <w:rFonts w:ascii="宋体" w:hAnsi="宋体" w:cs="宋体" w:hint="eastAsia"/>
          <w:b/>
          <w:bCs/>
          <w:sz w:val="48"/>
          <w:szCs w:val="48"/>
        </w:rPr>
        <w:t>（</w:t>
      </w:r>
      <w:r w:rsidRPr="00136FBE">
        <w:rPr>
          <w:rFonts w:ascii="宋体" w:hAnsi="宋体" w:cs="宋体"/>
          <w:b/>
          <w:bCs/>
          <w:sz w:val="48"/>
          <w:szCs w:val="48"/>
        </w:rPr>
        <w:t>20</w:t>
      </w:r>
      <w:r w:rsidRPr="00136FBE">
        <w:rPr>
          <w:rFonts w:ascii="宋体" w:hAnsi="宋体" w:cs="宋体" w:hint="eastAsia"/>
          <w:b/>
          <w:bCs/>
          <w:sz w:val="48"/>
          <w:szCs w:val="48"/>
        </w:rPr>
        <w:t>20年版）</w:t>
      </w:r>
    </w:p>
    <w:p w14:paraId="02DFCF99" w14:textId="77777777" w:rsidR="00B003F6" w:rsidRPr="00136FBE" w:rsidRDefault="00B003F6" w:rsidP="00151D7F">
      <w:pPr>
        <w:spacing w:line="360" w:lineRule="auto"/>
        <w:ind w:firstLineChars="200" w:firstLine="640"/>
        <w:rPr>
          <w:rFonts w:ascii="仿宋" w:eastAsia="仿宋" w:hAnsi="仿宋" w:cs="仿宋"/>
          <w:sz w:val="32"/>
          <w:szCs w:val="32"/>
        </w:rPr>
      </w:pPr>
    </w:p>
    <w:p w14:paraId="5F2BD914" w14:textId="77777777" w:rsidR="00B003F6" w:rsidRPr="00136FBE" w:rsidRDefault="00B003F6" w:rsidP="00151D7F">
      <w:pPr>
        <w:spacing w:line="360" w:lineRule="auto"/>
        <w:ind w:firstLineChars="200" w:firstLine="640"/>
        <w:rPr>
          <w:rFonts w:ascii="仿宋" w:eastAsia="仿宋" w:hAnsi="仿宋" w:cs="仿宋"/>
          <w:sz w:val="32"/>
          <w:szCs w:val="32"/>
        </w:rPr>
      </w:pPr>
    </w:p>
    <w:p w14:paraId="3033AC76" w14:textId="77777777" w:rsidR="00B003F6" w:rsidRPr="00136FBE" w:rsidRDefault="00B003F6" w:rsidP="00151D7F">
      <w:pPr>
        <w:spacing w:line="360" w:lineRule="auto"/>
        <w:ind w:firstLineChars="200" w:firstLine="640"/>
        <w:rPr>
          <w:rFonts w:ascii="仿宋" w:eastAsia="仿宋" w:hAnsi="仿宋" w:cs="仿宋"/>
          <w:sz w:val="32"/>
          <w:szCs w:val="32"/>
        </w:rPr>
      </w:pPr>
    </w:p>
    <w:p w14:paraId="496BED54" w14:textId="77777777" w:rsidR="00B003F6" w:rsidRPr="00136FBE" w:rsidRDefault="00B003F6" w:rsidP="00151D7F">
      <w:pPr>
        <w:spacing w:line="360" w:lineRule="auto"/>
        <w:ind w:firstLineChars="200" w:firstLine="640"/>
        <w:rPr>
          <w:rFonts w:ascii="仿宋" w:eastAsia="仿宋" w:hAnsi="仿宋" w:cs="仿宋"/>
          <w:sz w:val="32"/>
          <w:szCs w:val="32"/>
        </w:rPr>
      </w:pPr>
    </w:p>
    <w:p w14:paraId="4C7C8DC6" w14:textId="77777777" w:rsidR="00B003F6" w:rsidRPr="00136FBE" w:rsidRDefault="00B003F6" w:rsidP="00151D7F">
      <w:pPr>
        <w:spacing w:line="360" w:lineRule="auto"/>
        <w:ind w:firstLineChars="200" w:firstLine="640"/>
        <w:rPr>
          <w:rFonts w:ascii="仿宋" w:eastAsia="仿宋" w:hAnsi="仿宋" w:cs="仿宋"/>
          <w:sz w:val="32"/>
          <w:szCs w:val="32"/>
        </w:rPr>
      </w:pPr>
    </w:p>
    <w:p w14:paraId="6157D219" w14:textId="77777777" w:rsidR="00B003F6" w:rsidRPr="00136FBE" w:rsidRDefault="00B003F6" w:rsidP="00151D7F">
      <w:pPr>
        <w:spacing w:line="360" w:lineRule="auto"/>
        <w:ind w:firstLineChars="200" w:firstLine="640"/>
        <w:rPr>
          <w:rFonts w:ascii="仿宋" w:eastAsia="仿宋" w:hAnsi="仿宋" w:cs="仿宋"/>
          <w:sz w:val="32"/>
          <w:szCs w:val="32"/>
        </w:rPr>
      </w:pPr>
    </w:p>
    <w:p w14:paraId="0123FBE0" w14:textId="77777777" w:rsidR="00B003F6" w:rsidRPr="00136FBE" w:rsidRDefault="00B003F6" w:rsidP="00151D7F">
      <w:pPr>
        <w:spacing w:line="360" w:lineRule="auto"/>
        <w:ind w:firstLineChars="200" w:firstLine="640"/>
        <w:rPr>
          <w:rFonts w:ascii="仿宋" w:eastAsia="仿宋" w:hAnsi="仿宋" w:cs="仿宋"/>
          <w:sz w:val="32"/>
          <w:szCs w:val="32"/>
        </w:rPr>
      </w:pPr>
    </w:p>
    <w:p w14:paraId="5C827E57" w14:textId="77777777" w:rsidR="00B003F6" w:rsidRPr="00136FBE" w:rsidRDefault="00B003F6" w:rsidP="00151D7F">
      <w:pPr>
        <w:spacing w:line="360" w:lineRule="auto"/>
        <w:ind w:firstLineChars="200" w:firstLine="640"/>
        <w:rPr>
          <w:rFonts w:ascii="仿宋" w:eastAsia="仿宋" w:hAnsi="仿宋" w:cs="仿宋"/>
          <w:sz w:val="32"/>
          <w:szCs w:val="32"/>
        </w:rPr>
      </w:pPr>
    </w:p>
    <w:p w14:paraId="1535B1C4" w14:textId="77777777" w:rsidR="00B003F6" w:rsidRPr="00136FBE" w:rsidRDefault="00B003F6" w:rsidP="00151D7F">
      <w:pPr>
        <w:spacing w:line="360" w:lineRule="auto"/>
        <w:ind w:firstLineChars="200" w:firstLine="640"/>
        <w:rPr>
          <w:rFonts w:ascii="仿宋" w:eastAsia="仿宋" w:hAnsi="仿宋" w:cs="仿宋"/>
          <w:sz w:val="32"/>
          <w:szCs w:val="32"/>
        </w:rPr>
      </w:pPr>
    </w:p>
    <w:p w14:paraId="47F16932" w14:textId="77777777" w:rsidR="00B003F6" w:rsidRPr="00136FBE" w:rsidRDefault="00B003F6" w:rsidP="00151D7F">
      <w:pPr>
        <w:spacing w:line="360" w:lineRule="auto"/>
        <w:ind w:firstLineChars="200" w:firstLine="640"/>
        <w:rPr>
          <w:rFonts w:ascii="仿宋" w:eastAsia="仿宋" w:hAnsi="仿宋" w:cs="仿宋"/>
          <w:sz w:val="32"/>
          <w:szCs w:val="32"/>
        </w:rPr>
      </w:pPr>
    </w:p>
    <w:p w14:paraId="135D7776" w14:textId="77777777" w:rsidR="00B23A40" w:rsidRPr="00136FBE" w:rsidRDefault="00DD1A0D">
      <w:pPr>
        <w:spacing w:line="360" w:lineRule="auto"/>
        <w:ind w:firstLineChars="200" w:firstLine="602"/>
        <w:jc w:val="center"/>
        <w:rPr>
          <w:rFonts w:ascii="宋体" w:cs="Times New Roman"/>
          <w:bCs/>
          <w:sz w:val="30"/>
          <w:szCs w:val="30"/>
        </w:rPr>
      </w:pPr>
      <w:r w:rsidRPr="00136FBE">
        <w:rPr>
          <w:rFonts w:ascii="宋体" w:hAnsi="宋体" w:cs="宋体" w:hint="eastAsia"/>
          <w:b/>
          <w:bCs/>
          <w:sz w:val="30"/>
          <w:szCs w:val="30"/>
        </w:rPr>
        <w:lastRenderedPageBreak/>
        <w:t>目 录</w:t>
      </w:r>
    </w:p>
    <w:p w14:paraId="03BCAA9C" w14:textId="77777777" w:rsidR="00B23A40" w:rsidRPr="00136FBE" w:rsidRDefault="00DD1A0D">
      <w:pPr>
        <w:spacing w:line="360" w:lineRule="auto"/>
        <w:rPr>
          <w:rFonts w:ascii="宋体" w:cs="Times New Roman"/>
          <w:b/>
          <w:bCs/>
          <w:sz w:val="24"/>
          <w:szCs w:val="24"/>
        </w:rPr>
      </w:pPr>
      <w:r w:rsidRPr="00136FBE">
        <w:rPr>
          <w:rFonts w:ascii="宋体" w:hAnsi="宋体" w:cs="宋体" w:hint="eastAsia"/>
          <w:b/>
          <w:bCs/>
          <w:sz w:val="24"/>
          <w:szCs w:val="24"/>
        </w:rPr>
        <w:t>第一部分</w:t>
      </w:r>
      <w:r w:rsidR="00027ED0" w:rsidRPr="00136FBE">
        <w:rPr>
          <w:rFonts w:ascii="宋体" w:hAnsi="宋体" w:cs="宋体" w:hint="eastAsia"/>
          <w:b/>
          <w:bCs/>
          <w:sz w:val="24"/>
          <w:szCs w:val="24"/>
        </w:rPr>
        <w:t xml:space="preserve">　</w:t>
      </w:r>
      <w:r w:rsidRPr="00136FBE">
        <w:rPr>
          <w:rFonts w:ascii="宋体" w:hAnsi="宋体" w:cs="宋体" w:hint="eastAsia"/>
          <w:b/>
          <w:bCs/>
          <w:sz w:val="24"/>
          <w:szCs w:val="24"/>
        </w:rPr>
        <w:t>新型抗肿瘤药物临床应用</w:t>
      </w:r>
      <w:r w:rsidR="00D9000D">
        <w:rPr>
          <w:rFonts w:ascii="宋体" w:hAnsi="宋体" w:cs="宋体" w:hint="eastAsia"/>
          <w:b/>
          <w:bCs/>
          <w:sz w:val="24"/>
          <w:szCs w:val="24"/>
        </w:rPr>
        <w:t>基本</w:t>
      </w:r>
      <w:r w:rsidRPr="00136FBE">
        <w:rPr>
          <w:rFonts w:ascii="宋体" w:hAnsi="宋体" w:cs="宋体" w:hint="eastAsia"/>
          <w:b/>
          <w:bCs/>
          <w:sz w:val="24"/>
          <w:szCs w:val="24"/>
        </w:rPr>
        <w:t>原则</w:t>
      </w:r>
    </w:p>
    <w:tbl>
      <w:tblPr>
        <w:tblW w:w="8522" w:type="dxa"/>
        <w:tblInd w:w="-106" w:type="dxa"/>
        <w:tblLayout w:type="fixed"/>
        <w:tblLook w:val="04A0" w:firstRow="1" w:lastRow="0" w:firstColumn="1" w:lastColumn="0" w:noHBand="0" w:noVBand="1"/>
      </w:tblPr>
      <w:tblGrid>
        <w:gridCol w:w="7946"/>
        <w:gridCol w:w="576"/>
      </w:tblGrid>
      <w:tr w:rsidR="00B23A40" w:rsidRPr="00136FBE" w14:paraId="5B14825B" w14:textId="77777777">
        <w:trPr>
          <w:trHeight w:val="285"/>
        </w:trPr>
        <w:tc>
          <w:tcPr>
            <w:tcW w:w="7946" w:type="dxa"/>
          </w:tcPr>
          <w:p w14:paraId="77E9D3BF" w14:textId="77777777" w:rsidR="00B23A40" w:rsidRPr="00136FBE" w:rsidRDefault="00DD1A0D">
            <w:pPr>
              <w:spacing w:line="240" w:lineRule="atLeast"/>
              <w:rPr>
                <w:rFonts w:ascii="宋体" w:cs="Times New Roman"/>
              </w:rPr>
            </w:pPr>
            <w:r w:rsidRPr="00136FBE">
              <w:rPr>
                <w:rFonts w:ascii="宋体" w:hAnsi="宋体" w:cs="宋体" w:hint="eastAsia"/>
              </w:rPr>
              <w:t>一、病理组织学确诊后方可使用</w:t>
            </w:r>
            <w:r w:rsidRPr="00136FBE">
              <w:rPr>
                <w:rFonts w:ascii="宋体" w:cs="宋体" w:hint="eastAsia"/>
              </w:rPr>
              <w:t>……………………………………………………………</w:t>
            </w:r>
          </w:p>
        </w:tc>
        <w:tc>
          <w:tcPr>
            <w:tcW w:w="576" w:type="dxa"/>
          </w:tcPr>
          <w:p w14:paraId="606D459D" w14:textId="77777777" w:rsidR="00B23A40" w:rsidRPr="00136FBE" w:rsidRDefault="00DD1A0D">
            <w:pPr>
              <w:spacing w:line="240" w:lineRule="atLeast"/>
              <w:rPr>
                <w:rFonts w:ascii="宋体" w:cs="Times New Roman"/>
              </w:rPr>
            </w:pPr>
            <w:r w:rsidRPr="00136FBE">
              <w:rPr>
                <w:rFonts w:ascii="宋体" w:cs="宋体"/>
              </w:rPr>
              <w:t>0</w:t>
            </w:r>
            <w:r w:rsidRPr="00136FBE">
              <w:rPr>
                <w:rFonts w:ascii="宋体" w:hAnsi="宋体" w:cs="宋体" w:hint="eastAsia"/>
              </w:rPr>
              <w:t>1</w:t>
            </w:r>
          </w:p>
        </w:tc>
      </w:tr>
      <w:tr w:rsidR="00B23A40" w:rsidRPr="00136FBE" w14:paraId="47BF6195" w14:textId="77777777">
        <w:trPr>
          <w:trHeight w:val="285"/>
        </w:trPr>
        <w:tc>
          <w:tcPr>
            <w:tcW w:w="7946" w:type="dxa"/>
          </w:tcPr>
          <w:p w14:paraId="3CD9D398" w14:textId="77777777" w:rsidR="00B23A40" w:rsidRPr="00136FBE" w:rsidRDefault="00DD1A0D" w:rsidP="0010266A">
            <w:pPr>
              <w:rPr>
                <w:rFonts w:ascii="宋体" w:cs="Times New Roman"/>
              </w:rPr>
            </w:pPr>
            <w:r w:rsidRPr="00136FBE">
              <w:rPr>
                <w:rFonts w:ascii="宋体" w:hAnsi="宋体" w:cs="宋体" w:hint="eastAsia"/>
              </w:rPr>
              <w:t>二、</w:t>
            </w:r>
            <w:r w:rsidR="0010266A" w:rsidRPr="00136FBE">
              <w:rPr>
                <w:rFonts w:ascii="宋体" w:hAnsi="宋体" w:cs="宋体" w:hint="eastAsia"/>
              </w:rPr>
              <w:t>靶点</w:t>
            </w:r>
            <w:r w:rsidRPr="00136FBE">
              <w:rPr>
                <w:rFonts w:ascii="宋体" w:hAnsi="宋体" w:cs="宋体" w:hint="eastAsia"/>
              </w:rPr>
              <w:t>检测后方可使用</w:t>
            </w:r>
            <w:r w:rsidRPr="00136FBE">
              <w:rPr>
                <w:rFonts w:ascii="宋体" w:cs="宋体" w:hint="eastAsia"/>
              </w:rPr>
              <w:t>……………………………………………………………………</w:t>
            </w:r>
          </w:p>
        </w:tc>
        <w:tc>
          <w:tcPr>
            <w:tcW w:w="576" w:type="dxa"/>
          </w:tcPr>
          <w:p w14:paraId="0B9755B3" w14:textId="77777777" w:rsidR="00B23A40" w:rsidRPr="00136FBE" w:rsidRDefault="00DD1A0D" w:rsidP="005D1E46">
            <w:pPr>
              <w:rPr>
                <w:rFonts w:ascii="宋体" w:cs="Times New Roman"/>
              </w:rPr>
            </w:pPr>
            <w:r w:rsidRPr="00136FBE">
              <w:rPr>
                <w:rFonts w:ascii="宋体" w:cs="宋体"/>
              </w:rPr>
              <w:t>0</w:t>
            </w:r>
            <w:r w:rsidR="005D1E46">
              <w:rPr>
                <w:rFonts w:ascii="宋体" w:hAnsi="宋体" w:cs="宋体" w:hint="eastAsia"/>
              </w:rPr>
              <w:t>1</w:t>
            </w:r>
          </w:p>
        </w:tc>
      </w:tr>
      <w:tr w:rsidR="00B23A40" w:rsidRPr="00136FBE" w14:paraId="1C8D491B" w14:textId="77777777">
        <w:trPr>
          <w:trHeight w:val="285"/>
        </w:trPr>
        <w:tc>
          <w:tcPr>
            <w:tcW w:w="7946" w:type="dxa"/>
          </w:tcPr>
          <w:p w14:paraId="140F7BC1" w14:textId="77777777" w:rsidR="00B23A40" w:rsidRPr="00136FBE" w:rsidRDefault="00DD1A0D">
            <w:pPr>
              <w:rPr>
                <w:rFonts w:ascii="宋体" w:cs="Times New Roman"/>
              </w:rPr>
            </w:pPr>
            <w:r w:rsidRPr="00136FBE">
              <w:rPr>
                <w:rFonts w:ascii="宋体" w:hAnsi="宋体" w:cs="宋体" w:hint="eastAsia"/>
              </w:rPr>
              <w:t>三、严格遵循适应证用药</w:t>
            </w:r>
            <w:r w:rsidRPr="00136FBE">
              <w:rPr>
                <w:rFonts w:ascii="宋体" w:cs="宋体" w:hint="eastAsia"/>
              </w:rPr>
              <w:t>……………………………………………………………………</w:t>
            </w:r>
          </w:p>
        </w:tc>
        <w:tc>
          <w:tcPr>
            <w:tcW w:w="576" w:type="dxa"/>
          </w:tcPr>
          <w:p w14:paraId="310B60CC" w14:textId="77777777" w:rsidR="00B23A40" w:rsidRPr="00136FBE" w:rsidRDefault="00DD1A0D">
            <w:pPr>
              <w:rPr>
                <w:rFonts w:ascii="宋体" w:cs="Times New Roman"/>
              </w:rPr>
            </w:pPr>
            <w:r w:rsidRPr="00136FBE">
              <w:rPr>
                <w:rFonts w:ascii="宋体" w:cs="宋体"/>
              </w:rPr>
              <w:t>0</w:t>
            </w:r>
            <w:r w:rsidR="008438A0" w:rsidRPr="00136FBE">
              <w:rPr>
                <w:rFonts w:ascii="宋体" w:hAnsi="宋体" w:cs="宋体" w:hint="eastAsia"/>
              </w:rPr>
              <w:t>5</w:t>
            </w:r>
          </w:p>
        </w:tc>
      </w:tr>
      <w:tr w:rsidR="00B23A40" w:rsidRPr="00136FBE" w14:paraId="483AA7B7" w14:textId="77777777">
        <w:trPr>
          <w:trHeight w:val="285"/>
        </w:trPr>
        <w:tc>
          <w:tcPr>
            <w:tcW w:w="7946" w:type="dxa"/>
          </w:tcPr>
          <w:p w14:paraId="733A3FDC" w14:textId="77777777" w:rsidR="00B23A40" w:rsidRPr="00136FBE" w:rsidRDefault="00DD1A0D">
            <w:pPr>
              <w:rPr>
                <w:rFonts w:ascii="宋体" w:cs="Times New Roman"/>
              </w:rPr>
            </w:pPr>
            <w:r w:rsidRPr="00136FBE">
              <w:rPr>
                <w:rFonts w:ascii="宋体" w:hAnsi="宋体" w:cs="宋体" w:hint="eastAsia"/>
              </w:rPr>
              <w:t>四、体现患者治疗价值</w:t>
            </w:r>
            <w:r w:rsidRPr="00136FBE">
              <w:rPr>
                <w:rFonts w:ascii="宋体" w:cs="宋体" w:hint="eastAsia"/>
              </w:rPr>
              <w:t>………………………………………………………………………</w:t>
            </w:r>
          </w:p>
        </w:tc>
        <w:tc>
          <w:tcPr>
            <w:tcW w:w="576" w:type="dxa"/>
          </w:tcPr>
          <w:p w14:paraId="1CB0DDD3" w14:textId="77777777" w:rsidR="00B23A40" w:rsidRPr="00136FBE" w:rsidRDefault="00DD1A0D">
            <w:pPr>
              <w:rPr>
                <w:rFonts w:ascii="宋体" w:cs="Times New Roman"/>
              </w:rPr>
            </w:pPr>
            <w:r w:rsidRPr="00136FBE">
              <w:rPr>
                <w:rFonts w:ascii="宋体" w:cs="宋体"/>
              </w:rPr>
              <w:t>0</w:t>
            </w:r>
            <w:r w:rsidR="008438A0" w:rsidRPr="00136FBE">
              <w:rPr>
                <w:rFonts w:ascii="宋体" w:hAnsi="宋体" w:cs="宋体" w:hint="eastAsia"/>
              </w:rPr>
              <w:t>5</w:t>
            </w:r>
          </w:p>
        </w:tc>
      </w:tr>
      <w:tr w:rsidR="00B23A40" w:rsidRPr="00136FBE" w14:paraId="015A186C" w14:textId="77777777">
        <w:trPr>
          <w:trHeight w:val="285"/>
        </w:trPr>
        <w:tc>
          <w:tcPr>
            <w:tcW w:w="7946" w:type="dxa"/>
          </w:tcPr>
          <w:p w14:paraId="0D40FCF0" w14:textId="77777777" w:rsidR="00B23A40" w:rsidRPr="00136FBE" w:rsidRDefault="00DD1A0D">
            <w:pPr>
              <w:rPr>
                <w:rFonts w:ascii="宋体" w:cs="Times New Roman"/>
              </w:rPr>
            </w:pPr>
            <w:r w:rsidRPr="00136FBE">
              <w:rPr>
                <w:rFonts w:ascii="宋体" w:hAnsi="宋体" w:cs="宋体" w:hint="eastAsia"/>
              </w:rPr>
              <w:t>五、特殊情况下的药物合理使用</w:t>
            </w:r>
            <w:r w:rsidRPr="00136FBE">
              <w:rPr>
                <w:rFonts w:ascii="宋体" w:cs="宋体" w:hint="eastAsia"/>
              </w:rPr>
              <w:t>……………………………………………………………</w:t>
            </w:r>
          </w:p>
          <w:p w14:paraId="1134346B" w14:textId="77777777" w:rsidR="00B23A40" w:rsidRPr="00136FBE" w:rsidRDefault="00DD1A0D">
            <w:pPr>
              <w:rPr>
                <w:rFonts w:ascii="宋体" w:cs="Times New Roman"/>
              </w:rPr>
            </w:pPr>
            <w:r w:rsidRPr="00136FBE">
              <w:rPr>
                <w:rFonts w:ascii="宋体" w:hAnsi="宋体" w:cs="宋体" w:hint="eastAsia"/>
              </w:rPr>
              <w:t>六、重视药物相关性不良反应</w:t>
            </w:r>
            <w:r w:rsidRPr="00136FBE">
              <w:rPr>
                <w:rFonts w:ascii="宋体" w:cs="宋体" w:hint="eastAsia"/>
              </w:rPr>
              <w:t>………………………………………………………………</w:t>
            </w:r>
          </w:p>
          <w:p w14:paraId="1ACBAD50" w14:textId="77777777" w:rsidR="00B23A40" w:rsidRPr="00136FBE" w:rsidRDefault="00B23A40">
            <w:pPr>
              <w:spacing w:line="360" w:lineRule="auto"/>
              <w:ind w:firstLineChars="50" w:firstLine="105"/>
              <w:jc w:val="left"/>
              <w:rPr>
                <w:rFonts w:ascii="宋体" w:cs="Times New Roman"/>
              </w:rPr>
            </w:pPr>
          </w:p>
        </w:tc>
        <w:tc>
          <w:tcPr>
            <w:tcW w:w="576" w:type="dxa"/>
          </w:tcPr>
          <w:p w14:paraId="12C491A2" w14:textId="77777777" w:rsidR="00B23A40" w:rsidRPr="00136FBE" w:rsidRDefault="00DD1A0D">
            <w:pPr>
              <w:rPr>
                <w:rFonts w:ascii="宋体" w:cs="Times New Roman"/>
              </w:rPr>
            </w:pPr>
            <w:r w:rsidRPr="00136FBE">
              <w:rPr>
                <w:rFonts w:ascii="宋体" w:cs="宋体"/>
              </w:rPr>
              <w:t>0</w:t>
            </w:r>
            <w:r w:rsidR="00A408FA">
              <w:rPr>
                <w:rFonts w:ascii="宋体" w:hAnsi="宋体" w:cs="宋体" w:hint="eastAsia"/>
              </w:rPr>
              <w:t>5</w:t>
            </w:r>
          </w:p>
          <w:p w14:paraId="1A13B6D7" w14:textId="77777777" w:rsidR="00B23A40" w:rsidRPr="00136FBE" w:rsidRDefault="00DD1A0D" w:rsidP="00A408FA">
            <w:pPr>
              <w:rPr>
                <w:rFonts w:ascii="宋体" w:cs="Times New Roman"/>
              </w:rPr>
            </w:pPr>
            <w:r w:rsidRPr="00136FBE">
              <w:rPr>
                <w:rFonts w:ascii="宋体" w:cs="宋体"/>
              </w:rPr>
              <w:t>0</w:t>
            </w:r>
            <w:r w:rsidR="00A408FA">
              <w:rPr>
                <w:rFonts w:ascii="宋体" w:hAnsi="宋体" w:cs="宋体" w:hint="eastAsia"/>
              </w:rPr>
              <w:t>6</w:t>
            </w:r>
          </w:p>
        </w:tc>
      </w:tr>
    </w:tbl>
    <w:p w14:paraId="78679131" w14:textId="77777777" w:rsidR="00B23A40" w:rsidRPr="00136FBE" w:rsidRDefault="00DD1A0D">
      <w:pPr>
        <w:spacing w:line="360" w:lineRule="auto"/>
        <w:rPr>
          <w:rFonts w:ascii="宋体" w:cs="Times New Roman"/>
          <w:b/>
          <w:bCs/>
          <w:sz w:val="24"/>
          <w:szCs w:val="24"/>
        </w:rPr>
      </w:pPr>
      <w:r w:rsidRPr="00136FBE">
        <w:rPr>
          <w:rFonts w:ascii="宋体" w:hAnsi="宋体" w:cs="宋体" w:hint="eastAsia"/>
          <w:b/>
          <w:bCs/>
          <w:sz w:val="24"/>
          <w:szCs w:val="24"/>
        </w:rPr>
        <w:t>第二部分</w:t>
      </w:r>
      <w:r w:rsidR="00027ED0" w:rsidRPr="00136FBE">
        <w:rPr>
          <w:rFonts w:ascii="宋体" w:hAnsi="宋体" w:cs="宋体" w:hint="eastAsia"/>
          <w:b/>
          <w:bCs/>
          <w:sz w:val="24"/>
          <w:szCs w:val="24"/>
        </w:rPr>
        <w:t xml:space="preserve">　</w:t>
      </w:r>
      <w:r w:rsidRPr="00136FBE">
        <w:rPr>
          <w:rFonts w:ascii="宋体" w:hAnsi="宋体" w:cs="宋体" w:hint="eastAsia"/>
          <w:b/>
          <w:bCs/>
          <w:sz w:val="24"/>
          <w:szCs w:val="24"/>
        </w:rPr>
        <w:t>各系统肿瘤的药物临床应用指导原则</w:t>
      </w:r>
    </w:p>
    <w:p w14:paraId="3839FA37" w14:textId="77777777" w:rsidR="00B23A40" w:rsidRPr="00136FBE" w:rsidRDefault="00DD1A0D">
      <w:pPr>
        <w:spacing w:line="360" w:lineRule="auto"/>
        <w:rPr>
          <w:rFonts w:ascii="宋体" w:cs="Times New Roman"/>
          <w:b/>
          <w:bCs/>
          <w:sz w:val="24"/>
          <w:szCs w:val="24"/>
        </w:rPr>
      </w:pPr>
      <w:r w:rsidRPr="00136FBE">
        <w:rPr>
          <w:rFonts w:ascii="宋体" w:hAnsi="宋体" w:cs="宋体" w:hint="eastAsia"/>
          <w:b/>
          <w:bCs/>
        </w:rPr>
        <w:t>呼吸系统肿瘤用药</w:t>
      </w:r>
    </w:p>
    <w:tbl>
      <w:tblPr>
        <w:tblW w:w="8522" w:type="dxa"/>
        <w:tblInd w:w="-106" w:type="dxa"/>
        <w:tblLayout w:type="fixed"/>
        <w:tblLook w:val="04A0" w:firstRow="1" w:lastRow="0" w:firstColumn="1" w:lastColumn="0" w:noHBand="0" w:noVBand="1"/>
      </w:tblPr>
      <w:tblGrid>
        <w:gridCol w:w="7938"/>
        <w:gridCol w:w="584"/>
      </w:tblGrid>
      <w:tr w:rsidR="00B23A40" w:rsidRPr="00136FBE" w14:paraId="58C01C79" w14:textId="77777777">
        <w:trPr>
          <w:trHeight w:val="285"/>
        </w:trPr>
        <w:tc>
          <w:tcPr>
            <w:tcW w:w="7938" w:type="dxa"/>
          </w:tcPr>
          <w:p w14:paraId="2340E746" w14:textId="77777777" w:rsidR="00B23A40" w:rsidRPr="00136FBE" w:rsidRDefault="00DD1A0D">
            <w:pPr>
              <w:rPr>
                <w:rFonts w:ascii="宋体" w:cs="Times New Roman"/>
              </w:rPr>
            </w:pPr>
            <w:r w:rsidRPr="00136FBE">
              <w:rPr>
                <w:rFonts w:ascii="宋体" w:hAnsi="宋体" w:cs="宋体" w:hint="eastAsia"/>
              </w:rPr>
              <w:t>一、吉非替尼</w:t>
            </w:r>
            <w:r w:rsidRPr="00136FBE">
              <w:rPr>
                <w:rFonts w:ascii="宋体" w:cs="宋体" w:hint="eastAsia"/>
              </w:rPr>
              <w:t>…………………………………………………………………………………</w:t>
            </w:r>
          </w:p>
        </w:tc>
        <w:tc>
          <w:tcPr>
            <w:tcW w:w="584" w:type="dxa"/>
          </w:tcPr>
          <w:p w14:paraId="0BF5335D" w14:textId="77777777" w:rsidR="00B23A40" w:rsidRPr="00136FBE" w:rsidRDefault="00A408FA">
            <w:pPr>
              <w:rPr>
                <w:rFonts w:ascii="宋体" w:cs="Times New Roman"/>
              </w:rPr>
            </w:pPr>
            <w:r>
              <w:rPr>
                <w:rFonts w:ascii="宋体" w:hAnsi="宋体" w:cs="宋体" w:hint="eastAsia"/>
              </w:rPr>
              <w:t>07</w:t>
            </w:r>
          </w:p>
        </w:tc>
      </w:tr>
      <w:tr w:rsidR="00B23A40" w:rsidRPr="00136FBE" w14:paraId="4D51C199" w14:textId="77777777">
        <w:trPr>
          <w:trHeight w:val="285"/>
        </w:trPr>
        <w:tc>
          <w:tcPr>
            <w:tcW w:w="7938" w:type="dxa"/>
          </w:tcPr>
          <w:p w14:paraId="5D1135CE" w14:textId="77777777" w:rsidR="00B23A40" w:rsidRPr="00136FBE" w:rsidRDefault="00DD1A0D">
            <w:pPr>
              <w:rPr>
                <w:rFonts w:ascii="宋体" w:cs="Times New Roman"/>
              </w:rPr>
            </w:pPr>
            <w:r w:rsidRPr="00136FBE">
              <w:rPr>
                <w:rFonts w:ascii="宋体" w:hAnsi="宋体" w:cs="宋体" w:hint="eastAsia"/>
              </w:rPr>
              <w:t>二、厄洛替尼</w:t>
            </w:r>
            <w:r w:rsidRPr="00136FBE">
              <w:rPr>
                <w:rFonts w:ascii="宋体" w:cs="宋体" w:hint="eastAsia"/>
              </w:rPr>
              <w:t>…………………………………………………………………………………</w:t>
            </w:r>
          </w:p>
        </w:tc>
        <w:tc>
          <w:tcPr>
            <w:tcW w:w="584" w:type="dxa"/>
          </w:tcPr>
          <w:p w14:paraId="784A1698" w14:textId="77777777" w:rsidR="00B23A40" w:rsidRPr="00136FBE" w:rsidRDefault="00A408FA">
            <w:pPr>
              <w:rPr>
                <w:rFonts w:ascii="宋体" w:cs="Times New Roman"/>
              </w:rPr>
            </w:pPr>
            <w:r>
              <w:rPr>
                <w:rFonts w:ascii="宋体" w:hAnsi="宋体" w:cs="宋体" w:hint="eastAsia"/>
              </w:rPr>
              <w:t>08</w:t>
            </w:r>
          </w:p>
        </w:tc>
      </w:tr>
      <w:tr w:rsidR="00B23A40" w:rsidRPr="00136FBE" w14:paraId="5AD27C5E" w14:textId="77777777">
        <w:trPr>
          <w:trHeight w:val="285"/>
        </w:trPr>
        <w:tc>
          <w:tcPr>
            <w:tcW w:w="7938" w:type="dxa"/>
          </w:tcPr>
          <w:p w14:paraId="547CF880" w14:textId="77777777" w:rsidR="00B23A40" w:rsidRPr="00136FBE" w:rsidRDefault="00DD1A0D">
            <w:pPr>
              <w:rPr>
                <w:rFonts w:ascii="宋体" w:cs="Times New Roman"/>
              </w:rPr>
            </w:pPr>
            <w:r w:rsidRPr="00136FBE">
              <w:rPr>
                <w:rFonts w:ascii="宋体" w:hAnsi="宋体" w:cs="宋体" w:hint="eastAsia"/>
              </w:rPr>
              <w:t>三、埃克替尼</w:t>
            </w:r>
            <w:r w:rsidRPr="00136FBE">
              <w:rPr>
                <w:rFonts w:ascii="宋体" w:cs="宋体" w:hint="eastAsia"/>
              </w:rPr>
              <w:t>…………………………………………………………………………………</w:t>
            </w:r>
          </w:p>
        </w:tc>
        <w:tc>
          <w:tcPr>
            <w:tcW w:w="584" w:type="dxa"/>
          </w:tcPr>
          <w:p w14:paraId="5956323F" w14:textId="77777777" w:rsidR="00B23A40" w:rsidRPr="00136FBE" w:rsidRDefault="00A408FA">
            <w:pPr>
              <w:rPr>
                <w:rFonts w:ascii="宋体" w:cs="Times New Roman"/>
              </w:rPr>
            </w:pPr>
            <w:r>
              <w:rPr>
                <w:rFonts w:ascii="宋体" w:hAnsi="宋体" w:cs="宋体" w:hint="eastAsia"/>
              </w:rPr>
              <w:t>09</w:t>
            </w:r>
          </w:p>
        </w:tc>
      </w:tr>
      <w:tr w:rsidR="00B23A40" w:rsidRPr="00136FBE" w14:paraId="691545A8" w14:textId="77777777">
        <w:trPr>
          <w:trHeight w:val="285"/>
        </w:trPr>
        <w:tc>
          <w:tcPr>
            <w:tcW w:w="7938" w:type="dxa"/>
          </w:tcPr>
          <w:p w14:paraId="57FA080D" w14:textId="77777777" w:rsidR="00B23A40" w:rsidRPr="00136FBE" w:rsidRDefault="00DD1A0D">
            <w:pPr>
              <w:rPr>
                <w:rFonts w:ascii="宋体" w:cs="宋体"/>
              </w:rPr>
            </w:pPr>
            <w:r w:rsidRPr="00136FBE">
              <w:rPr>
                <w:rFonts w:ascii="宋体" w:hAnsi="宋体" w:cs="宋体" w:hint="eastAsia"/>
              </w:rPr>
              <w:t>四、阿法替尼</w:t>
            </w:r>
            <w:r w:rsidRPr="00136FBE">
              <w:rPr>
                <w:rFonts w:ascii="宋体" w:cs="宋体" w:hint="eastAsia"/>
              </w:rPr>
              <w:t>…………………………………………………………………………………</w:t>
            </w:r>
          </w:p>
          <w:p w14:paraId="2E13B5C3" w14:textId="77777777" w:rsidR="00B23A40" w:rsidRPr="00136FBE" w:rsidRDefault="00DD1A0D">
            <w:pPr>
              <w:rPr>
                <w:rFonts w:ascii="宋体" w:cs="Times New Roman"/>
              </w:rPr>
            </w:pPr>
            <w:r w:rsidRPr="00136FBE">
              <w:rPr>
                <w:rFonts w:ascii="宋体" w:cs="宋体" w:hint="eastAsia"/>
              </w:rPr>
              <w:t>五、达可替尼…………………………………………………………………………………</w:t>
            </w:r>
          </w:p>
        </w:tc>
        <w:tc>
          <w:tcPr>
            <w:tcW w:w="584" w:type="dxa"/>
          </w:tcPr>
          <w:p w14:paraId="4530C7EA" w14:textId="77777777" w:rsidR="00B23A40" w:rsidRPr="00136FBE" w:rsidRDefault="00E22B2A">
            <w:pPr>
              <w:rPr>
                <w:rFonts w:ascii="宋体" w:hAnsi="宋体" w:cs="宋体"/>
              </w:rPr>
            </w:pPr>
            <w:r w:rsidRPr="00136FBE">
              <w:rPr>
                <w:rFonts w:ascii="宋体" w:hAnsi="宋体" w:cs="宋体" w:hint="eastAsia"/>
              </w:rPr>
              <w:t>1</w:t>
            </w:r>
            <w:r w:rsidR="00A408FA">
              <w:rPr>
                <w:rFonts w:ascii="宋体" w:hAnsi="宋体" w:cs="宋体" w:hint="eastAsia"/>
              </w:rPr>
              <w:t>0</w:t>
            </w:r>
          </w:p>
          <w:p w14:paraId="7B72402F" w14:textId="77777777" w:rsidR="00B23A40" w:rsidRPr="00136FBE" w:rsidRDefault="00E22B2A" w:rsidP="00A408FA">
            <w:pPr>
              <w:rPr>
                <w:rFonts w:ascii="宋体" w:cs="Times New Roman"/>
              </w:rPr>
            </w:pPr>
            <w:r w:rsidRPr="00136FBE">
              <w:rPr>
                <w:rFonts w:ascii="宋体" w:hAnsi="宋体" w:cs="宋体" w:hint="eastAsia"/>
              </w:rPr>
              <w:t>1</w:t>
            </w:r>
            <w:r w:rsidR="00A408FA">
              <w:rPr>
                <w:rFonts w:ascii="宋体" w:hAnsi="宋体" w:cs="宋体" w:hint="eastAsia"/>
              </w:rPr>
              <w:t>2</w:t>
            </w:r>
          </w:p>
        </w:tc>
      </w:tr>
      <w:tr w:rsidR="00B23A40" w:rsidRPr="00136FBE" w14:paraId="6E90ACED" w14:textId="77777777">
        <w:trPr>
          <w:trHeight w:val="285"/>
        </w:trPr>
        <w:tc>
          <w:tcPr>
            <w:tcW w:w="7938" w:type="dxa"/>
          </w:tcPr>
          <w:p w14:paraId="701E1E29" w14:textId="77777777" w:rsidR="00B23A40" w:rsidRPr="00136FBE" w:rsidRDefault="00DD1A0D">
            <w:pPr>
              <w:rPr>
                <w:rFonts w:ascii="宋体" w:cs="Times New Roman"/>
              </w:rPr>
            </w:pPr>
            <w:r w:rsidRPr="00136FBE">
              <w:rPr>
                <w:rFonts w:ascii="宋体" w:hAnsi="宋体" w:cs="宋体" w:hint="eastAsia"/>
              </w:rPr>
              <w:t>六、奥希替尼</w:t>
            </w:r>
            <w:r w:rsidRPr="00136FBE">
              <w:rPr>
                <w:rFonts w:ascii="宋体" w:cs="宋体" w:hint="eastAsia"/>
              </w:rPr>
              <w:t>…………………………………………………………………………………</w:t>
            </w:r>
          </w:p>
        </w:tc>
        <w:tc>
          <w:tcPr>
            <w:tcW w:w="584" w:type="dxa"/>
          </w:tcPr>
          <w:p w14:paraId="4E780CD2" w14:textId="77777777" w:rsidR="00B23A40" w:rsidRPr="00136FBE" w:rsidRDefault="00A408FA">
            <w:pPr>
              <w:rPr>
                <w:rFonts w:ascii="宋体" w:cs="Times New Roman"/>
              </w:rPr>
            </w:pPr>
            <w:r>
              <w:rPr>
                <w:rFonts w:ascii="宋体" w:hAnsi="宋体" w:cs="宋体" w:hint="eastAsia"/>
              </w:rPr>
              <w:t>13</w:t>
            </w:r>
          </w:p>
        </w:tc>
      </w:tr>
      <w:tr w:rsidR="00B23A40" w:rsidRPr="00136FBE" w14:paraId="57B48507" w14:textId="77777777">
        <w:trPr>
          <w:trHeight w:val="285"/>
        </w:trPr>
        <w:tc>
          <w:tcPr>
            <w:tcW w:w="7938" w:type="dxa"/>
          </w:tcPr>
          <w:p w14:paraId="3F46FBBB" w14:textId="77777777" w:rsidR="00B23A40" w:rsidRPr="00136FBE" w:rsidRDefault="00DD1A0D">
            <w:pPr>
              <w:rPr>
                <w:rFonts w:ascii="宋体" w:cs="宋体"/>
              </w:rPr>
            </w:pPr>
            <w:r w:rsidRPr="00136FBE">
              <w:rPr>
                <w:rFonts w:ascii="宋体" w:hAnsi="宋体" w:cs="宋体" w:hint="eastAsia"/>
              </w:rPr>
              <w:t>七、克唑替尼</w:t>
            </w:r>
            <w:r w:rsidRPr="00136FBE">
              <w:rPr>
                <w:rFonts w:ascii="宋体" w:cs="宋体" w:hint="eastAsia"/>
              </w:rPr>
              <w:t>…………………………………………………………………………………</w:t>
            </w:r>
          </w:p>
          <w:p w14:paraId="213403AF" w14:textId="77777777" w:rsidR="00B23A40" w:rsidRPr="00136FBE" w:rsidRDefault="00DD1A0D">
            <w:pPr>
              <w:rPr>
                <w:rFonts w:ascii="宋体" w:cs="宋体"/>
              </w:rPr>
            </w:pPr>
            <w:r w:rsidRPr="00136FBE">
              <w:rPr>
                <w:rFonts w:ascii="宋体" w:cs="Times New Roman" w:hint="eastAsia"/>
              </w:rPr>
              <w:t>八、阿来替尼</w:t>
            </w:r>
            <w:r w:rsidRPr="00136FBE">
              <w:rPr>
                <w:rFonts w:ascii="宋体" w:cs="宋体" w:hint="eastAsia"/>
              </w:rPr>
              <w:t>…………………………………………………………………………………</w:t>
            </w:r>
          </w:p>
          <w:p w14:paraId="637E26BD" w14:textId="77777777" w:rsidR="00B23A40" w:rsidRPr="00136FBE" w:rsidRDefault="00DD1A0D">
            <w:pPr>
              <w:rPr>
                <w:rFonts w:ascii="宋体" w:cs="宋体"/>
              </w:rPr>
            </w:pPr>
            <w:r w:rsidRPr="00136FBE">
              <w:rPr>
                <w:rFonts w:ascii="宋体" w:hAnsi="宋体" w:cs="宋体" w:hint="eastAsia"/>
              </w:rPr>
              <w:t>九、塞瑞替尼</w:t>
            </w:r>
            <w:r w:rsidRPr="00136FBE">
              <w:rPr>
                <w:rFonts w:ascii="宋体" w:cs="宋体" w:hint="eastAsia"/>
              </w:rPr>
              <w:t>…………………………………………………………………………………</w:t>
            </w:r>
          </w:p>
          <w:p w14:paraId="79A11C83" w14:textId="77777777" w:rsidR="0079324D" w:rsidRPr="00136FBE" w:rsidRDefault="0079324D" w:rsidP="0079324D">
            <w:pPr>
              <w:rPr>
                <w:rFonts w:ascii="宋体" w:cs="Times New Roman"/>
              </w:rPr>
            </w:pPr>
            <w:r w:rsidRPr="00136FBE">
              <w:rPr>
                <w:rFonts w:ascii="宋体" w:cs="宋体" w:hint="eastAsia"/>
              </w:rPr>
              <w:t>十、</w:t>
            </w:r>
            <w:r w:rsidRPr="00136FBE">
              <w:rPr>
                <w:rFonts w:ascii="宋体" w:hAnsi="宋体" w:cs="宋体" w:hint="eastAsia"/>
              </w:rPr>
              <w:t>阿美替尼</w:t>
            </w:r>
            <w:r w:rsidRPr="00136FBE">
              <w:rPr>
                <w:rFonts w:ascii="宋体" w:cs="宋体" w:hint="eastAsia"/>
              </w:rPr>
              <w:t>…………………………………………………………………………………</w:t>
            </w:r>
          </w:p>
        </w:tc>
        <w:tc>
          <w:tcPr>
            <w:tcW w:w="584" w:type="dxa"/>
          </w:tcPr>
          <w:p w14:paraId="34CFD775" w14:textId="77777777" w:rsidR="00B23A40" w:rsidRPr="00136FBE" w:rsidRDefault="00A408FA">
            <w:pPr>
              <w:rPr>
                <w:rFonts w:ascii="宋体" w:hAnsi="宋体" w:cs="宋体"/>
              </w:rPr>
            </w:pPr>
            <w:r>
              <w:rPr>
                <w:rFonts w:ascii="宋体" w:hAnsi="宋体" w:cs="宋体" w:hint="eastAsia"/>
              </w:rPr>
              <w:t>14</w:t>
            </w:r>
          </w:p>
          <w:p w14:paraId="248985BD" w14:textId="77777777" w:rsidR="00B23A40" w:rsidRPr="00136FBE" w:rsidRDefault="00A408FA">
            <w:pPr>
              <w:rPr>
                <w:rFonts w:ascii="宋体" w:hAnsi="宋体" w:cs="宋体"/>
              </w:rPr>
            </w:pPr>
            <w:r>
              <w:rPr>
                <w:rFonts w:ascii="宋体" w:hAnsi="宋体" w:cs="宋体" w:hint="eastAsia"/>
              </w:rPr>
              <w:t>15</w:t>
            </w:r>
          </w:p>
          <w:p w14:paraId="4ADC5C28" w14:textId="77777777" w:rsidR="00B23A40" w:rsidRPr="00136FBE" w:rsidRDefault="00A408FA">
            <w:pPr>
              <w:rPr>
                <w:rFonts w:ascii="宋体" w:hAnsi="宋体" w:cs="宋体"/>
              </w:rPr>
            </w:pPr>
            <w:r>
              <w:rPr>
                <w:rFonts w:ascii="宋体" w:hAnsi="宋体" w:cs="宋体" w:hint="eastAsia"/>
              </w:rPr>
              <w:t>16</w:t>
            </w:r>
          </w:p>
          <w:p w14:paraId="02C842BA" w14:textId="77777777" w:rsidR="008438A0" w:rsidRPr="00136FBE" w:rsidRDefault="00A408FA" w:rsidP="00AA6B0E">
            <w:pPr>
              <w:rPr>
                <w:rFonts w:ascii="宋体" w:cs="Times New Roman"/>
              </w:rPr>
            </w:pPr>
            <w:r>
              <w:rPr>
                <w:rFonts w:ascii="宋体" w:hAnsi="宋体" w:cs="宋体" w:hint="eastAsia"/>
              </w:rPr>
              <w:t>17</w:t>
            </w:r>
          </w:p>
        </w:tc>
      </w:tr>
      <w:tr w:rsidR="00B23A40" w:rsidRPr="00136FBE" w14:paraId="0E564F70" w14:textId="77777777">
        <w:trPr>
          <w:trHeight w:val="285"/>
        </w:trPr>
        <w:tc>
          <w:tcPr>
            <w:tcW w:w="7938" w:type="dxa"/>
          </w:tcPr>
          <w:p w14:paraId="436044DF" w14:textId="77777777" w:rsidR="00B23A40" w:rsidRPr="00136FBE" w:rsidRDefault="00DD1A0D">
            <w:pPr>
              <w:rPr>
                <w:rFonts w:ascii="宋体" w:cs="Times New Roman"/>
              </w:rPr>
            </w:pPr>
            <w:r w:rsidRPr="00136FBE">
              <w:rPr>
                <w:rFonts w:ascii="宋体" w:hAnsi="宋体" w:cs="宋体" w:hint="eastAsia"/>
              </w:rPr>
              <w:t>十</w:t>
            </w:r>
            <w:r w:rsidR="0079324D" w:rsidRPr="00136FBE">
              <w:rPr>
                <w:rFonts w:ascii="宋体" w:hAnsi="宋体" w:cs="宋体" w:hint="eastAsia"/>
              </w:rPr>
              <w:t>一</w:t>
            </w:r>
            <w:r w:rsidRPr="00136FBE">
              <w:rPr>
                <w:rFonts w:ascii="宋体" w:hAnsi="宋体" w:cs="宋体" w:hint="eastAsia"/>
              </w:rPr>
              <w:t>、贝伐珠单抗</w:t>
            </w:r>
            <w:r w:rsidRPr="00136FBE">
              <w:rPr>
                <w:rFonts w:ascii="宋体" w:cs="宋体" w:hint="eastAsia"/>
              </w:rPr>
              <w:t>……………………………………………………………………………</w:t>
            </w:r>
          </w:p>
        </w:tc>
        <w:tc>
          <w:tcPr>
            <w:tcW w:w="584" w:type="dxa"/>
          </w:tcPr>
          <w:p w14:paraId="5F3EFBFF" w14:textId="77777777" w:rsidR="00B23A40" w:rsidRPr="00136FBE" w:rsidRDefault="00A408FA">
            <w:pPr>
              <w:rPr>
                <w:rFonts w:ascii="宋体" w:cs="Times New Roman"/>
              </w:rPr>
            </w:pPr>
            <w:r>
              <w:rPr>
                <w:rFonts w:ascii="宋体" w:hAnsi="宋体" w:cs="宋体" w:hint="eastAsia"/>
              </w:rPr>
              <w:t>18</w:t>
            </w:r>
          </w:p>
        </w:tc>
      </w:tr>
      <w:tr w:rsidR="00B23A40" w:rsidRPr="00136FBE" w14:paraId="4780842C" w14:textId="77777777">
        <w:trPr>
          <w:trHeight w:val="285"/>
        </w:trPr>
        <w:tc>
          <w:tcPr>
            <w:tcW w:w="7938" w:type="dxa"/>
          </w:tcPr>
          <w:p w14:paraId="20324173" w14:textId="77777777" w:rsidR="00B23A40" w:rsidRPr="00136FBE" w:rsidRDefault="00DD1A0D" w:rsidP="0079324D">
            <w:pPr>
              <w:rPr>
                <w:rFonts w:ascii="宋体" w:cs="Times New Roman"/>
              </w:rPr>
            </w:pPr>
            <w:r w:rsidRPr="00136FBE">
              <w:rPr>
                <w:rFonts w:ascii="宋体" w:hAnsi="宋体" w:cs="宋体" w:hint="eastAsia"/>
              </w:rPr>
              <w:t>十</w:t>
            </w:r>
            <w:r w:rsidR="0079324D" w:rsidRPr="00136FBE">
              <w:rPr>
                <w:rFonts w:ascii="宋体" w:hAnsi="宋体" w:cs="宋体" w:hint="eastAsia"/>
              </w:rPr>
              <w:t>二</w:t>
            </w:r>
            <w:r w:rsidRPr="00136FBE">
              <w:rPr>
                <w:rFonts w:ascii="宋体" w:hAnsi="宋体" w:cs="宋体" w:hint="eastAsia"/>
              </w:rPr>
              <w:t>、重组人血管内皮抑制素</w:t>
            </w:r>
            <w:r w:rsidRPr="00136FBE">
              <w:rPr>
                <w:rFonts w:ascii="宋体" w:cs="宋体" w:hint="eastAsia"/>
              </w:rPr>
              <w:t>………………………………………………………………</w:t>
            </w:r>
          </w:p>
        </w:tc>
        <w:tc>
          <w:tcPr>
            <w:tcW w:w="584" w:type="dxa"/>
          </w:tcPr>
          <w:p w14:paraId="43059060" w14:textId="77777777" w:rsidR="00B23A40" w:rsidRPr="00136FBE" w:rsidRDefault="00E22B2A" w:rsidP="00A408FA">
            <w:pPr>
              <w:rPr>
                <w:rFonts w:ascii="宋体" w:cs="Times New Roman"/>
              </w:rPr>
            </w:pPr>
            <w:r w:rsidRPr="00136FBE">
              <w:rPr>
                <w:rFonts w:ascii="宋体" w:hAnsi="宋体" w:cs="宋体" w:hint="eastAsia"/>
              </w:rPr>
              <w:t>2</w:t>
            </w:r>
            <w:r w:rsidR="00A408FA">
              <w:rPr>
                <w:rFonts w:ascii="宋体" w:hAnsi="宋体" w:cs="宋体" w:hint="eastAsia"/>
              </w:rPr>
              <w:t>0</w:t>
            </w:r>
          </w:p>
        </w:tc>
      </w:tr>
      <w:tr w:rsidR="00B23A40" w:rsidRPr="00136FBE" w14:paraId="40783C0F" w14:textId="77777777">
        <w:trPr>
          <w:trHeight w:val="285"/>
        </w:trPr>
        <w:tc>
          <w:tcPr>
            <w:tcW w:w="7938" w:type="dxa"/>
          </w:tcPr>
          <w:p w14:paraId="285B68E6" w14:textId="77777777" w:rsidR="00B23A40" w:rsidRPr="00136FBE" w:rsidRDefault="00DD1A0D" w:rsidP="0079324D">
            <w:pPr>
              <w:rPr>
                <w:rFonts w:ascii="宋体" w:cs="Times New Roman"/>
              </w:rPr>
            </w:pPr>
            <w:r w:rsidRPr="00136FBE">
              <w:rPr>
                <w:rFonts w:ascii="宋体" w:hAnsi="宋体" w:cs="宋体" w:hint="eastAsia"/>
              </w:rPr>
              <w:t>十</w:t>
            </w:r>
            <w:r w:rsidR="0079324D" w:rsidRPr="00136FBE">
              <w:rPr>
                <w:rFonts w:ascii="宋体" w:hAnsi="宋体" w:cs="宋体" w:hint="eastAsia"/>
              </w:rPr>
              <w:t>三</w:t>
            </w:r>
            <w:r w:rsidRPr="00136FBE">
              <w:rPr>
                <w:rFonts w:ascii="宋体" w:hAnsi="宋体" w:cs="宋体" w:hint="eastAsia"/>
              </w:rPr>
              <w:t>、安罗替尼</w:t>
            </w:r>
            <w:r w:rsidRPr="00136FBE">
              <w:rPr>
                <w:rFonts w:ascii="宋体" w:cs="宋体" w:hint="eastAsia"/>
              </w:rPr>
              <w:t>………………………………………………………………………………</w:t>
            </w:r>
          </w:p>
        </w:tc>
        <w:tc>
          <w:tcPr>
            <w:tcW w:w="584" w:type="dxa"/>
          </w:tcPr>
          <w:p w14:paraId="55D3FC05" w14:textId="77777777" w:rsidR="00B23A40" w:rsidRPr="00136FBE" w:rsidRDefault="00E22B2A" w:rsidP="00A408FA">
            <w:pPr>
              <w:rPr>
                <w:rFonts w:ascii="宋体" w:cs="Times New Roman"/>
              </w:rPr>
            </w:pPr>
            <w:r w:rsidRPr="00136FBE">
              <w:rPr>
                <w:rFonts w:ascii="宋体" w:hAnsi="宋体" w:cs="宋体" w:hint="eastAsia"/>
              </w:rPr>
              <w:t>2</w:t>
            </w:r>
            <w:r w:rsidR="00A408FA">
              <w:rPr>
                <w:rFonts w:ascii="宋体" w:hAnsi="宋体" w:cs="宋体" w:hint="eastAsia"/>
              </w:rPr>
              <w:t>0</w:t>
            </w:r>
          </w:p>
        </w:tc>
      </w:tr>
      <w:tr w:rsidR="00B23A40" w:rsidRPr="00136FBE" w14:paraId="7BD95B23" w14:textId="77777777">
        <w:trPr>
          <w:trHeight w:val="285"/>
        </w:trPr>
        <w:tc>
          <w:tcPr>
            <w:tcW w:w="7938" w:type="dxa"/>
          </w:tcPr>
          <w:p w14:paraId="5FA4E908" w14:textId="77777777" w:rsidR="00B23A40" w:rsidRPr="00136FBE" w:rsidRDefault="00DD1A0D">
            <w:pPr>
              <w:rPr>
                <w:rFonts w:ascii="宋体" w:hAnsi="宋体" w:cs="宋体"/>
              </w:rPr>
            </w:pPr>
            <w:r w:rsidRPr="00136FBE">
              <w:rPr>
                <w:rFonts w:ascii="宋体" w:hAnsi="宋体" w:cs="宋体" w:hint="eastAsia"/>
              </w:rPr>
              <w:t>十</w:t>
            </w:r>
            <w:r w:rsidR="0079324D" w:rsidRPr="00136FBE">
              <w:rPr>
                <w:rFonts w:ascii="宋体" w:hAnsi="宋体" w:cs="宋体" w:hint="eastAsia"/>
              </w:rPr>
              <w:t>四</w:t>
            </w:r>
            <w:r w:rsidRPr="00136FBE">
              <w:rPr>
                <w:rFonts w:ascii="宋体" w:hAnsi="宋体" w:cs="宋体" w:hint="eastAsia"/>
              </w:rPr>
              <w:t>、纳武利尤单抗</w:t>
            </w:r>
            <w:r w:rsidRPr="00136FBE">
              <w:rPr>
                <w:rFonts w:ascii="宋体" w:cs="宋体" w:hint="eastAsia"/>
              </w:rPr>
              <w:t>…………………………………………………………………………</w:t>
            </w:r>
          </w:p>
          <w:p w14:paraId="548CD316" w14:textId="77777777" w:rsidR="00B23A40" w:rsidRPr="00136FBE" w:rsidRDefault="00DD1A0D">
            <w:pPr>
              <w:rPr>
                <w:rFonts w:ascii="宋体" w:cs="宋体"/>
              </w:rPr>
            </w:pPr>
            <w:r w:rsidRPr="00136FBE">
              <w:rPr>
                <w:rFonts w:ascii="宋体" w:cs="Times New Roman" w:hint="eastAsia"/>
              </w:rPr>
              <w:t>十</w:t>
            </w:r>
            <w:r w:rsidR="0079324D" w:rsidRPr="00136FBE">
              <w:rPr>
                <w:rFonts w:ascii="宋体" w:cs="Times New Roman" w:hint="eastAsia"/>
              </w:rPr>
              <w:t>五</w:t>
            </w:r>
            <w:r w:rsidRPr="00136FBE">
              <w:rPr>
                <w:rFonts w:ascii="宋体" w:cs="Times New Roman" w:hint="eastAsia"/>
              </w:rPr>
              <w:t>、帕博利珠单抗</w:t>
            </w:r>
            <w:r w:rsidRPr="00136FBE">
              <w:rPr>
                <w:rFonts w:ascii="宋体" w:cs="宋体" w:hint="eastAsia"/>
              </w:rPr>
              <w:t>…………………………………………………………………………</w:t>
            </w:r>
          </w:p>
          <w:p w14:paraId="398AE482" w14:textId="77777777" w:rsidR="0079324D" w:rsidRPr="00136FBE" w:rsidRDefault="0079324D" w:rsidP="0079324D">
            <w:pPr>
              <w:rPr>
                <w:rFonts w:ascii="宋体" w:cs="Times New Roman"/>
              </w:rPr>
            </w:pPr>
            <w:r w:rsidRPr="00136FBE">
              <w:rPr>
                <w:rFonts w:ascii="宋体" w:cs="Times New Roman" w:hint="eastAsia"/>
              </w:rPr>
              <w:t>十六、度伐利尤单抗</w:t>
            </w:r>
            <w:r w:rsidRPr="00136FBE">
              <w:rPr>
                <w:rFonts w:ascii="宋体" w:cs="宋体" w:hint="eastAsia"/>
              </w:rPr>
              <w:t>…………………………………………………………………………</w:t>
            </w:r>
          </w:p>
          <w:p w14:paraId="206D3030" w14:textId="77777777" w:rsidR="0079324D" w:rsidRPr="00136FBE" w:rsidRDefault="0079324D" w:rsidP="0079324D">
            <w:pPr>
              <w:rPr>
                <w:rFonts w:ascii="宋体" w:cs="Times New Roman"/>
              </w:rPr>
            </w:pPr>
            <w:r w:rsidRPr="00136FBE">
              <w:rPr>
                <w:rFonts w:ascii="宋体" w:cs="Times New Roman" w:hint="eastAsia"/>
              </w:rPr>
              <w:t>十七、卡瑞利珠单抗</w:t>
            </w:r>
            <w:r w:rsidRPr="00136FBE">
              <w:rPr>
                <w:rFonts w:ascii="宋体" w:cs="宋体" w:hint="eastAsia"/>
              </w:rPr>
              <w:t>…………………………………………………………………………</w:t>
            </w:r>
          </w:p>
          <w:p w14:paraId="17DE5690" w14:textId="77777777" w:rsidR="0079324D" w:rsidRPr="00136FBE" w:rsidRDefault="0079324D" w:rsidP="0079324D">
            <w:pPr>
              <w:rPr>
                <w:rFonts w:ascii="宋体" w:cs="Times New Roman"/>
              </w:rPr>
            </w:pPr>
            <w:r w:rsidRPr="00136FBE">
              <w:rPr>
                <w:rFonts w:ascii="宋体" w:cs="Times New Roman" w:hint="eastAsia"/>
              </w:rPr>
              <w:t>十八、阿替利珠单抗</w:t>
            </w:r>
            <w:r w:rsidRPr="00136FBE">
              <w:rPr>
                <w:rFonts w:ascii="宋体" w:cs="宋体" w:hint="eastAsia"/>
              </w:rPr>
              <w:t>…………………………………………………………………………</w:t>
            </w:r>
          </w:p>
          <w:p w14:paraId="47ABA3D6" w14:textId="77777777" w:rsidR="00B23A40" w:rsidRPr="00136FBE" w:rsidRDefault="00DD1A0D" w:rsidP="0079324D">
            <w:pPr>
              <w:rPr>
                <w:rFonts w:ascii="宋体" w:cs="Times New Roman"/>
              </w:rPr>
            </w:pPr>
            <w:r w:rsidRPr="00136FBE">
              <w:rPr>
                <w:rFonts w:ascii="宋体" w:cs="Times New Roman" w:hint="eastAsia"/>
              </w:rPr>
              <w:t>十</w:t>
            </w:r>
            <w:r w:rsidR="0079324D" w:rsidRPr="00136FBE">
              <w:rPr>
                <w:rFonts w:ascii="宋体" w:cs="Times New Roman" w:hint="eastAsia"/>
              </w:rPr>
              <w:t>九</w:t>
            </w:r>
            <w:r w:rsidRPr="00136FBE">
              <w:rPr>
                <w:rFonts w:ascii="宋体" w:cs="Times New Roman" w:hint="eastAsia"/>
              </w:rPr>
              <w:t>、依维莫司</w:t>
            </w:r>
            <w:r w:rsidRPr="00136FBE">
              <w:rPr>
                <w:rFonts w:ascii="宋体" w:cs="宋体" w:hint="eastAsia"/>
              </w:rPr>
              <w:t>………………………………………………………………………………</w:t>
            </w:r>
          </w:p>
        </w:tc>
        <w:tc>
          <w:tcPr>
            <w:tcW w:w="584" w:type="dxa"/>
          </w:tcPr>
          <w:p w14:paraId="1EB91433" w14:textId="77777777" w:rsidR="00B23A40" w:rsidRPr="00136FBE" w:rsidRDefault="00E22B2A">
            <w:pPr>
              <w:rPr>
                <w:rFonts w:ascii="宋体" w:cs="Times New Roman"/>
              </w:rPr>
            </w:pPr>
            <w:r w:rsidRPr="00136FBE">
              <w:rPr>
                <w:rFonts w:ascii="宋体" w:hAnsi="宋体" w:cs="宋体" w:hint="eastAsia"/>
              </w:rPr>
              <w:t>2</w:t>
            </w:r>
            <w:r w:rsidR="00A408FA">
              <w:rPr>
                <w:rFonts w:ascii="宋体" w:hAnsi="宋体" w:cs="宋体" w:hint="eastAsia"/>
              </w:rPr>
              <w:t>2</w:t>
            </w:r>
          </w:p>
          <w:p w14:paraId="3D4898A2" w14:textId="77777777" w:rsidR="00B23A40" w:rsidRPr="00136FBE" w:rsidRDefault="00A408FA">
            <w:pPr>
              <w:jc w:val="left"/>
              <w:rPr>
                <w:rFonts w:ascii="宋体" w:hAnsi="宋体" w:cs="宋体"/>
              </w:rPr>
            </w:pPr>
            <w:r>
              <w:rPr>
                <w:rFonts w:ascii="宋体" w:hAnsi="宋体" w:cs="宋体" w:hint="eastAsia"/>
              </w:rPr>
              <w:t>24</w:t>
            </w:r>
          </w:p>
          <w:p w14:paraId="251449DB" w14:textId="77777777" w:rsidR="00B23A40" w:rsidRPr="00136FBE" w:rsidRDefault="00A408FA">
            <w:pPr>
              <w:jc w:val="left"/>
              <w:rPr>
                <w:rFonts w:ascii="宋体" w:hAnsi="宋体" w:cs="宋体"/>
              </w:rPr>
            </w:pPr>
            <w:r>
              <w:rPr>
                <w:rFonts w:ascii="宋体" w:hAnsi="宋体" w:cs="宋体" w:hint="eastAsia"/>
              </w:rPr>
              <w:t>27</w:t>
            </w:r>
          </w:p>
          <w:p w14:paraId="16622995" w14:textId="77777777" w:rsidR="008438A0" w:rsidRPr="00136FBE" w:rsidRDefault="00A408FA">
            <w:pPr>
              <w:jc w:val="left"/>
              <w:rPr>
                <w:rFonts w:ascii="宋体" w:hAnsi="宋体" w:cs="宋体"/>
              </w:rPr>
            </w:pPr>
            <w:r>
              <w:rPr>
                <w:rFonts w:ascii="宋体" w:hAnsi="宋体" w:cs="宋体" w:hint="eastAsia"/>
              </w:rPr>
              <w:t>29</w:t>
            </w:r>
          </w:p>
          <w:p w14:paraId="4EE1F67F" w14:textId="77777777" w:rsidR="008438A0" w:rsidRPr="00136FBE" w:rsidRDefault="008438A0">
            <w:pPr>
              <w:jc w:val="left"/>
              <w:rPr>
                <w:rFonts w:ascii="宋体" w:hAnsi="宋体" w:cs="宋体"/>
              </w:rPr>
            </w:pPr>
            <w:r w:rsidRPr="00136FBE">
              <w:rPr>
                <w:rFonts w:ascii="宋体" w:hAnsi="宋体" w:cs="宋体" w:hint="eastAsia"/>
              </w:rPr>
              <w:t>3</w:t>
            </w:r>
            <w:r w:rsidR="00A408FA">
              <w:rPr>
                <w:rFonts w:ascii="宋体" w:hAnsi="宋体" w:cs="宋体" w:hint="eastAsia"/>
              </w:rPr>
              <w:t>1</w:t>
            </w:r>
          </w:p>
          <w:p w14:paraId="4DBA36E9" w14:textId="77777777" w:rsidR="008438A0" w:rsidRPr="00136FBE" w:rsidRDefault="00A408FA">
            <w:pPr>
              <w:jc w:val="left"/>
              <w:rPr>
                <w:rFonts w:ascii="宋体" w:hAnsi="宋体" w:cs="宋体"/>
              </w:rPr>
            </w:pPr>
            <w:r>
              <w:rPr>
                <w:rFonts w:ascii="宋体" w:hAnsi="宋体" w:cs="宋体" w:hint="eastAsia"/>
              </w:rPr>
              <w:t>32</w:t>
            </w:r>
          </w:p>
        </w:tc>
      </w:tr>
    </w:tbl>
    <w:p w14:paraId="5C8A4D64" w14:textId="77777777" w:rsidR="00B23A40" w:rsidRPr="00136FBE" w:rsidRDefault="00DD1A0D">
      <w:pPr>
        <w:spacing w:line="360" w:lineRule="auto"/>
        <w:rPr>
          <w:rFonts w:ascii="宋体" w:cs="Times New Roman"/>
          <w:b/>
          <w:bCs/>
        </w:rPr>
      </w:pPr>
      <w:r w:rsidRPr="00136FBE">
        <w:rPr>
          <w:rFonts w:ascii="宋体" w:hAnsi="宋体" w:cs="宋体" w:hint="eastAsia"/>
          <w:b/>
          <w:bCs/>
        </w:rPr>
        <w:t>消化系统肿瘤用药</w:t>
      </w:r>
    </w:p>
    <w:tbl>
      <w:tblPr>
        <w:tblW w:w="8436" w:type="dxa"/>
        <w:tblInd w:w="-106" w:type="dxa"/>
        <w:tblLayout w:type="fixed"/>
        <w:tblLook w:val="04A0" w:firstRow="1" w:lastRow="0" w:firstColumn="1" w:lastColumn="0" w:noHBand="0" w:noVBand="1"/>
      </w:tblPr>
      <w:tblGrid>
        <w:gridCol w:w="7938"/>
        <w:gridCol w:w="498"/>
      </w:tblGrid>
      <w:tr w:rsidR="00B23A40" w:rsidRPr="00136FBE" w14:paraId="408CD738" w14:textId="77777777" w:rsidTr="004B59C4">
        <w:trPr>
          <w:trHeight w:val="285"/>
        </w:trPr>
        <w:tc>
          <w:tcPr>
            <w:tcW w:w="7938" w:type="dxa"/>
          </w:tcPr>
          <w:p w14:paraId="40C7E2F3" w14:textId="77777777" w:rsidR="00B23A40" w:rsidRPr="00136FBE" w:rsidRDefault="00DD1A0D">
            <w:pPr>
              <w:rPr>
                <w:rFonts w:ascii="宋体" w:cs="宋体"/>
              </w:rPr>
            </w:pPr>
            <w:r w:rsidRPr="00136FBE">
              <w:rPr>
                <w:rFonts w:ascii="宋体" w:hAnsi="宋体" w:cs="宋体" w:hint="eastAsia"/>
              </w:rPr>
              <w:t>一、索拉非尼</w:t>
            </w:r>
            <w:r w:rsidRPr="00136FBE">
              <w:rPr>
                <w:rFonts w:ascii="宋体" w:cs="宋体" w:hint="eastAsia"/>
              </w:rPr>
              <w:t>…………………………………………………………………………………</w:t>
            </w:r>
          </w:p>
          <w:p w14:paraId="4F5A5426" w14:textId="77777777" w:rsidR="00B23A40" w:rsidRPr="00136FBE" w:rsidRDefault="00DD1A0D">
            <w:pPr>
              <w:rPr>
                <w:rFonts w:ascii="宋体" w:cs="Times New Roman"/>
              </w:rPr>
            </w:pPr>
            <w:r w:rsidRPr="00136FBE">
              <w:rPr>
                <w:rFonts w:ascii="宋体" w:hAnsi="宋体" w:cs="宋体" w:hint="eastAsia"/>
              </w:rPr>
              <w:t>二、瑞戈非尼</w:t>
            </w:r>
            <w:r w:rsidRPr="00136FBE">
              <w:rPr>
                <w:rFonts w:ascii="宋体" w:cs="宋体" w:hint="eastAsia"/>
              </w:rPr>
              <w:t>…………………………………………………………………………………</w:t>
            </w:r>
          </w:p>
        </w:tc>
        <w:tc>
          <w:tcPr>
            <w:tcW w:w="498" w:type="dxa"/>
          </w:tcPr>
          <w:p w14:paraId="575B27C5" w14:textId="77777777" w:rsidR="00B23A40" w:rsidRPr="00136FBE" w:rsidRDefault="00A408FA">
            <w:pPr>
              <w:rPr>
                <w:rFonts w:ascii="宋体" w:hAnsi="宋体" w:cs="宋体"/>
              </w:rPr>
            </w:pPr>
            <w:r>
              <w:rPr>
                <w:rFonts w:ascii="宋体" w:hAnsi="宋体" w:cs="宋体" w:hint="eastAsia"/>
              </w:rPr>
              <w:t>34</w:t>
            </w:r>
          </w:p>
          <w:p w14:paraId="5F1194F8" w14:textId="77777777" w:rsidR="00B23A40" w:rsidRPr="00136FBE" w:rsidRDefault="00A408FA">
            <w:pPr>
              <w:rPr>
                <w:rFonts w:ascii="宋体" w:cs="Times New Roman"/>
              </w:rPr>
            </w:pPr>
            <w:r>
              <w:rPr>
                <w:rFonts w:ascii="宋体" w:cs="Times New Roman" w:hint="eastAsia"/>
              </w:rPr>
              <w:t>35</w:t>
            </w:r>
          </w:p>
        </w:tc>
      </w:tr>
      <w:tr w:rsidR="00B23A40" w:rsidRPr="00136FBE" w14:paraId="35BA4C12" w14:textId="77777777" w:rsidTr="004B59C4">
        <w:trPr>
          <w:trHeight w:val="285"/>
        </w:trPr>
        <w:tc>
          <w:tcPr>
            <w:tcW w:w="7938" w:type="dxa"/>
          </w:tcPr>
          <w:p w14:paraId="7629531C" w14:textId="77777777" w:rsidR="00B23A40" w:rsidRPr="00136FBE" w:rsidRDefault="00DD1A0D">
            <w:pPr>
              <w:rPr>
                <w:rFonts w:ascii="宋体" w:cs="宋体"/>
              </w:rPr>
            </w:pPr>
            <w:r w:rsidRPr="00136FBE">
              <w:rPr>
                <w:rFonts w:ascii="宋体" w:cs="Times New Roman" w:hint="eastAsia"/>
              </w:rPr>
              <w:t>三、仑伐替尼…………………………………………………………………………</w:t>
            </w:r>
            <w:r w:rsidRPr="00136FBE">
              <w:rPr>
                <w:rFonts w:ascii="宋体" w:cs="宋体" w:hint="eastAsia"/>
              </w:rPr>
              <w:t>………</w:t>
            </w:r>
          </w:p>
          <w:p w14:paraId="2A665C39" w14:textId="77777777" w:rsidR="00D57BB1" w:rsidRPr="00136FBE" w:rsidRDefault="00D57BB1">
            <w:pPr>
              <w:rPr>
                <w:rFonts w:ascii="宋体" w:cs="Times New Roman"/>
              </w:rPr>
            </w:pPr>
            <w:r w:rsidRPr="00136FBE">
              <w:rPr>
                <w:rFonts w:ascii="宋体" w:cs="Times New Roman" w:hint="eastAsia"/>
              </w:rPr>
              <w:t>四、卡瑞利珠单抗</w:t>
            </w:r>
            <w:r w:rsidRPr="00136FBE">
              <w:rPr>
                <w:rFonts w:ascii="宋体" w:cs="宋体" w:hint="eastAsia"/>
              </w:rPr>
              <w:t>……………………………………………………………………………</w:t>
            </w:r>
          </w:p>
        </w:tc>
        <w:tc>
          <w:tcPr>
            <w:tcW w:w="498" w:type="dxa"/>
          </w:tcPr>
          <w:p w14:paraId="33ECC4B5" w14:textId="77777777" w:rsidR="00B23A40" w:rsidRPr="00136FBE" w:rsidRDefault="00A408FA">
            <w:pPr>
              <w:rPr>
                <w:rFonts w:ascii="宋体" w:cs="Times New Roman"/>
              </w:rPr>
            </w:pPr>
            <w:r>
              <w:rPr>
                <w:rFonts w:ascii="宋体" w:cs="Times New Roman" w:hint="eastAsia"/>
              </w:rPr>
              <w:t>36</w:t>
            </w:r>
          </w:p>
          <w:p w14:paraId="1D4330F8" w14:textId="77777777" w:rsidR="008438A0" w:rsidRPr="00136FBE" w:rsidRDefault="00A408FA">
            <w:pPr>
              <w:rPr>
                <w:rFonts w:ascii="宋体" w:cs="Times New Roman"/>
              </w:rPr>
            </w:pPr>
            <w:r>
              <w:rPr>
                <w:rFonts w:ascii="宋体" w:cs="Times New Roman" w:hint="eastAsia"/>
              </w:rPr>
              <w:t>37</w:t>
            </w:r>
          </w:p>
        </w:tc>
      </w:tr>
      <w:tr w:rsidR="00B23A40" w:rsidRPr="00136FBE" w14:paraId="19528D84" w14:textId="77777777" w:rsidTr="004B59C4">
        <w:trPr>
          <w:trHeight w:val="285"/>
        </w:trPr>
        <w:tc>
          <w:tcPr>
            <w:tcW w:w="7938" w:type="dxa"/>
          </w:tcPr>
          <w:p w14:paraId="47052E4C" w14:textId="77777777" w:rsidR="00B23A40" w:rsidRPr="00136FBE" w:rsidRDefault="00292850" w:rsidP="00292850">
            <w:pPr>
              <w:rPr>
                <w:rFonts w:ascii="宋体" w:cs="Times New Roman"/>
              </w:rPr>
            </w:pPr>
            <w:r w:rsidRPr="00136FBE">
              <w:rPr>
                <w:rFonts w:ascii="宋体" w:cs="Times New Roman" w:hint="eastAsia"/>
              </w:rPr>
              <w:t>五、帕博利珠单抗</w:t>
            </w:r>
            <w:r w:rsidRPr="00136FBE">
              <w:rPr>
                <w:rFonts w:ascii="宋体" w:cs="宋体" w:hint="eastAsia"/>
              </w:rPr>
              <w:t>……………………………………………………………………………</w:t>
            </w:r>
            <w:r w:rsidRPr="00136FBE">
              <w:rPr>
                <w:rFonts w:ascii="宋体" w:hAnsi="宋体" w:cs="宋体" w:hint="eastAsia"/>
              </w:rPr>
              <w:t>六</w:t>
            </w:r>
            <w:r w:rsidR="00DD1A0D" w:rsidRPr="00136FBE">
              <w:rPr>
                <w:rFonts w:ascii="宋体" w:hAnsi="宋体" w:cs="宋体" w:hint="eastAsia"/>
              </w:rPr>
              <w:t>、曲妥珠单抗</w:t>
            </w:r>
            <w:r w:rsidR="00DD1A0D" w:rsidRPr="00136FBE">
              <w:rPr>
                <w:rFonts w:ascii="宋体" w:cs="宋体" w:hint="eastAsia"/>
              </w:rPr>
              <w:t>………………………………………………………………………………</w:t>
            </w:r>
          </w:p>
        </w:tc>
        <w:tc>
          <w:tcPr>
            <w:tcW w:w="498" w:type="dxa"/>
          </w:tcPr>
          <w:p w14:paraId="2CCDF8B2" w14:textId="77777777" w:rsidR="00B23A40" w:rsidRPr="00136FBE" w:rsidRDefault="00A408FA">
            <w:pPr>
              <w:rPr>
                <w:rFonts w:ascii="宋体" w:hAnsi="宋体" w:cs="宋体"/>
              </w:rPr>
            </w:pPr>
            <w:r>
              <w:rPr>
                <w:rFonts w:ascii="宋体" w:hAnsi="宋体" w:cs="宋体" w:hint="eastAsia"/>
              </w:rPr>
              <w:t>39</w:t>
            </w:r>
          </w:p>
          <w:p w14:paraId="74CA8B65" w14:textId="77777777" w:rsidR="008438A0" w:rsidRPr="00136FBE" w:rsidRDefault="00A408FA" w:rsidP="00AA6B0E">
            <w:pPr>
              <w:rPr>
                <w:rFonts w:ascii="宋体" w:cs="Times New Roman"/>
              </w:rPr>
            </w:pPr>
            <w:r>
              <w:rPr>
                <w:rFonts w:ascii="宋体" w:hAnsi="宋体" w:cs="宋体" w:hint="eastAsia"/>
              </w:rPr>
              <w:t>42</w:t>
            </w:r>
          </w:p>
        </w:tc>
      </w:tr>
      <w:tr w:rsidR="00B23A40" w:rsidRPr="00136FBE" w14:paraId="7C357FCF" w14:textId="77777777" w:rsidTr="004B59C4">
        <w:trPr>
          <w:trHeight w:val="285"/>
        </w:trPr>
        <w:tc>
          <w:tcPr>
            <w:tcW w:w="7938" w:type="dxa"/>
          </w:tcPr>
          <w:p w14:paraId="0F0BC31E" w14:textId="77777777" w:rsidR="00B23A40" w:rsidRPr="00136FBE" w:rsidRDefault="00292850">
            <w:pPr>
              <w:rPr>
                <w:rFonts w:ascii="宋体" w:cs="Times New Roman"/>
              </w:rPr>
            </w:pPr>
            <w:r w:rsidRPr="00136FBE">
              <w:rPr>
                <w:rFonts w:ascii="宋体" w:hAnsi="宋体" w:cs="宋体" w:hint="eastAsia"/>
              </w:rPr>
              <w:t>七</w:t>
            </w:r>
            <w:r w:rsidR="00DD1A0D" w:rsidRPr="00136FBE">
              <w:rPr>
                <w:rFonts w:ascii="宋体" w:hAnsi="宋体" w:cs="宋体" w:hint="eastAsia"/>
              </w:rPr>
              <w:t>、阿帕替尼</w:t>
            </w:r>
            <w:r w:rsidR="00DD1A0D" w:rsidRPr="00136FBE">
              <w:rPr>
                <w:rFonts w:ascii="宋体" w:cs="宋体" w:hint="eastAsia"/>
              </w:rPr>
              <w:t>…………………………………………………………………………………</w:t>
            </w:r>
          </w:p>
        </w:tc>
        <w:tc>
          <w:tcPr>
            <w:tcW w:w="498" w:type="dxa"/>
          </w:tcPr>
          <w:p w14:paraId="51491849" w14:textId="77777777" w:rsidR="00B23A40" w:rsidRPr="00136FBE" w:rsidRDefault="00A408FA">
            <w:pPr>
              <w:rPr>
                <w:rFonts w:ascii="宋体" w:cs="Times New Roman"/>
              </w:rPr>
            </w:pPr>
            <w:r>
              <w:rPr>
                <w:rFonts w:ascii="宋体" w:hAnsi="宋体" w:cs="宋体" w:hint="eastAsia"/>
              </w:rPr>
              <w:t>43</w:t>
            </w:r>
          </w:p>
        </w:tc>
      </w:tr>
      <w:tr w:rsidR="00B23A40" w:rsidRPr="00136FBE" w14:paraId="479A2543" w14:textId="77777777" w:rsidTr="004B59C4">
        <w:trPr>
          <w:trHeight w:val="285"/>
        </w:trPr>
        <w:tc>
          <w:tcPr>
            <w:tcW w:w="7938" w:type="dxa"/>
          </w:tcPr>
          <w:p w14:paraId="2B75197E" w14:textId="77777777" w:rsidR="00B23A40" w:rsidRPr="00136FBE" w:rsidRDefault="00292850" w:rsidP="00292850">
            <w:pPr>
              <w:rPr>
                <w:rFonts w:ascii="宋体" w:cs="Times New Roman"/>
              </w:rPr>
            </w:pPr>
            <w:r w:rsidRPr="00136FBE">
              <w:rPr>
                <w:rFonts w:ascii="宋体" w:hAnsi="宋体" w:cs="宋体" w:hint="eastAsia"/>
              </w:rPr>
              <w:t>八</w:t>
            </w:r>
            <w:r w:rsidR="00D57BB1" w:rsidRPr="00136FBE">
              <w:rPr>
                <w:rFonts w:ascii="宋体" w:hAnsi="宋体" w:cs="宋体" w:hint="eastAsia"/>
              </w:rPr>
              <w:t>、纳武利尤单抗</w:t>
            </w:r>
            <w:r w:rsidR="00D57BB1" w:rsidRPr="00136FBE">
              <w:rPr>
                <w:rFonts w:ascii="宋体" w:cs="宋体" w:hint="eastAsia"/>
              </w:rPr>
              <w:t>……………………………………………………………………………</w:t>
            </w:r>
            <w:r w:rsidRPr="00136FBE">
              <w:rPr>
                <w:rFonts w:ascii="宋体" w:hAnsi="宋体" w:cs="宋体" w:hint="eastAsia"/>
              </w:rPr>
              <w:t>九</w:t>
            </w:r>
            <w:r w:rsidR="00DD1A0D" w:rsidRPr="00136FBE">
              <w:rPr>
                <w:rFonts w:ascii="宋体" w:hAnsi="宋体" w:cs="宋体" w:hint="eastAsia"/>
              </w:rPr>
              <w:t>、伊马替尼</w:t>
            </w:r>
            <w:r w:rsidR="00DD1A0D" w:rsidRPr="00136FBE">
              <w:rPr>
                <w:rFonts w:ascii="宋体" w:cs="宋体" w:hint="eastAsia"/>
              </w:rPr>
              <w:t>…………………………………………………………………………………</w:t>
            </w:r>
          </w:p>
        </w:tc>
        <w:tc>
          <w:tcPr>
            <w:tcW w:w="498" w:type="dxa"/>
          </w:tcPr>
          <w:p w14:paraId="465FC2D3" w14:textId="77777777" w:rsidR="00B23A40" w:rsidRPr="00136FBE" w:rsidRDefault="00A408FA">
            <w:pPr>
              <w:rPr>
                <w:rFonts w:ascii="宋体" w:hAnsi="宋体" w:cs="宋体"/>
              </w:rPr>
            </w:pPr>
            <w:r>
              <w:rPr>
                <w:rFonts w:ascii="宋体" w:hAnsi="宋体" w:cs="宋体" w:hint="eastAsia"/>
              </w:rPr>
              <w:t>43</w:t>
            </w:r>
          </w:p>
          <w:p w14:paraId="62C20080" w14:textId="77777777" w:rsidR="008438A0" w:rsidRPr="00136FBE" w:rsidRDefault="00A408FA" w:rsidP="0048041E">
            <w:pPr>
              <w:rPr>
                <w:rFonts w:ascii="宋体" w:cs="Times New Roman"/>
              </w:rPr>
            </w:pPr>
            <w:r>
              <w:rPr>
                <w:rFonts w:ascii="宋体" w:hAnsi="宋体" w:cs="宋体" w:hint="eastAsia"/>
              </w:rPr>
              <w:t>46</w:t>
            </w:r>
          </w:p>
        </w:tc>
      </w:tr>
      <w:tr w:rsidR="00B23A40" w:rsidRPr="00136FBE" w14:paraId="7F794BA3" w14:textId="77777777" w:rsidTr="004B59C4">
        <w:trPr>
          <w:trHeight w:val="285"/>
        </w:trPr>
        <w:tc>
          <w:tcPr>
            <w:tcW w:w="7938" w:type="dxa"/>
          </w:tcPr>
          <w:p w14:paraId="7F94515B" w14:textId="77777777" w:rsidR="00B23A40" w:rsidRPr="00136FBE" w:rsidRDefault="00292850">
            <w:pPr>
              <w:rPr>
                <w:rFonts w:ascii="宋体" w:cs="Times New Roman"/>
              </w:rPr>
            </w:pPr>
            <w:r w:rsidRPr="00136FBE">
              <w:rPr>
                <w:rFonts w:ascii="宋体" w:hAnsi="宋体" w:cs="宋体" w:hint="eastAsia"/>
              </w:rPr>
              <w:t>十</w:t>
            </w:r>
            <w:r w:rsidR="00DD1A0D" w:rsidRPr="00136FBE">
              <w:rPr>
                <w:rFonts w:ascii="宋体" w:hAnsi="宋体" w:cs="宋体" w:hint="eastAsia"/>
              </w:rPr>
              <w:t>、舒尼替尼</w:t>
            </w:r>
            <w:r w:rsidR="00DD1A0D" w:rsidRPr="00136FBE">
              <w:rPr>
                <w:rFonts w:ascii="宋体" w:cs="宋体" w:hint="eastAsia"/>
              </w:rPr>
              <w:t>…………………………………………………………………………………</w:t>
            </w:r>
          </w:p>
        </w:tc>
        <w:tc>
          <w:tcPr>
            <w:tcW w:w="498" w:type="dxa"/>
          </w:tcPr>
          <w:p w14:paraId="7801FDFA" w14:textId="77777777" w:rsidR="00B23A40" w:rsidRPr="00136FBE" w:rsidRDefault="00A408FA" w:rsidP="00AA6B0E">
            <w:pPr>
              <w:rPr>
                <w:rFonts w:ascii="宋体" w:cs="Times New Roman"/>
              </w:rPr>
            </w:pPr>
            <w:r>
              <w:rPr>
                <w:rFonts w:ascii="宋体" w:hAnsi="宋体" w:cs="宋体" w:hint="eastAsia"/>
              </w:rPr>
              <w:t>47</w:t>
            </w:r>
          </w:p>
        </w:tc>
      </w:tr>
      <w:tr w:rsidR="00B23A40" w:rsidRPr="00136FBE" w14:paraId="00B6DE68" w14:textId="77777777" w:rsidTr="004B59C4">
        <w:trPr>
          <w:trHeight w:val="285"/>
        </w:trPr>
        <w:tc>
          <w:tcPr>
            <w:tcW w:w="7938" w:type="dxa"/>
          </w:tcPr>
          <w:p w14:paraId="6B57BB1A" w14:textId="77777777" w:rsidR="00D57BB1" w:rsidRPr="00136FBE" w:rsidRDefault="00D57BB1" w:rsidP="00292850">
            <w:pPr>
              <w:rPr>
                <w:rFonts w:ascii="宋体" w:cs="Times New Roman"/>
              </w:rPr>
            </w:pPr>
            <w:r w:rsidRPr="00136FBE">
              <w:rPr>
                <w:rFonts w:ascii="宋体" w:hAnsi="宋体" w:cs="宋体" w:hint="eastAsia"/>
              </w:rPr>
              <w:lastRenderedPageBreak/>
              <w:t>十</w:t>
            </w:r>
            <w:r w:rsidR="00292850" w:rsidRPr="00136FBE">
              <w:rPr>
                <w:rFonts w:ascii="宋体" w:hAnsi="宋体" w:cs="宋体" w:hint="eastAsia"/>
              </w:rPr>
              <w:t>一</w:t>
            </w:r>
            <w:r w:rsidR="00DD1A0D" w:rsidRPr="00136FBE">
              <w:rPr>
                <w:rFonts w:ascii="宋体" w:hAnsi="宋体" w:cs="宋体" w:hint="eastAsia"/>
              </w:rPr>
              <w:t>、依维莫司</w:t>
            </w:r>
            <w:r w:rsidR="00292850" w:rsidRPr="00136FBE">
              <w:rPr>
                <w:rFonts w:ascii="宋体" w:cs="宋体" w:hint="eastAsia"/>
              </w:rPr>
              <w:t>………………………………………………………………………………</w:t>
            </w:r>
          </w:p>
        </w:tc>
        <w:tc>
          <w:tcPr>
            <w:tcW w:w="498" w:type="dxa"/>
          </w:tcPr>
          <w:p w14:paraId="1FB1BD46" w14:textId="77777777" w:rsidR="00B23A40" w:rsidRPr="00136FBE" w:rsidRDefault="00A408FA" w:rsidP="00AA6B0E">
            <w:pPr>
              <w:rPr>
                <w:rFonts w:ascii="宋体" w:cs="Times New Roman"/>
              </w:rPr>
            </w:pPr>
            <w:r>
              <w:rPr>
                <w:rFonts w:ascii="宋体" w:hAnsi="宋体" w:cs="宋体" w:hint="eastAsia"/>
              </w:rPr>
              <w:t>48</w:t>
            </w:r>
          </w:p>
        </w:tc>
      </w:tr>
      <w:tr w:rsidR="00B23A40" w:rsidRPr="00136FBE" w14:paraId="741794CB" w14:textId="77777777" w:rsidTr="004B59C4">
        <w:trPr>
          <w:trHeight w:val="285"/>
        </w:trPr>
        <w:tc>
          <w:tcPr>
            <w:tcW w:w="7938" w:type="dxa"/>
          </w:tcPr>
          <w:p w14:paraId="027EE333" w14:textId="77777777" w:rsidR="00B23A40" w:rsidRPr="00136FBE" w:rsidRDefault="00D57BB1" w:rsidP="004B59C4">
            <w:pPr>
              <w:rPr>
                <w:rFonts w:ascii="宋体" w:cs="Times New Roman"/>
              </w:rPr>
            </w:pPr>
            <w:r w:rsidRPr="00136FBE">
              <w:rPr>
                <w:rFonts w:ascii="宋体" w:cs="Times New Roman" w:hint="eastAsia"/>
              </w:rPr>
              <w:t>十二</w:t>
            </w:r>
            <w:r w:rsidR="004B59C4" w:rsidRPr="00136FBE">
              <w:rPr>
                <w:rFonts w:ascii="宋体" w:cs="Times New Roman" w:hint="eastAsia"/>
              </w:rPr>
              <w:t>、西妥昔单抗……………………………………………………………………………</w:t>
            </w:r>
          </w:p>
        </w:tc>
        <w:tc>
          <w:tcPr>
            <w:tcW w:w="498" w:type="dxa"/>
          </w:tcPr>
          <w:p w14:paraId="58DEBD78" w14:textId="77777777" w:rsidR="00B23A40" w:rsidRPr="00136FBE" w:rsidRDefault="00A408FA" w:rsidP="00AA6B0E">
            <w:pPr>
              <w:rPr>
                <w:rFonts w:ascii="宋体" w:cs="Times New Roman"/>
              </w:rPr>
            </w:pPr>
            <w:r>
              <w:rPr>
                <w:rFonts w:ascii="宋体" w:hAnsi="宋体" w:cs="宋体" w:hint="eastAsia"/>
              </w:rPr>
              <w:t>50</w:t>
            </w:r>
          </w:p>
        </w:tc>
      </w:tr>
      <w:tr w:rsidR="00B23A40" w:rsidRPr="00136FBE" w14:paraId="3212AED1" w14:textId="77777777" w:rsidTr="004B59C4">
        <w:trPr>
          <w:trHeight w:val="285"/>
        </w:trPr>
        <w:tc>
          <w:tcPr>
            <w:tcW w:w="7938" w:type="dxa"/>
          </w:tcPr>
          <w:p w14:paraId="47B42C6D" w14:textId="77777777" w:rsidR="00B23A40" w:rsidRPr="00136FBE" w:rsidRDefault="00DD1A0D">
            <w:pPr>
              <w:rPr>
                <w:rFonts w:ascii="宋体" w:cs="Times New Roman"/>
              </w:rPr>
            </w:pPr>
            <w:r w:rsidRPr="00136FBE">
              <w:rPr>
                <w:rFonts w:ascii="宋体" w:cs="Times New Roman" w:hint="eastAsia"/>
              </w:rPr>
              <w:t>十</w:t>
            </w:r>
            <w:r w:rsidR="00D57BB1" w:rsidRPr="00136FBE">
              <w:rPr>
                <w:rFonts w:ascii="宋体" w:cs="Times New Roman" w:hint="eastAsia"/>
              </w:rPr>
              <w:t>三</w:t>
            </w:r>
            <w:r w:rsidRPr="00136FBE">
              <w:rPr>
                <w:rFonts w:ascii="宋体" w:cs="Times New Roman" w:hint="eastAsia"/>
              </w:rPr>
              <w:t>、</w:t>
            </w:r>
            <w:r w:rsidRPr="00136FBE">
              <w:rPr>
                <w:rFonts w:ascii="宋体" w:hAnsi="宋体" w:cs="宋体" w:hint="eastAsia"/>
              </w:rPr>
              <w:t>贝伐珠单抗</w:t>
            </w:r>
            <w:r w:rsidR="00D57BB1" w:rsidRPr="00136FBE">
              <w:rPr>
                <w:rFonts w:ascii="宋体" w:cs="Times New Roman" w:hint="eastAsia"/>
              </w:rPr>
              <w:t>……………………………………………………………………………</w:t>
            </w:r>
          </w:p>
          <w:p w14:paraId="66193507" w14:textId="77777777" w:rsidR="00B23A40" w:rsidRPr="00136FBE" w:rsidRDefault="00DD1A0D" w:rsidP="00D57BB1">
            <w:pPr>
              <w:rPr>
                <w:rFonts w:ascii="宋体" w:cs="Times New Roman"/>
              </w:rPr>
            </w:pPr>
            <w:r w:rsidRPr="00136FBE">
              <w:rPr>
                <w:rFonts w:ascii="宋体" w:cs="Times New Roman" w:hint="eastAsia"/>
              </w:rPr>
              <w:t>十</w:t>
            </w:r>
            <w:r w:rsidR="00D57BB1" w:rsidRPr="00136FBE">
              <w:rPr>
                <w:rFonts w:ascii="宋体" w:cs="Times New Roman" w:hint="eastAsia"/>
              </w:rPr>
              <w:t>四</w:t>
            </w:r>
            <w:r w:rsidRPr="00136FBE">
              <w:rPr>
                <w:rFonts w:ascii="宋体" w:cs="Times New Roman" w:hint="eastAsia"/>
              </w:rPr>
              <w:t>、呋喹替尼………………………………………………………………………………</w:t>
            </w:r>
          </w:p>
        </w:tc>
        <w:tc>
          <w:tcPr>
            <w:tcW w:w="498" w:type="dxa"/>
          </w:tcPr>
          <w:p w14:paraId="701428CE" w14:textId="77777777" w:rsidR="00B23A40" w:rsidRPr="00136FBE" w:rsidRDefault="00A408FA">
            <w:pPr>
              <w:rPr>
                <w:rFonts w:ascii="宋体" w:cs="Times New Roman"/>
              </w:rPr>
            </w:pPr>
            <w:r>
              <w:rPr>
                <w:rFonts w:ascii="宋体" w:cs="Times New Roman" w:hint="eastAsia"/>
              </w:rPr>
              <w:t>51</w:t>
            </w:r>
          </w:p>
          <w:p w14:paraId="506E49D1" w14:textId="77777777" w:rsidR="00B23A40" w:rsidRPr="00136FBE" w:rsidRDefault="00A408FA">
            <w:pPr>
              <w:rPr>
                <w:rFonts w:ascii="宋体" w:cs="Times New Roman"/>
              </w:rPr>
            </w:pPr>
            <w:r>
              <w:rPr>
                <w:rFonts w:ascii="宋体" w:cs="Times New Roman" w:hint="eastAsia"/>
              </w:rPr>
              <w:t>53</w:t>
            </w:r>
          </w:p>
        </w:tc>
      </w:tr>
    </w:tbl>
    <w:p w14:paraId="11C9643E" w14:textId="77777777" w:rsidR="00B23A40" w:rsidRPr="00136FBE" w:rsidRDefault="00DD1A0D">
      <w:pPr>
        <w:spacing w:line="360" w:lineRule="auto"/>
        <w:rPr>
          <w:rFonts w:ascii="宋体" w:cs="Times New Roman"/>
          <w:b/>
          <w:bCs/>
        </w:rPr>
      </w:pPr>
      <w:r w:rsidRPr="00136FBE">
        <w:rPr>
          <w:rFonts w:ascii="宋体" w:hAnsi="宋体" w:cs="宋体" w:hint="eastAsia"/>
          <w:b/>
          <w:bCs/>
        </w:rPr>
        <w:t>血液肿瘤用药</w:t>
      </w:r>
    </w:p>
    <w:tbl>
      <w:tblPr>
        <w:tblW w:w="8522" w:type="dxa"/>
        <w:tblInd w:w="-106" w:type="dxa"/>
        <w:tblLayout w:type="fixed"/>
        <w:tblLook w:val="04A0" w:firstRow="1" w:lastRow="0" w:firstColumn="1" w:lastColumn="0" w:noHBand="0" w:noVBand="1"/>
      </w:tblPr>
      <w:tblGrid>
        <w:gridCol w:w="7958"/>
        <w:gridCol w:w="564"/>
      </w:tblGrid>
      <w:tr w:rsidR="00B23A40" w:rsidRPr="00136FBE" w14:paraId="34DF9B45" w14:textId="77777777">
        <w:trPr>
          <w:trHeight w:val="285"/>
        </w:trPr>
        <w:tc>
          <w:tcPr>
            <w:tcW w:w="7958" w:type="dxa"/>
          </w:tcPr>
          <w:p w14:paraId="7617499B" w14:textId="77777777" w:rsidR="00B23A40" w:rsidRPr="00136FBE" w:rsidRDefault="00DD1A0D">
            <w:pPr>
              <w:rPr>
                <w:rFonts w:ascii="宋体" w:cs="Times New Roman"/>
              </w:rPr>
            </w:pPr>
            <w:r w:rsidRPr="00136FBE">
              <w:rPr>
                <w:rFonts w:ascii="宋体" w:hAnsi="宋体" w:cs="宋体" w:hint="eastAsia"/>
              </w:rPr>
              <w:t>一、伊马替尼</w:t>
            </w:r>
            <w:r w:rsidRPr="00136FBE">
              <w:rPr>
                <w:rFonts w:ascii="宋体" w:cs="宋体" w:hint="eastAsia"/>
              </w:rPr>
              <w:t>…………………………………………………………………………………</w:t>
            </w:r>
          </w:p>
        </w:tc>
        <w:tc>
          <w:tcPr>
            <w:tcW w:w="564" w:type="dxa"/>
          </w:tcPr>
          <w:p w14:paraId="766FAA27" w14:textId="77777777" w:rsidR="00B23A40" w:rsidRPr="00136FBE" w:rsidRDefault="00A408FA" w:rsidP="0048041E">
            <w:pPr>
              <w:rPr>
                <w:rFonts w:ascii="宋体" w:cs="Times New Roman"/>
              </w:rPr>
            </w:pPr>
            <w:r>
              <w:rPr>
                <w:rFonts w:ascii="宋体" w:hAnsi="宋体" w:cs="宋体" w:hint="eastAsia"/>
              </w:rPr>
              <w:t>54</w:t>
            </w:r>
          </w:p>
        </w:tc>
      </w:tr>
      <w:tr w:rsidR="00B23A40" w:rsidRPr="00136FBE" w14:paraId="554CA3C8" w14:textId="77777777">
        <w:trPr>
          <w:trHeight w:val="285"/>
        </w:trPr>
        <w:tc>
          <w:tcPr>
            <w:tcW w:w="7958" w:type="dxa"/>
          </w:tcPr>
          <w:p w14:paraId="01547EB6" w14:textId="77777777" w:rsidR="00B23A40" w:rsidRPr="00136FBE" w:rsidRDefault="00DD1A0D">
            <w:pPr>
              <w:rPr>
                <w:rFonts w:ascii="宋体" w:cs="Times New Roman"/>
              </w:rPr>
            </w:pPr>
            <w:r w:rsidRPr="00136FBE">
              <w:rPr>
                <w:rFonts w:ascii="宋体" w:hAnsi="宋体" w:cs="宋体" w:hint="eastAsia"/>
              </w:rPr>
              <w:t>二、达沙替尼</w:t>
            </w:r>
            <w:r w:rsidRPr="00136FBE">
              <w:rPr>
                <w:rFonts w:ascii="宋体" w:cs="宋体" w:hint="eastAsia"/>
              </w:rPr>
              <w:t>…………………………………………………………………………………</w:t>
            </w:r>
          </w:p>
        </w:tc>
        <w:tc>
          <w:tcPr>
            <w:tcW w:w="564" w:type="dxa"/>
          </w:tcPr>
          <w:p w14:paraId="218DBB06" w14:textId="77777777" w:rsidR="00B23A40" w:rsidRPr="00136FBE" w:rsidRDefault="00A408FA" w:rsidP="00F30E93">
            <w:pPr>
              <w:rPr>
                <w:rFonts w:ascii="宋体" w:cs="Times New Roman"/>
              </w:rPr>
            </w:pPr>
            <w:r>
              <w:rPr>
                <w:rFonts w:ascii="宋体" w:hAnsi="宋体" w:cs="宋体" w:hint="eastAsia"/>
              </w:rPr>
              <w:t>56</w:t>
            </w:r>
          </w:p>
        </w:tc>
      </w:tr>
      <w:tr w:rsidR="00B23A40" w:rsidRPr="00136FBE" w14:paraId="17079EB8" w14:textId="77777777">
        <w:trPr>
          <w:trHeight w:val="285"/>
        </w:trPr>
        <w:tc>
          <w:tcPr>
            <w:tcW w:w="7958" w:type="dxa"/>
          </w:tcPr>
          <w:p w14:paraId="78340363" w14:textId="77777777" w:rsidR="00B23A40" w:rsidRPr="00136FBE" w:rsidRDefault="00DD1A0D">
            <w:pPr>
              <w:rPr>
                <w:rFonts w:ascii="宋体" w:cs="Times New Roman"/>
              </w:rPr>
            </w:pPr>
            <w:r w:rsidRPr="00136FBE">
              <w:rPr>
                <w:rFonts w:ascii="宋体" w:hAnsi="宋体" w:cs="宋体" w:hint="eastAsia"/>
              </w:rPr>
              <w:t>三、尼洛替尼</w:t>
            </w:r>
            <w:r w:rsidRPr="00136FBE">
              <w:rPr>
                <w:rFonts w:ascii="宋体" w:cs="宋体" w:hint="eastAsia"/>
              </w:rPr>
              <w:t>…………………………………………………………………………………</w:t>
            </w:r>
          </w:p>
        </w:tc>
        <w:tc>
          <w:tcPr>
            <w:tcW w:w="564" w:type="dxa"/>
          </w:tcPr>
          <w:p w14:paraId="7E72D94F" w14:textId="77777777" w:rsidR="00B23A40" w:rsidRPr="00136FBE" w:rsidRDefault="00A408FA" w:rsidP="00F30E93">
            <w:pPr>
              <w:rPr>
                <w:rFonts w:ascii="宋体" w:cs="Times New Roman"/>
              </w:rPr>
            </w:pPr>
            <w:r>
              <w:rPr>
                <w:rFonts w:ascii="宋体" w:hAnsi="宋体" w:cs="宋体" w:hint="eastAsia"/>
              </w:rPr>
              <w:t>57</w:t>
            </w:r>
          </w:p>
        </w:tc>
      </w:tr>
      <w:tr w:rsidR="00B23A40" w:rsidRPr="00136FBE" w14:paraId="74D45550" w14:textId="77777777">
        <w:trPr>
          <w:trHeight w:val="285"/>
        </w:trPr>
        <w:tc>
          <w:tcPr>
            <w:tcW w:w="7958" w:type="dxa"/>
          </w:tcPr>
          <w:p w14:paraId="1A60A56E" w14:textId="77777777" w:rsidR="00B23A40" w:rsidRPr="00136FBE" w:rsidRDefault="00DD1A0D">
            <w:pPr>
              <w:rPr>
                <w:rFonts w:ascii="宋体" w:cs="Times New Roman"/>
              </w:rPr>
            </w:pPr>
            <w:r w:rsidRPr="00136FBE">
              <w:rPr>
                <w:rFonts w:ascii="宋体" w:hAnsi="宋体" w:cs="宋体" w:hint="eastAsia"/>
              </w:rPr>
              <w:t>四、伊布替尼</w:t>
            </w:r>
            <w:r w:rsidRPr="00136FBE">
              <w:rPr>
                <w:rFonts w:ascii="宋体" w:cs="宋体" w:hint="eastAsia"/>
              </w:rPr>
              <w:t>…………………………………………………………………………………</w:t>
            </w:r>
          </w:p>
        </w:tc>
        <w:tc>
          <w:tcPr>
            <w:tcW w:w="564" w:type="dxa"/>
          </w:tcPr>
          <w:p w14:paraId="08B7235D" w14:textId="77777777" w:rsidR="00B23A40" w:rsidRPr="00136FBE" w:rsidRDefault="00A408FA" w:rsidP="00F30E93">
            <w:pPr>
              <w:rPr>
                <w:rFonts w:ascii="宋体" w:cs="Times New Roman"/>
              </w:rPr>
            </w:pPr>
            <w:r>
              <w:rPr>
                <w:rFonts w:ascii="宋体" w:hAnsi="宋体" w:cs="宋体" w:hint="eastAsia"/>
              </w:rPr>
              <w:t>58</w:t>
            </w:r>
          </w:p>
        </w:tc>
      </w:tr>
      <w:tr w:rsidR="00B23A40" w:rsidRPr="00136FBE" w14:paraId="2A697935" w14:textId="77777777">
        <w:trPr>
          <w:trHeight w:val="285"/>
        </w:trPr>
        <w:tc>
          <w:tcPr>
            <w:tcW w:w="7958" w:type="dxa"/>
          </w:tcPr>
          <w:p w14:paraId="10D9D68D" w14:textId="77777777" w:rsidR="00B23A40" w:rsidRPr="00136FBE" w:rsidRDefault="00DD1A0D">
            <w:pPr>
              <w:rPr>
                <w:rFonts w:ascii="宋体" w:cs="宋体"/>
              </w:rPr>
            </w:pPr>
            <w:r w:rsidRPr="00136FBE">
              <w:rPr>
                <w:rFonts w:ascii="宋体" w:hAnsi="宋体" w:cs="宋体" w:hint="eastAsia"/>
              </w:rPr>
              <w:t>五、利妥昔单抗</w:t>
            </w:r>
            <w:r w:rsidRPr="00136FBE">
              <w:rPr>
                <w:rFonts w:ascii="宋体" w:cs="宋体" w:hint="eastAsia"/>
              </w:rPr>
              <w:t>………………………………………………………………………………</w:t>
            </w:r>
          </w:p>
          <w:p w14:paraId="100895B3" w14:textId="77777777" w:rsidR="00962597" w:rsidRPr="00136FBE" w:rsidRDefault="00962597">
            <w:pPr>
              <w:rPr>
                <w:rFonts w:ascii="宋体" w:cs="Times New Roman"/>
              </w:rPr>
            </w:pPr>
            <w:r w:rsidRPr="00136FBE">
              <w:rPr>
                <w:rFonts w:ascii="宋体" w:cs="宋体" w:hint="eastAsia"/>
              </w:rPr>
              <w:t>六、</w:t>
            </w:r>
            <w:r w:rsidRPr="00136FBE">
              <w:rPr>
                <w:rFonts w:ascii="宋体" w:hAnsi="宋体" w:cs="宋体" w:hint="eastAsia"/>
              </w:rPr>
              <w:t>维布妥昔单抗</w:t>
            </w:r>
            <w:r w:rsidRPr="00136FBE">
              <w:rPr>
                <w:rFonts w:ascii="宋体" w:cs="宋体" w:hint="eastAsia"/>
              </w:rPr>
              <w:t>……………………………………………………………………………</w:t>
            </w:r>
          </w:p>
        </w:tc>
        <w:tc>
          <w:tcPr>
            <w:tcW w:w="564" w:type="dxa"/>
          </w:tcPr>
          <w:p w14:paraId="3463A987" w14:textId="77777777" w:rsidR="00B23A40" w:rsidRPr="00136FBE" w:rsidRDefault="008438A0">
            <w:pPr>
              <w:rPr>
                <w:rFonts w:ascii="宋体" w:hAnsi="宋体" w:cs="宋体"/>
              </w:rPr>
            </w:pPr>
            <w:r w:rsidRPr="00136FBE">
              <w:rPr>
                <w:rFonts w:ascii="宋体" w:hAnsi="宋体" w:cs="宋体" w:hint="eastAsia"/>
              </w:rPr>
              <w:t>6</w:t>
            </w:r>
            <w:r w:rsidR="00A408FA">
              <w:rPr>
                <w:rFonts w:ascii="宋体" w:hAnsi="宋体" w:cs="宋体" w:hint="eastAsia"/>
              </w:rPr>
              <w:t>0</w:t>
            </w:r>
          </w:p>
          <w:p w14:paraId="6E6B6E0A" w14:textId="77777777" w:rsidR="008438A0" w:rsidRPr="00136FBE" w:rsidRDefault="008438A0" w:rsidP="00A408FA">
            <w:pPr>
              <w:rPr>
                <w:rFonts w:ascii="宋体" w:cs="Times New Roman"/>
              </w:rPr>
            </w:pPr>
            <w:r w:rsidRPr="00136FBE">
              <w:rPr>
                <w:rFonts w:ascii="宋体" w:hAnsi="宋体" w:cs="宋体" w:hint="eastAsia"/>
              </w:rPr>
              <w:t>6</w:t>
            </w:r>
            <w:r w:rsidR="00A408FA">
              <w:rPr>
                <w:rFonts w:ascii="宋体" w:hAnsi="宋体" w:cs="宋体" w:hint="eastAsia"/>
              </w:rPr>
              <w:t>1</w:t>
            </w:r>
          </w:p>
        </w:tc>
      </w:tr>
      <w:tr w:rsidR="00B23A40" w:rsidRPr="00136FBE" w14:paraId="4A17D1E7" w14:textId="77777777">
        <w:trPr>
          <w:trHeight w:val="285"/>
        </w:trPr>
        <w:tc>
          <w:tcPr>
            <w:tcW w:w="7958" w:type="dxa"/>
          </w:tcPr>
          <w:p w14:paraId="2B5BBE99" w14:textId="77777777" w:rsidR="00B23A40" w:rsidRPr="00136FBE" w:rsidRDefault="00962597">
            <w:pPr>
              <w:rPr>
                <w:rFonts w:ascii="宋体" w:cs="Times New Roman"/>
              </w:rPr>
            </w:pPr>
            <w:r w:rsidRPr="00136FBE">
              <w:rPr>
                <w:rFonts w:ascii="宋体" w:hAnsi="宋体" w:cs="宋体" w:hint="eastAsia"/>
              </w:rPr>
              <w:t>七</w:t>
            </w:r>
            <w:r w:rsidR="00DD1A0D" w:rsidRPr="00136FBE">
              <w:rPr>
                <w:rFonts w:ascii="宋体" w:hAnsi="宋体" w:cs="宋体" w:hint="eastAsia"/>
              </w:rPr>
              <w:t>、西达本胺</w:t>
            </w:r>
            <w:r w:rsidR="00DD1A0D" w:rsidRPr="00136FBE">
              <w:rPr>
                <w:rFonts w:ascii="宋体" w:cs="宋体" w:hint="eastAsia"/>
              </w:rPr>
              <w:t>…………………………………………………………………………………</w:t>
            </w:r>
          </w:p>
        </w:tc>
        <w:tc>
          <w:tcPr>
            <w:tcW w:w="564" w:type="dxa"/>
          </w:tcPr>
          <w:p w14:paraId="79ABACF9" w14:textId="77777777" w:rsidR="00B23A40" w:rsidRPr="00136FBE" w:rsidRDefault="00A408FA">
            <w:pPr>
              <w:rPr>
                <w:rFonts w:ascii="宋体" w:cs="Times New Roman"/>
              </w:rPr>
            </w:pPr>
            <w:r>
              <w:rPr>
                <w:rFonts w:ascii="宋体" w:hAnsi="宋体" w:cs="宋体" w:hint="eastAsia"/>
              </w:rPr>
              <w:t>63</w:t>
            </w:r>
          </w:p>
        </w:tc>
      </w:tr>
      <w:tr w:rsidR="00B23A40" w:rsidRPr="00136FBE" w14:paraId="2B9C77FE" w14:textId="77777777">
        <w:trPr>
          <w:trHeight w:val="285"/>
        </w:trPr>
        <w:tc>
          <w:tcPr>
            <w:tcW w:w="7958" w:type="dxa"/>
          </w:tcPr>
          <w:p w14:paraId="0EDC7818" w14:textId="77777777" w:rsidR="00B23A40" w:rsidRPr="00136FBE" w:rsidRDefault="00962597">
            <w:pPr>
              <w:rPr>
                <w:rFonts w:ascii="宋体" w:cs="宋体"/>
              </w:rPr>
            </w:pPr>
            <w:r w:rsidRPr="00136FBE">
              <w:rPr>
                <w:rFonts w:ascii="宋体" w:hAnsi="宋体" w:cs="宋体" w:hint="eastAsia"/>
              </w:rPr>
              <w:t>八</w:t>
            </w:r>
            <w:r w:rsidR="00DD1A0D" w:rsidRPr="00136FBE">
              <w:rPr>
                <w:rFonts w:ascii="宋体" w:hAnsi="宋体" w:cs="宋体" w:hint="eastAsia"/>
              </w:rPr>
              <w:t>、硼替佐米</w:t>
            </w:r>
            <w:r w:rsidR="00DD1A0D" w:rsidRPr="00136FBE">
              <w:rPr>
                <w:rFonts w:ascii="宋体" w:cs="宋体" w:hint="eastAsia"/>
              </w:rPr>
              <w:t>…………………………………………………………………………………</w:t>
            </w:r>
          </w:p>
          <w:p w14:paraId="3AF7D6C8" w14:textId="77777777" w:rsidR="00B23A40" w:rsidRPr="00136FBE" w:rsidRDefault="00962597">
            <w:pPr>
              <w:rPr>
                <w:rFonts w:ascii="宋体" w:cs="宋体"/>
              </w:rPr>
            </w:pPr>
            <w:r w:rsidRPr="00136FBE">
              <w:rPr>
                <w:rFonts w:ascii="宋体" w:cs="Times New Roman" w:hint="eastAsia"/>
              </w:rPr>
              <w:t>九</w:t>
            </w:r>
            <w:r w:rsidR="00DD1A0D" w:rsidRPr="00136FBE">
              <w:rPr>
                <w:rFonts w:ascii="宋体" w:cs="Times New Roman" w:hint="eastAsia"/>
              </w:rPr>
              <w:t>、信迪利单抗</w:t>
            </w:r>
            <w:r w:rsidR="00DD1A0D" w:rsidRPr="00136FBE">
              <w:rPr>
                <w:rFonts w:ascii="宋体" w:cs="宋体" w:hint="eastAsia"/>
              </w:rPr>
              <w:t>………………………………………………………………………………</w:t>
            </w:r>
          </w:p>
          <w:p w14:paraId="50F79AFC" w14:textId="77777777" w:rsidR="00B23A40" w:rsidRPr="00136FBE" w:rsidRDefault="00962597">
            <w:pPr>
              <w:rPr>
                <w:rFonts w:ascii="宋体" w:cs="宋体"/>
              </w:rPr>
            </w:pPr>
            <w:r w:rsidRPr="00136FBE">
              <w:rPr>
                <w:rFonts w:ascii="宋体" w:cs="宋体" w:hint="eastAsia"/>
              </w:rPr>
              <w:t>十</w:t>
            </w:r>
            <w:r w:rsidR="00DD1A0D" w:rsidRPr="00136FBE">
              <w:rPr>
                <w:rFonts w:ascii="宋体" w:cs="宋体" w:hint="eastAsia"/>
              </w:rPr>
              <w:t>、</w:t>
            </w:r>
            <w:r w:rsidR="00DD1A0D" w:rsidRPr="00136FBE">
              <w:rPr>
                <w:rFonts w:ascii="宋体" w:cs="Times New Roman" w:hint="eastAsia"/>
              </w:rPr>
              <w:t>卡瑞利珠单抗</w:t>
            </w:r>
            <w:r w:rsidR="00DD1A0D" w:rsidRPr="00136FBE">
              <w:rPr>
                <w:rFonts w:ascii="宋体" w:cs="宋体" w:hint="eastAsia"/>
              </w:rPr>
              <w:t>……………………………………………………………………………</w:t>
            </w:r>
          </w:p>
          <w:p w14:paraId="460197B4" w14:textId="77777777" w:rsidR="00962597" w:rsidRPr="00136FBE" w:rsidRDefault="00962597">
            <w:pPr>
              <w:rPr>
                <w:rFonts w:ascii="宋体" w:cs="宋体"/>
              </w:rPr>
            </w:pPr>
            <w:r w:rsidRPr="00136FBE">
              <w:rPr>
                <w:rFonts w:ascii="宋体" w:cs="Times New Roman" w:hint="eastAsia"/>
              </w:rPr>
              <w:t>十一、替雷利珠单抗</w:t>
            </w:r>
            <w:r w:rsidRPr="00136FBE">
              <w:rPr>
                <w:rFonts w:ascii="宋体" w:cs="宋体" w:hint="eastAsia"/>
              </w:rPr>
              <w:t>…………………………………………………………………………</w:t>
            </w:r>
          </w:p>
          <w:p w14:paraId="4625AC48" w14:textId="77777777" w:rsidR="00962597" w:rsidRPr="00136FBE" w:rsidRDefault="00962597" w:rsidP="00962597">
            <w:pPr>
              <w:rPr>
                <w:rFonts w:ascii="宋体" w:cs="Times New Roman"/>
              </w:rPr>
            </w:pPr>
            <w:r w:rsidRPr="00136FBE">
              <w:rPr>
                <w:rFonts w:ascii="宋体" w:hAnsi="宋体" w:cs="宋体" w:hint="eastAsia"/>
              </w:rPr>
              <w:t>十二、泽布替尼</w:t>
            </w:r>
            <w:r w:rsidRPr="00136FBE">
              <w:rPr>
                <w:rFonts w:ascii="宋体" w:cs="宋体" w:hint="eastAsia"/>
              </w:rPr>
              <w:t>………………………………………………………………………………</w:t>
            </w:r>
          </w:p>
        </w:tc>
        <w:tc>
          <w:tcPr>
            <w:tcW w:w="564" w:type="dxa"/>
          </w:tcPr>
          <w:p w14:paraId="2E4F2278" w14:textId="77777777" w:rsidR="00B23A40" w:rsidRPr="00136FBE" w:rsidRDefault="00A408FA">
            <w:pPr>
              <w:rPr>
                <w:rFonts w:ascii="宋体" w:hAnsi="宋体" w:cs="宋体"/>
              </w:rPr>
            </w:pPr>
            <w:r>
              <w:rPr>
                <w:rFonts w:ascii="宋体" w:hAnsi="宋体" w:cs="宋体" w:hint="eastAsia"/>
              </w:rPr>
              <w:t>64</w:t>
            </w:r>
          </w:p>
          <w:p w14:paraId="2CEA270B" w14:textId="77777777" w:rsidR="00B23A40" w:rsidRPr="00136FBE" w:rsidRDefault="00A408FA">
            <w:pPr>
              <w:rPr>
                <w:rFonts w:ascii="宋体" w:cs="Times New Roman"/>
              </w:rPr>
            </w:pPr>
            <w:r>
              <w:rPr>
                <w:rFonts w:ascii="宋体" w:cs="Times New Roman" w:hint="eastAsia"/>
              </w:rPr>
              <w:t>66</w:t>
            </w:r>
          </w:p>
          <w:p w14:paraId="2DE8957B" w14:textId="77777777" w:rsidR="00B23A40" w:rsidRPr="00136FBE" w:rsidRDefault="00A408FA">
            <w:pPr>
              <w:rPr>
                <w:rFonts w:ascii="宋体" w:cs="Times New Roman"/>
              </w:rPr>
            </w:pPr>
            <w:r>
              <w:rPr>
                <w:rFonts w:ascii="宋体" w:cs="Times New Roman" w:hint="eastAsia"/>
              </w:rPr>
              <w:t>67</w:t>
            </w:r>
          </w:p>
          <w:p w14:paraId="4EBB6A45" w14:textId="77777777" w:rsidR="008438A0" w:rsidRPr="00136FBE" w:rsidRDefault="00A408FA">
            <w:pPr>
              <w:rPr>
                <w:rFonts w:ascii="宋体" w:cs="Times New Roman"/>
              </w:rPr>
            </w:pPr>
            <w:r>
              <w:rPr>
                <w:rFonts w:ascii="宋体" w:cs="Times New Roman" w:hint="eastAsia"/>
              </w:rPr>
              <w:t>70</w:t>
            </w:r>
          </w:p>
          <w:p w14:paraId="06E8CA10" w14:textId="77777777" w:rsidR="008438A0" w:rsidRPr="00136FBE" w:rsidRDefault="00F30E93" w:rsidP="00A408FA">
            <w:pPr>
              <w:rPr>
                <w:rFonts w:ascii="宋体" w:cs="Times New Roman"/>
              </w:rPr>
            </w:pPr>
            <w:r>
              <w:rPr>
                <w:rFonts w:ascii="宋体" w:cs="Times New Roman" w:hint="eastAsia"/>
              </w:rPr>
              <w:t>7</w:t>
            </w:r>
            <w:r w:rsidR="00A408FA">
              <w:rPr>
                <w:rFonts w:ascii="宋体" w:cs="Times New Roman" w:hint="eastAsia"/>
              </w:rPr>
              <w:t>2</w:t>
            </w:r>
          </w:p>
        </w:tc>
      </w:tr>
      <w:tr w:rsidR="00B23A40" w:rsidRPr="00136FBE" w14:paraId="756DAB1F" w14:textId="77777777">
        <w:trPr>
          <w:trHeight w:val="285"/>
        </w:trPr>
        <w:tc>
          <w:tcPr>
            <w:tcW w:w="7958" w:type="dxa"/>
          </w:tcPr>
          <w:p w14:paraId="2CB41D3F" w14:textId="77777777" w:rsidR="00B23A40" w:rsidRPr="00136FBE" w:rsidRDefault="00DD1A0D" w:rsidP="00962597">
            <w:pPr>
              <w:rPr>
                <w:rFonts w:ascii="宋体" w:cs="Times New Roman"/>
              </w:rPr>
            </w:pPr>
            <w:r w:rsidRPr="00136FBE">
              <w:rPr>
                <w:rFonts w:ascii="宋体" w:hAnsi="宋体" w:cs="宋体" w:hint="eastAsia"/>
              </w:rPr>
              <w:t>十</w:t>
            </w:r>
            <w:r w:rsidR="00962597" w:rsidRPr="00136FBE">
              <w:rPr>
                <w:rFonts w:ascii="宋体" w:hAnsi="宋体" w:cs="宋体" w:hint="eastAsia"/>
              </w:rPr>
              <w:t>三</w:t>
            </w:r>
            <w:r w:rsidRPr="00136FBE">
              <w:rPr>
                <w:rFonts w:ascii="宋体" w:hAnsi="宋体" w:cs="宋体" w:hint="eastAsia"/>
              </w:rPr>
              <w:t>、来那度胺</w:t>
            </w:r>
            <w:r w:rsidR="00962597" w:rsidRPr="00136FBE">
              <w:rPr>
                <w:rFonts w:ascii="宋体" w:cs="宋体" w:hint="eastAsia"/>
              </w:rPr>
              <w:t>……</w:t>
            </w:r>
            <w:r w:rsidRPr="00136FBE">
              <w:rPr>
                <w:rFonts w:ascii="宋体" w:cs="宋体" w:hint="eastAsia"/>
              </w:rPr>
              <w:t>…………………………………………………………………………</w:t>
            </w:r>
          </w:p>
        </w:tc>
        <w:tc>
          <w:tcPr>
            <w:tcW w:w="564" w:type="dxa"/>
          </w:tcPr>
          <w:p w14:paraId="14D2C8CA" w14:textId="77777777" w:rsidR="00B23A40" w:rsidRPr="00136FBE" w:rsidRDefault="00A408FA" w:rsidP="00F30E93">
            <w:pPr>
              <w:rPr>
                <w:rFonts w:ascii="宋体" w:cs="Times New Roman"/>
              </w:rPr>
            </w:pPr>
            <w:r>
              <w:rPr>
                <w:rFonts w:ascii="宋体" w:hAnsi="宋体" w:cs="宋体" w:hint="eastAsia"/>
              </w:rPr>
              <w:t>74</w:t>
            </w:r>
          </w:p>
        </w:tc>
      </w:tr>
      <w:tr w:rsidR="00B23A40" w:rsidRPr="00136FBE" w14:paraId="5CA27AB7" w14:textId="77777777">
        <w:trPr>
          <w:trHeight w:val="285"/>
        </w:trPr>
        <w:tc>
          <w:tcPr>
            <w:tcW w:w="7958" w:type="dxa"/>
          </w:tcPr>
          <w:p w14:paraId="0B4AB7E1" w14:textId="77777777" w:rsidR="00B23A40" w:rsidRPr="00136FBE" w:rsidRDefault="00DD1A0D">
            <w:pPr>
              <w:rPr>
                <w:rFonts w:ascii="宋体" w:cs="宋体"/>
              </w:rPr>
            </w:pPr>
            <w:r w:rsidRPr="00136FBE">
              <w:rPr>
                <w:rFonts w:ascii="宋体" w:hAnsi="宋体" w:cs="宋体" w:hint="eastAsia"/>
              </w:rPr>
              <w:t>十</w:t>
            </w:r>
            <w:r w:rsidR="00962597" w:rsidRPr="00136FBE">
              <w:rPr>
                <w:rFonts w:ascii="宋体" w:hAnsi="宋体" w:cs="宋体" w:hint="eastAsia"/>
              </w:rPr>
              <w:t>四</w:t>
            </w:r>
            <w:r w:rsidRPr="00136FBE">
              <w:rPr>
                <w:rFonts w:ascii="宋体" w:hAnsi="宋体" w:cs="宋体" w:hint="eastAsia"/>
              </w:rPr>
              <w:t>、沙利度胺</w:t>
            </w:r>
            <w:r w:rsidRPr="00136FBE">
              <w:rPr>
                <w:rFonts w:ascii="宋体" w:cs="宋体" w:hint="eastAsia"/>
              </w:rPr>
              <w:t>………………………………………………………………………………</w:t>
            </w:r>
          </w:p>
          <w:p w14:paraId="4C7CF0B4" w14:textId="77777777" w:rsidR="00B23A40" w:rsidRPr="00136FBE" w:rsidRDefault="00DD1A0D" w:rsidP="00962597">
            <w:pPr>
              <w:rPr>
                <w:rFonts w:ascii="宋体" w:cs="宋体"/>
              </w:rPr>
            </w:pPr>
            <w:r w:rsidRPr="00136FBE">
              <w:rPr>
                <w:rFonts w:ascii="宋体" w:cs="Times New Roman" w:hint="eastAsia"/>
              </w:rPr>
              <w:t>十</w:t>
            </w:r>
            <w:r w:rsidR="00962597" w:rsidRPr="00136FBE">
              <w:rPr>
                <w:rFonts w:ascii="宋体" w:cs="Times New Roman" w:hint="eastAsia"/>
              </w:rPr>
              <w:t>五</w:t>
            </w:r>
            <w:r w:rsidRPr="00136FBE">
              <w:rPr>
                <w:rFonts w:ascii="宋体" w:cs="Times New Roman" w:hint="eastAsia"/>
              </w:rPr>
              <w:t>、伊沙佐米</w:t>
            </w:r>
            <w:r w:rsidRPr="00136FBE">
              <w:rPr>
                <w:rFonts w:ascii="宋体" w:cs="宋体" w:hint="eastAsia"/>
              </w:rPr>
              <w:t>………………………………………………………………………………</w:t>
            </w:r>
          </w:p>
          <w:p w14:paraId="702B0B8B" w14:textId="77777777" w:rsidR="00962597" w:rsidRPr="00136FBE" w:rsidRDefault="00962597" w:rsidP="00962597">
            <w:pPr>
              <w:rPr>
                <w:rFonts w:ascii="宋体" w:cs="Times New Roman"/>
              </w:rPr>
            </w:pPr>
            <w:r w:rsidRPr="00136FBE">
              <w:rPr>
                <w:rFonts w:ascii="宋体" w:cs="宋体" w:hint="eastAsia"/>
              </w:rPr>
              <w:t>十六、</w:t>
            </w:r>
            <w:r w:rsidRPr="00136FBE">
              <w:rPr>
                <w:rFonts w:ascii="宋体" w:hAnsi="宋体" w:cs="宋体" w:hint="eastAsia"/>
              </w:rPr>
              <w:t>达雷妥尤单抗</w:t>
            </w:r>
            <w:r w:rsidRPr="00136FBE">
              <w:rPr>
                <w:rFonts w:ascii="宋体" w:cs="宋体" w:hint="eastAsia"/>
              </w:rPr>
              <w:t>…………………………………………………………………………</w:t>
            </w:r>
          </w:p>
        </w:tc>
        <w:tc>
          <w:tcPr>
            <w:tcW w:w="564" w:type="dxa"/>
          </w:tcPr>
          <w:p w14:paraId="3E66D1C0" w14:textId="77777777" w:rsidR="00B23A40" w:rsidRPr="00136FBE" w:rsidRDefault="00A408FA">
            <w:pPr>
              <w:rPr>
                <w:rFonts w:ascii="宋体" w:hAnsi="宋体" w:cs="宋体"/>
              </w:rPr>
            </w:pPr>
            <w:r>
              <w:rPr>
                <w:rFonts w:ascii="宋体" w:hAnsi="宋体" w:cs="宋体" w:hint="eastAsia"/>
              </w:rPr>
              <w:t>75</w:t>
            </w:r>
          </w:p>
          <w:p w14:paraId="09898F24" w14:textId="77777777" w:rsidR="00B23A40" w:rsidRPr="00136FBE" w:rsidRDefault="00A408FA">
            <w:pPr>
              <w:rPr>
                <w:rFonts w:ascii="宋体" w:hAnsi="宋体" w:cs="宋体"/>
              </w:rPr>
            </w:pPr>
            <w:r>
              <w:rPr>
                <w:rFonts w:ascii="宋体" w:hAnsi="宋体" w:cs="宋体" w:hint="eastAsia"/>
              </w:rPr>
              <w:t>76</w:t>
            </w:r>
          </w:p>
          <w:p w14:paraId="7D450A20" w14:textId="77777777" w:rsidR="008438A0" w:rsidRPr="00136FBE" w:rsidRDefault="00A408FA" w:rsidP="00F30E93">
            <w:pPr>
              <w:rPr>
                <w:rFonts w:ascii="宋体" w:cs="Times New Roman"/>
              </w:rPr>
            </w:pPr>
            <w:r>
              <w:rPr>
                <w:rFonts w:ascii="宋体" w:hAnsi="宋体" w:cs="宋体" w:hint="eastAsia"/>
              </w:rPr>
              <w:t>79</w:t>
            </w:r>
          </w:p>
        </w:tc>
      </w:tr>
      <w:tr w:rsidR="00B23A40" w:rsidRPr="00136FBE" w14:paraId="266F4D82" w14:textId="77777777">
        <w:trPr>
          <w:trHeight w:val="285"/>
        </w:trPr>
        <w:tc>
          <w:tcPr>
            <w:tcW w:w="7958" w:type="dxa"/>
          </w:tcPr>
          <w:p w14:paraId="604A9984" w14:textId="77777777" w:rsidR="00B23A40" w:rsidRPr="00136FBE" w:rsidRDefault="00DD1A0D" w:rsidP="00962597">
            <w:pPr>
              <w:rPr>
                <w:rFonts w:ascii="宋体" w:cs="Times New Roman"/>
              </w:rPr>
            </w:pPr>
            <w:r w:rsidRPr="00136FBE">
              <w:rPr>
                <w:rFonts w:ascii="宋体" w:hAnsi="宋体" w:cs="宋体" w:hint="eastAsia"/>
              </w:rPr>
              <w:t>十</w:t>
            </w:r>
            <w:r w:rsidR="00962597" w:rsidRPr="00136FBE">
              <w:rPr>
                <w:rFonts w:ascii="宋体" w:hAnsi="宋体" w:cs="宋体" w:hint="eastAsia"/>
              </w:rPr>
              <w:t>七</w:t>
            </w:r>
            <w:r w:rsidRPr="00136FBE">
              <w:rPr>
                <w:rFonts w:ascii="宋体" w:hAnsi="宋体" w:cs="宋体" w:hint="eastAsia"/>
              </w:rPr>
              <w:t>、芦可替尼</w:t>
            </w:r>
            <w:r w:rsidRPr="00136FBE">
              <w:rPr>
                <w:rFonts w:ascii="宋体" w:cs="宋体" w:hint="eastAsia"/>
              </w:rPr>
              <w:t>………………………………………………………………………………</w:t>
            </w:r>
          </w:p>
        </w:tc>
        <w:tc>
          <w:tcPr>
            <w:tcW w:w="564" w:type="dxa"/>
          </w:tcPr>
          <w:p w14:paraId="28F05165" w14:textId="77777777" w:rsidR="00B23A40" w:rsidRPr="00136FBE" w:rsidRDefault="00F30E93" w:rsidP="00A408FA">
            <w:pPr>
              <w:rPr>
                <w:rFonts w:ascii="宋体" w:cs="Times New Roman"/>
              </w:rPr>
            </w:pPr>
            <w:r>
              <w:rPr>
                <w:rFonts w:ascii="宋体" w:hAnsi="宋体" w:cs="宋体" w:hint="eastAsia"/>
              </w:rPr>
              <w:t>8</w:t>
            </w:r>
            <w:r w:rsidR="00A408FA">
              <w:rPr>
                <w:rFonts w:ascii="宋体" w:hAnsi="宋体" w:cs="宋体" w:hint="eastAsia"/>
              </w:rPr>
              <w:t>2</w:t>
            </w:r>
          </w:p>
        </w:tc>
      </w:tr>
    </w:tbl>
    <w:p w14:paraId="16FD4873" w14:textId="77777777" w:rsidR="00B23A40" w:rsidRPr="00136FBE" w:rsidRDefault="00DD1A0D">
      <w:pPr>
        <w:spacing w:line="360" w:lineRule="auto"/>
        <w:rPr>
          <w:rFonts w:ascii="宋体" w:cs="Times New Roman"/>
          <w:b/>
          <w:bCs/>
        </w:rPr>
      </w:pPr>
      <w:r w:rsidRPr="00136FBE">
        <w:rPr>
          <w:rFonts w:ascii="宋体" w:hAnsi="宋体" w:cs="宋体" w:hint="eastAsia"/>
          <w:b/>
          <w:bCs/>
        </w:rPr>
        <w:t>泌尿系统肿瘤用药</w:t>
      </w:r>
    </w:p>
    <w:tbl>
      <w:tblPr>
        <w:tblW w:w="8531" w:type="dxa"/>
        <w:tblInd w:w="-106" w:type="dxa"/>
        <w:tblLayout w:type="fixed"/>
        <w:tblLook w:val="04A0" w:firstRow="1" w:lastRow="0" w:firstColumn="1" w:lastColumn="0" w:noHBand="0" w:noVBand="1"/>
      </w:tblPr>
      <w:tblGrid>
        <w:gridCol w:w="7976"/>
        <w:gridCol w:w="555"/>
      </w:tblGrid>
      <w:tr w:rsidR="00B23A40" w:rsidRPr="00136FBE" w14:paraId="5AC48AB9" w14:textId="77777777">
        <w:trPr>
          <w:trHeight w:val="285"/>
        </w:trPr>
        <w:tc>
          <w:tcPr>
            <w:tcW w:w="7976" w:type="dxa"/>
          </w:tcPr>
          <w:p w14:paraId="0DD11D8D" w14:textId="77777777" w:rsidR="00B23A40" w:rsidRPr="00136FBE" w:rsidRDefault="00DD1A0D">
            <w:pPr>
              <w:rPr>
                <w:rFonts w:ascii="宋体" w:cs="Times New Roman"/>
              </w:rPr>
            </w:pPr>
            <w:r w:rsidRPr="00136FBE">
              <w:rPr>
                <w:rFonts w:ascii="宋体" w:hAnsi="宋体" w:cs="宋体" w:hint="eastAsia"/>
              </w:rPr>
              <w:t>一、依维莫司</w:t>
            </w:r>
            <w:r w:rsidRPr="00136FBE">
              <w:rPr>
                <w:rFonts w:ascii="宋体" w:cs="宋体" w:hint="eastAsia"/>
              </w:rPr>
              <w:t>…………………………………………………………………………………</w:t>
            </w:r>
          </w:p>
        </w:tc>
        <w:tc>
          <w:tcPr>
            <w:tcW w:w="555" w:type="dxa"/>
          </w:tcPr>
          <w:p w14:paraId="2A675F6C" w14:textId="77777777" w:rsidR="00B23A40" w:rsidRPr="00136FBE" w:rsidRDefault="00A408FA" w:rsidP="00F30E93">
            <w:pPr>
              <w:rPr>
                <w:rFonts w:ascii="宋体" w:cs="Times New Roman"/>
              </w:rPr>
            </w:pPr>
            <w:r>
              <w:rPr>
                <w:rFonts w:ascii="宋体" w:hAnsi="宋体" w:cs="宋体" w:hint="eastAsia"/>
              </w:rPr>
              <w:t>83</w:t>
            </w:r>
          </w:p>
        </w:tc>
      </w:tr>
      <w:tr w:rsidR="00B23A40" w:rsidRPr="00136FBE" w14:paraId="45BE2C52" w14:textId="77777777">
        <w:trPr>
          <w:trHeight w:val="285"/>
        </w:trPr>
        <w:tc>
          <w:tcPr>
            <w:tcW w:w="7976" w:type="dxa"/>
          </w:tcPr>
          <w:p w14:paraId="410AC8E7" w14:textId="77777777" w:rsidR="00B23A40" w:rsidRPr="00136FBE" w:rsidRDefault="00DD1A0D">
            <w:pPr>
              <w:rPr>
                <w:rFonts w:ascii="宋体" w:cs="Times New Roman"/>
              </w:rPr>
            </w:pPr>
            <w:r w:rsidRPr="00136FBE">
              <w:rPr>
                <w:rFonts w:ascii="宋体" w:hAnsi="宋体" w:cs="宋体" w:hint="eastAsia"/>
              </w:rPr>
              <w:t>二、索拉非尼</w:t>
            </w:r>
            <w:r w:rsidRPr="00136FBE">
              <w:rPr>
                <w:rFonts w:ascii="宋体" w:cs="宋体" w:hint="eastAsia"/>
              </w:rPr>
              <w:t>…………………………………………………………………………………</w:t>
            </w:r>
          </w:p>
        </w:tc>
        <w:tc>
          <w:tcPr>
            <w:tcW w:w="555" w:type="dxa"/>
          </w:tcPr>
          <w:p w14:paraId="55CA1CC2" w14:textId="77777777" w:rsidR="00B23A40" w:rsidRPr="00136FBE" w:rsidRDefault="00A408FA" w:rsidP="00F30E93">
            <w:pPr>
              <w:rPr>
                <w:rFonts w:ascii="宋体" w:cs="Times New Roman"/>
              </w:rPr>
            </w:pPr>
            <w:r>
              <w:rPr>
                <w:rFonts w:ascii="宋体" w:hAnsi="宋体" w:cs="宋体" w:hint="eastAsia"/>
              </w:rPr>
              <w:t>84</w:t>
            </w:r>
          </w:p>
        </w:tc>
      </w:tr>
      <w:tr w:rsidR="00B23A40" w:rsidRPr="00136FBE" w14:paraId="7D3DA351" w14:textId="77777777">
        <w:trPr>
          <w:trHeight w:val="285"/>
        </w:trPr>
        <w:tc>
          <w:tcPr>
            <w:tcW w:w="7976" w:type="dxa"/>
          </w:tcPr>
          <w:p w14:paraId="2BB72A92" w14:textId="77777777" w:rsidR="00B23A40" w:rsidRPr="00136FBE" w:rsidRDefault="00DD1A0D">
            <w:pPr>
              <w:rPr>
                <w:rFonts w:ascii="宋体" w:cs="Times New Roman"/>
              </w:rPr>
            </w:pPr>
            <w:r w:rsidRPr="00136FBE">
              <w:rPr>
                <w:rFonts w:ascii="宋体" w:hAnsi="宋体" w:cs="宋体" w:hint="eastAsia"/>
              </w:rPr>
              <w:t>三、舒尼替尼</w:t>
            </w:r>
            <w:r w:rsidRPr="00136FBE">
              <w:rPr>
                <w:rFonts w:ascii="宋体" w:cs="宋体" w:hint="eastAsia"/>
              </w:rPr>
              <w:t>…………………………………………………………………………………</w:t>
            </w:r>
          </w:p>
        </w:tc>
        <w:tc>
          <w:tcPr>
            <w:tcW w:w="555" w:type="dxa"/>
          </w:tcPr>
          <w:p w14:paraId="2CE8E248" w14:textId="77777777" w:rsidR="00B23A40" w:rsidRPr="00136FBE" w:rsidRDefault="00A408FA" w:rsidP="00F30E93">
            <w:pPr>
              <w:rPr>
                <w:rFonts w:ascii="宋体" w:cs="Times New Roman"/>
              </w:rPr>
            </w:pPr>
            <w:r>
              <w:rPr>
                <w:rFonts w:ascii="宋体" w:hAnsi="宋体" w:cs="宋体" w:hint="eastAsia"/>
              </w:rPr>
              <w:t>85</w:t>
            </w:r>
          </w:p>
        </w:tc>
      </w:tr>
      <w:tr w:rsidR="00B23A40" w:rsidRPr="00136FBE" w14:paraId="7BE46122" w14:textId="77777777">
        <w:trPr>
          <w:trHeight w:val="285"/>
        </w:trPr>
        <w:tc>
          <w:tcPr>
            <w:tcW w:w="7976" w:type="dxa"/>
          </w:tcPr>
          <w:p w14:paraId="40AF5F59" w14:textId="77777777" w:rsidR="00B23A40" w:rsidRPr="00136FBE" w:rsidRDefault="00DD1A0D">
            <w:pPr>
              <w:rPr>
                <w:rFonts w:ascii="宋体" w:cs="Times New Roman"/>
              </w:rPr>
            </w:pPr>
            <w:r w:rsidRPr="00136FBE">
              <w:rPr>
                <w:rFonts w:ascii="宋体" w:hAnsi="宋体" w:cs="宋体" w:hint="eastAsia"/>
              </w:rPr>
              <w:t>四、阿昔替尼</w:t>
            </w:r>
            <w:r w:rsidRPr="00136FBE">
              <w:rPr>
                <w:rFonts w:ascii="宋体" w:cs="宋体" w:hint="eastAsia"/>
              </w:rPr>
              <w:t>…………………………………………………………………………………</w:t>
            </w:r>
          </w:p>
        </w:tc>
        <w:tc>
          <w:tcPr>
            <w:tcW w:w="555" w:type="dxa"/>
          </w:tcPr>
          <w:p w14:paraId="22E9BC2A" w14:textId="77777777" w:rsidR="00B23A40" w:rsidRPr="00136FBE" w:rsidRDefault="00A408FA" w:rsidP="00F30E93">
            <w:pPr>
              <w:rPr>
                <w:rFonts w:ascii="宋体" w:cs="Times New Roman"/>
              </w:rPr>
            </w:pPr>
            <w:r>
              <w:rPr>
                <w:rFonts w:ascii="宋体" w:hAnsi="宋体" w:cs="宋体" w:hint="eastAsia"/>
              </w:rPr>
              <w:t>86</w:t>
            </w:r>
          </w:p>
        </w:tc>
      </w:tr>
      <w:tr w:rsidR="00B23A40" w:rsidRPr="00136FBE" w14:paraId="0DB65ADD" w14:textId="77777777">
        <w:trPr>
          <w:trHeight w:val="285"/>
        </w:trPr>
        <w:tc>
          <w:tcPr>
            <w:tcW w:w="7976" w:type="dxa"/>
          </w:tcPr>
          <w:p w14:paraId="036F594E" w14:textId="77777777" w:rsidR="00B23A40" w:rsidRPr="00136FBE" w:rsidRDefault="00DD1A0D">
            <w:pPr>
              <w:rPr>
                <w:rFonts w:ascii="宋体" w:cs="宋体"/>
              </w:rPr>
            </w:pPr>
            <w:r w:rsidRPr="00136FBE">
              <w:rPr>
                <w:rFonts w:ascii="宋体" w:hAnsi="宋体" w:cs="宋体" w:hint="eastAsia"/>
              </w:rPr>
              <w:t>五、培唑帕尼</w:t>
            </w:r>
            <w:r w:rsidRPr="00136FBE">
              <w:rPr>
                <w:rFonts w:ascii="宋体" w:cs="宋体" w:hint="eastAsia"/>
              </w:rPr>
              <w:t>…………………………………………………………………………………</w:t>
            </w:r>
          </w:p>
          <w:p w14:paraId="61C1B3DD" w14:textId="77777777" w:rsidR="00A21E47" w:rsidRPr="00136FBE" w:rsidRDefault="00A21E47">
            <w:pPr>
              <w:rPr>
                <w:rFonts w:ascii="宋体" w:cs="宋体"/>
              </w:rPr>
            </w:pPr>
            <w:r w:rsidRPr="00136FBE">
              <w:rPr>
                <w:rFonts w:ascii="宋体" w:cs="宋体" w:hint="eastAsia"/>
              </w:rPr>
              <w:t>六、</w:t>
            </w:r>
            <w:r w:rsidR="004B663F" w:rsidRPr="00136FBE">
              <w:rPr>
                <w:rFonts w:ascii="宋体" w:hAnsi="宋体" w:cs="宋体" w:hint="eastAsia"/>
              </w:rPr>
              <w:t>仑伐替尼</w:t>
            </w:r>
            <w:r w:rsidRPr="00136FBE">
              <w:rPr>
                <w:rFonts w:ascii="宋体" w:cs="宋体" w:hint="eastAsia"/>
              </w:rPr>
              <w:t>…………………………………………………………………………………</w:t>
            </w:r>
          </w:p>
          <w:p w14:paraId="5F1E1DC5" w14:textId="77777777" w:rsidR="00B40E41" w:rsidRPr="00136FBE" w:rsidRDefault="00B40E41" w:rsidP="00B40E41">
            <w:pPr>
              <w:rPr>
                <w:rFonts w:ascii="宋体" w:cs="宋体"/>
              </w:rPr>
            </w:pPr>
            <w:r w:rsidRPr="00136FBE">
              <w:rPr>
                <w:rFonts w:ascii="宋体" w:cs="宋体" w:hint="eastAsia"/>
              </w:rPr>
              <w:t>七、</w:t>
            </w:r>
            <w:r w:rsidRPr="00136FBE">
              <w:rPr>
                <w:rFonts w:ascii="宋体" w:hAnsi="宋体" w:cs="宋体" w:hint="eastAsia"/>
              </w:rPr>
              <w:t>安罗替尼</w:t>
            </w:r>
            <w:r w:rsidRPr="00136FBE">
              <w:rPr>
                <w:rFonts w:ascii="宋体" w:cs="宋体" w:hint="eastAsia"/>
              </w:rPr>
              <w:t>…………………………………………………………………………………</w:t>
            </w:r>
          </w:p>
          <w:p w14:paraId="2168EB68" w14:textId="77777777" w:rsidR="00E22B2A" w:rsidRPr="00136FBE" w:rsidRDefault="00B40E41">
            <w:pPr>
              <w:rPr>
                <w:rFonts w:ascii="宋体" w:cs="宋体"/>
              </w:rPr>
            </w:pPr>
            <w:r w:rsidRPr="00136FBE">
              <w:rPr>
                <w:rFonts w:ascii="宋体" w:cs="宋体" w:hint="eastAsia"/>
              </w:rPr>
              <w:t>八</w:t>
            </w:r>
            <w:r w:rsidR="00E22B2A" w:rsidRPr="00136FBE">
              <w:rPr>
                <w:rFonts w:ascii="宋体" w:cs="宋体" w:hint="eastAsia"/>
              </w:rPr>
              <w:t>、</w:t>
            </w:r>
            <w:r w:rsidR="00E22B2A" w:rsidRPr="00136FBE">
              <w:rPr>
                <w:rFonts w:ascii="宋体" w:cs="Times New Roman" w:hint="eastAsia"/>
              </w:rPr>
              <w:t>帕博利珠单抗</w:t>
            </w:r>
            <w:r w:rsidR="00E22B2A" w:rsidRPr="00136FBE">
              <w:rPr>
                <w:rFonts w:ascii="宋体" w:cs="宋体" w:hint="eastAsia"/>
              </w:rPr>
              <w:t>……………………………………………………………………………</w:t>
            </w:r>
          </w:p>
          <w:p w14:paraId="511BAA48" w14:textId="77777777" w:rsidR="00E22B2A" w:rsidRPr="00136FBE" w:rsidRDefault="00B40E41">
            <w:pPr>
              <w:rPr>
                <w:rFonts w:ascii="宋体" w:cs="Times New Roman"/>
              </w:rPr>
            </w:pPr>
            <w:r w:rsidRPr="00136FBE">
              <w:rPr>
                <w:rFonts w:ascii="宋体" w:cs="宋体" w:hint="eastAsia"/>
              </w:rPr>
              <w:t>九</w:t>
            </w:r>
            <w:r w:rsidR="00E22B2A" w:rsidRPr="00136FBE">
              <w:rPr>
                <w:rFonts w:ascii="宋体" w:cs="宋体" w:hint="eastAsia"/>
              </w:rPr>
              <w:t>、</w:t>
            </w:r>
            <w:r w:rsidR="00E22B2A" w:rsidRPr="00136FBE">
              <w:rPr>
                <w:rFonts w:ascii="宋体" w:hAnsi="宋体" w:cs="宋体" w:hint="eastAsia"/>
              </w:rPr>
              <w:t>纳武利尤单抗</w:t>
            </w:r>
            <w:r w:rsidR="00E22B2A" w:rsidRPr="00136FBE">
              <w:rPr>
                <w:rFonts w:ascii="宋体" w:cs="宋体" w:hint="eastAsia"/>
              </w:rPr>
              <w:t>……………………………………………………………………………</w:t>
            </w:r>
          </w:p>
        </w:tc>
        <w:tc>
          <w:tcPr>
            <w:tcW w:w="555" w:type="dxa"/>
          </w:tcPr>
          <w:p w14:paraId="2D605A28" w14:textId="77777777" w:rsidR="00B23A40" w:rsidRPr="00136FBE" w:rsidRDefault="00A408FA">
            <w:pPr>
              <w:rPr>
                <w:rFonts w:ascii="宋体" w:hAnsi="宋体" w:cs="宋体"/>
              </w:rPr>
            </w:pPr>
            <w:r>
              <w:rPr>
                <w:rFonts w:ascii="宋体" w:hAnsi="宋体" w:cs="宋体" w:hint="eastAsia"/>
              </w:rPr>
              <w:t>87</w:t>
            </w:r>
          </w:p>
          <w:p w14:paraId="646F8DBD" w14:textId="77777777" w:rsidR="00E22B2A" w:rsidRPr="00136FBE" w:rsidRDefault="00A408FA">
            <w:pPr>
              <w:rPr>
                <w:rFonts w:ascii="宋体" w:hAnsi="宋体" w:cs="宋体"/>
              </w:rPr>
            </w:pPr>
            <w:r>
              <w:rPr>
                <w:rFonts w:ascii="宋体" w:hAnsi="宋体" w:cs="宋体" w:hint="eastAsia"/>
              </w:rPr>
              <w:t>88</w:t>
            </w:r>
          </w:p>
          <w:p w14:paraId="269D8A5E" w14:textId="77777777" w:rsidR="000B6EE2" w:rsidRPr="00136FBE" w:rsidRDefault="00A408FA">
            <w:pPr>
              <w:rPr>
                <w:rFonts w:ascii="宋体" w:hAnsi="宋体" w:cs="宋体"/>
              </w:rPr>
            </w:pPr>
            <w:r>
              <w:rPr>
                <w:rFonts w:ascii="宋体" w:hAnsi="宋体" w:cs="宋体" w:hint="eastAsia"/>
              </w:rPr>
              <w:t>89</w:t>
            </w:r>
          </w:p>
          <w:p w14:paraId="04D1F18C" w14:textId="77777777" w:rsidR="008438A0" w:rsidRPr="00136FBE" w:rsidRDefault="00A408FA">
            <w:pPr>
              <w:rPr>
                <w:rFonts w:ascii="宋体" w:hAnsi="宋体" w:cs="宋体"/>
              </w:rPr>
            </w:pPr>
            <w:r>
              <w:rPr>
                <w:rFonts w:ascii="宋体" w:hAnsi="宋体" w:cs="宋体" w:hint="eastAsia"/>
              </w:rPr>
              <w:t>90</w:t>
            </w:r>
          </w:p>
          <w:p w14:paraId="052C4096" w14:textId="77777777" w:rsidR="008438A0" w:rsidRPr="00136FBE" w:rsidRDefault="00F30E93" w:rsidP="00A408FA">
            <w:pPr>
              <w:rPr>
                <w:rFonts w:ascii="宋体" w:cs="Times New Roman"/>
              </w:rPr>
            </w:pPr>
            <w:r>
              <w:rPr>
                <w:rFonts w:ascii="宋体" w:hAnsi="宋体" w:cs="宋体" w:hint="eastAsia"/>
              </w:rPr>
              <w:t>9</w:t>
            </w:r>
            <w:r w:rsidR="00A408FA">
              <w:rPr>
                <w:rFonts w:ascii="宋体" w:hAnsi="宋体" w:cs="宋体" w:hint="eastAsia"/>
              </w:rPr>
              <w:t>1</w:t>
            </w:r>
          </w:p>
        </w:tc>
      </w:tr>
    </w:tbl>
    <w:p w14:paraId="27C895BF" w14:textId="77777777" w:rsidR="00B23A40" w:rsidRPr="00136FBE" w:rsidRDefault="00DD1A0D">
      <w:pPr>
        <w:spacing w:line="360" w:lineRule="auto"/>
        <w:rPr>
          <w:rFonts w:ascii="宋体" w:cs="Times New Roman"/>
          <w:b/>
          <w:bCs/>
        </w:rPr>
      </w:pPr>
      <w:r w:rsidRPr="00136FBE">
        <w:rPr>
          <w:rFonts w:ascii="宋体" w:hAnsi="宋体" w:cs="宋体" w:hint="eastAsia"/>
          <w:b/>
          <w:bCs/>
        </w:rPr>
        <w:t>乳腺癌用药</w:t>
      </w:r>
    </w:p>
    <w:tbl>
      <w:tblPr>
        <w:tblW w:w="8578" w:type="dxa"/>
        <w:tblInd w:w="-106" w:type="dxa"/>
        <w:tblLayout w:type="fixed"/>
        <w:tblLook w:val="04A0" w:firstRow="1" w:lastRow="0" w:firstColumn="1" w:lastColumn="0" w:noHBand="0" w:noVBand="1"/>
      </w:tblPr>
      <w:tblGrid>
        <w:gridCol w:w="7976"/>
        <w:gridCol w:w="602"/>
      </w:tblGrid>
      <w:tr w:rsidR="00B23A40" w:rsidRPr="00136FBE" w14:paraId="2DF32511" w14:textId="77777777" w:rsidTr="00F30E93">
        <w:trPr>
          <w:trHeight w:val="285"/>
        </w:trPr>
        <w:tc>
          <w:tcPr>
            <w:tcW w:w="7976" w:type="dxa"/>
          </w:tcPr>
          <w:p w14:paraId="55258279" w14:textId="77777777" w:rsidR="00B23A40" w:rsidRPr="00136FBE" w:rsidRDefault="00DD1A0D">
            <w:pPr>
              <w:rPr>
                <w:rFonts w:ascii="宋体" w:cs="宋体"/>
              </w:rPr>
            </w:pPr>
            <w:r w:rsidRPr="00136FBE">
              <w:rPr>
                <w:rFonts w:ascii="宋体" w:hAnsi="宋体" w:cs="宋体" w:hint="eastAsia"/>
              </w:rPr>
              <w:t>一、曲妥珠单抗</w:t>
            </w:r>
            <w:r w:rsidRPr="00136FBE">
              <w:rPr>
                <w:rFonts w:ascii="宋体" w:cs="宋体" w:hint="eastAsia"/>
              </w:rPr>
              <w:t>………………………………………………………………………………</w:t>
            </w:r>
          </w:p>
          <w:p w14:paraId="1B0B3DBE" w14:textId="77777777" w:rsidR="004244D4" w:rsidRPr="00136FBE" w:rsidRDefault="004244D4">
            <w:pPr>
              <w:rPr>
                <w:rFonts w:ascii="宋体" w:cs="宋体"/>
              </w:rPr>
            </w:pPr>
            <w:r w:rsidRPr="00136FBE">
              <w:rPr>
                <w:rFonts w:ascii="宋体" w:hAnsi="宋体" w:cs="宋体" w:hint="eastAsia"/>
              </w:rPr>
              <w:t>二、恩美曲妥珠单抗</w:t>
            </w:r>
            <w:r w:rsidRPr="00136FBE">
              <w:rPr>
                <w:rFonts w:ascii="宋体" w:cs="宋体" w:hint="eastAsia"/>
              </w:rPr>
              <w:t>…………………………………………………………………………</w:t>
            </w:r>
          </w:p>
          <w:p w14:paraId="194C5713" w14:textId="77777777" w:rsidR="004244D4" w:rsidRPr="00136FBE" w:rsidRDefault="004244D4" w:rsidP="004244D4">
            <w:pPr>
              <w:rPr>
                <w:rFonts w:ascii="宋体" w:cs="宋体"/>
              </w:rPr>
            </w:pPr>
            <w:r w:rsidRPr="00136FBE">
              <w:rPr>
                <w:rFonts w:ascii="宋体" w:cs="Times New Roman" w:hint="eastAsia"/>
              </w:rPr>
              <w:t>三、帕妥珠单抗</w:t>
            </w:r>
            <w:r w:rsidRPr="00136FBE">
              <w:rPr>
                <w:rFonts w:ascii="宋体" w:cs="宋体" w:hint="eastAsia"/>
              </w:rPr>
              <w:t>………………………………………………………………………………</w:t>
            </w:r>
          </w:p>
          <w:p w14:paraId="20B53E75" w14:textId="77777777" w:rsidR="004244D4" w:rsidRPr="00136FBE" w:rsidRDefault="004244D4" w:rsidP="004244D4">
            <w:pPr>
              <w:rPr>
                <w:rFonts w:ascii="宋体" w:cs="Times New Roman"/>
              </w:rPr>
            </w:pPr>
            <w:r w:rsidRPr="00136FBE">
              <w:rPr>
                <w:rFonts w:ascii="宋体" w:cs="Times New Roman" w:hint="eastAsia"/>
              </w:rPr>
              <w:t>四、伊尼妥单抗</w:t>
            </w:r>
            <w:r w:rsidRPr="00136FBE">
              <w:rPr>
                <w:rFonts w:ascii="宋体" w:cs="宋体" w:hint="eastAsia"/>
              </w:rPr>
              <w:t>………………………………………………………………………………</w:t>
            </w:r>
          </w:p>
        </w:tc>
        <w:tc>
          <w:tcPr>
            <w:tcW w:w="602" w:type="dxa"/>
          </w:tcPr>
          <w:p w14:paraId="6429DE13" w14:textId="77777777" w:rsidR="00B23A40" w:rsidRPr="00136FBE" w:rsidRDefault="00A408FA">
            <w:pPr>
              <w:rPr>
                <w:rFonts w:ascii="宋体" w:hAnsi="宋体" w:cs="宋体"/>
              </w:rPr>
            </w:pPr>
            <w:r>
              <w:rPr>
                <w:rFonts w:ascii="宋体" w:hAnsi="宋体" w:cs="宋体" w:hint="eastAsia"/>
              </w:rPr>
              <w:t>94</w:t>
            </w:r>
          </w:p>
          <w:p w14:paraId="35397B5C" w14:textId="77777777" w:rsidR="008438A0" w:rsidRPr="00136FBE" w:rsidRDefault="00A408FA">
            <w:pPr>
              <w:rPr>
                <w:rFonts w:ascii="宋体" w:hAnsi="宋体" w:cs="宋体"/>
              </w:rPr>
            </w:pPr>
            <w:r>
              <w:rPr>
                <w:rFonts w:ascii="宋体" w:hAnsi="宋体" w:cs="宋体" w:hint="eastAsia"/>
              </w:rPr>
              <w:t>96</w:t>
            </w:r>
          </w:p>
          <w:p w14:paraId="793E46F2" w14:textId="77777777" w:rsidR="008438A0" w:rsidRPr="00136FBE" w:rsidRDefault="00A408FA">
            <w:pPr>
              <w:rPr>
                <w:rFonts w:ascii="宋体" w:hAnsi="宋体" w:cs="宋体"/>
              </w:rPr>
            </w:pPr>
            <w:r>
              <w:rPr>
                <w:rFonts w:ascii="宋体" w:hAnsi="宋体" w:cs="宋体" w:hint="eastAsia"/>
              </w:rPr>
              <w:t>98</w:t>
            </w:r>
          </w:p>
          <w:p w14:paraId="6534998A" w14:textId="77777777" w:rsidR="008438A0" w:rsidRPr="00136FBE" w:rsidRDefault="008438A0" w:rsidP="00F30E93">
            <w:pPr>
              <w:rPr>
                <w:rFonts w:ascii="宋体" w:cs="Times New Roman"/>
              </w:rPr>
            </w:pPr>
            <w:r w:rsidRPr="00136FBE">
              <w:rPr>
                <w:rFonts w:ascii="宋体" w:hAnsi="宋体" w:cs="宋体" w:hint="eastAsia"/>
              </w:rPr>
              <w:t>1</w:t>
            </w:r>
            <w:r w:rsidR="0048041E" w:rsidRPr="00136FBE">
              <w:rPr>
                <w:rFonts w:ascii="宋体" w:hAnsi="宋体" w:cs="宋体" w:hint="eastAsia"/>
              </w:rPr>
              <w:t>0</w:t>
            </w:r>
            <w:r w:rsidR="00A408FA">
              <w:rPr>
                <w:rFonts w:ascii="宋体" w:hAnsi="宋体" w:cs="宋体" w:hint="eastAsia"/>
              </w:rPr>
              <w:t>1</w:t>
            </w:r>
          </w:p>
        </w:tc>
      </w:tr>
      <w:tr w:rsidR="00B23A40" w:rsidRPr="00136FBE" w14:paraId="0595FC5A" w14:textId="77777777" w:rsidTr="00F30E93">
        <w:trPr>
          <w:trHeight w:val="195"/>
        </w:trPr>
        <w:tc>
          <w:tcPr>
            <w:tcW w:w="7976" w:type="dxa"/>
          </w:tcPr>
          <w:p w14:paraId="63E1C029" w14:textId="77777777" w:rsidR="00B23A40" w:rsidRPr="00136FBE" w:rsidRDefault="004244D4">
            <w:pPr>
              <w:rPr>
                <w:rFonts w:ascii="宋体" w:cs="宋体"/>
              </w:rPr>
            </w:pPr>
            <w:r w:rsidRPr="00136FBE">
              <w:rPr>
                <w:rFonts w:ascii="宋体" w:hAnsi="宋体" w:cs="宋体" w:hint="eastAsia"/>
              </w:rPr>
              <w:t>五</w:t>
            </w:r>
            <w:r w:rsidR="00DD1A0D" w:rsidRPr="00136FBE">
              <w:rPr>
                <w:rFonts w:ascii="宋体" w:hAnsi="宋体" w:cs="宋体" w:hint="eastAsia"/>
              </w:rPr>
              <w:t>、拉帕替尼</w:t>
            </w:r>
            <w:r w:rsidR="00DD1A0D" w:rsidRPr="00136FBE">
              <w:rPr>
                <w:rFonts w:ascii="宋体" w:cs="宋体" w:hint="eastAsia"/>
              </w:rPr>
              <w:t>…………………………………………………………………………………</w:t>
            </w:r>
          </w:p>
          <w:p w14:paraId="6695CD91" w14:textId="77777777" w:rsidR="00B23A40" w:rsidRPr="00136FBE" w:rsidRDefault="004244D4">
            <w:pPr>
              <w:rPr>
                <w:rFonts w:ascii="宋体" w:cs="宋体"/>
              </w:rPr>
            </w:pPr>
            <w:r w:rsidRPr="00136FBE">
              <w:rPr>
                <w:rFonts w:ascii="宋体" w:cs="Times New Roman" w:hint="eastAsia"/>
              </w:rPr>
              <w:t>六</w:t>
            </w:r>
            <w:r w:rsidR="00DD1A0D" w:rsidRPr="00136FBE">
              <w:rPr>
                <w:rFonts w:ascii="宋体" w:cs="Times New Roman" w:hint="eastAsia"/>
              </w:rPr>
              <w:t>、吡咯替尼</w:t>
            </w:r>
            <w:r w:rsidR="00DD1A0D" w:rsidRPr="00136FBE">
              <w:rPr>
                <w:rFonts w:ascii="宋体" w:cs="宋体" w:hint="eastAsia"/>
              </w:rPr>
              <w:t>…………………………………………………………………………………</w:t>
            </w:r>
          </w:p>
          <w:p w14:paraId="1BFC2A5D" w14:textId="77777777" w:rsidR="00B23A40" w:rsidRPr="00136FBE" w:rsidRDefault="004244D4">
            <w:pPr>
              <w:rPr>
                <w:rFonts w:ascii="宋体" w:cs="宋体"/>
              </w:rPr>
            </w:pPr>
            <w:r w:rsidRPr="00136FBE">
              <w:rPr>
                <w:rFonts w:ascii="宋体" w:cs="Times New Roman" w:hint="eastAsia"/>
              </w:rPr>
              <w:t>七</w:t>
            </w:r>
            <w:r w:rsidR="00DD1A0D" w:rsidRPr="00136FBE">
              <w:rPr>
                <w:rFonts w:ascii="宋体" w:cs="Times New Roman" w:hint="eastAsia"/>
              </w:rPr>
              <w:t>、</w:t>
            </w:r>
            <w:r w:rsidRPr="00136FBE">
              <w:rPr>
                <w:rFonts w:ascii="宋体" w:cs="Times New Roman" w:hint="eastAsia"/>
              </w:rPr>
              <w:t>奈拉替尼</w:t>
            </w:r>
            <w:r w:rsidR="00DD1A0D" w:rsidRPr="00136FBE">
              <w:rPr>
                <w:rFonts w:ascii="宋体" w:cs="宋体" w:hint="eastAsia"/>
              </w:rPr>
              <w:t>………………………………………………………………………………</w:t>
            </w:r>
            <w:r w:rsidR="006A2BB2" w:rsidRPr="00136FBE">
              <w:rPr>
                <w:rFonts w:ascii="宋体" w:cs="宋体" w:hint="eastAsia"/>
              </w:rPr>
              <w:t>…</w:t>
            </w:r>
          </w:p>
          <w:p w14:paraId="33F200D6" w14:textId="77777777" w:rsidR="00B23A40" w:rsidRPr="00136FBE" w:rsidRDefault="00E93308">
            <w:pPr>
              <w:rPr>
                <w:rFonts w:ascii="宋体" w:cs="宋体"/>
              </w:rPr>
            </w:pPr>
            <w:r w:rsidRPr="00136FBE">
              <w:rPr>
                <w:rFonts w:ascii="宋体" w:cs="Times New Roman" w:hint="eastAsia"/>
              </w:rPr>
              <w:t>八</w:t>
            </w:r>
            <w:r w:rsidR="00DD1A0D" w:rsidRPr="00136FBE">
              <w:rPr>
                <w:rFonts w:ascii="宋体" w:cs="Times New Roman" w:hint="eastAsia"/>
              </w:rPr>
              <w:t>、哌柏西利</w:t>
            </w:r>
            <w:r w:rsidR="00DD1A0D" w:rsidRPr="00136FBE">
              <w:rPr>
                <w:rFonts w:ascii="宋体" w:cs="宋体" w:hint="eastAsia"/>
              </w:rPr>
              <w:t>…………………………………………………………………………………</w:t>
            </w:r>
          </w:p>
          <w:p w14:paraId="6616DD6B" w14:textId="77777777" w:rsidR="00E93308" w:rsidRPr="00136FBE" w:rsidRDefault="00E93308">
            <w:pPr>
              <w:rPr>
                <w:rFonts w:ascii="宋体" w:cs="Times New Roman"/>
              </w:rPr>
            </w:pPr>
            <w:r w:rsidRPr="00136FBE">
              <w:rPr>
                <w:rFonts w:ascii="宋体" w:cs="宋体" w:hint="eastAsia"/>
              </w:rPr>
              <w:t>九、西达本胺</w:t>
            </w:r>
            <w:r w:rsidR="006A2BB2" w:rsidRPr="00136FBE">
              <w:rPr>
                <w:rFonts w:ascii="宋体" w:cs="宋体" w:hint="eastAsia"/>
              </w:rPr>
              <w:t>…………………………………………………………………………………</w:t>
            </w:r>
          </w:p>
        </w:tc>
        <w:tc>
          <w:tcPr>
            <w:tcW w:w="602" w:type="dxa"/>
          </w:tcPr>
          <w:p w14:paraId="16393D3F" w14:textId="77777777" w:rsidR="00B23A40" w:rsidRPr="00136FBE" w:rsidRDefault="006A2BB2">
            <w:pPr>
              <w:rPr>
                <w:rFonts w:ascii="宋体" w:hAnsi="宋体" w:cs="宋体"/>
              </w:rPr>
            </w:pPr>
            <w:r w:rsidRPr="00136FBE">
              <w:rPr>
                <w:rFonts w:ascii="宋体" w:hAnsi="宋体" w:cs="宋体" w:hint="eastAsia"/>
              </w:rPr>
              <w:t>1</w:t>
            </w:r>
            <w:r w:rsidR="00A408FA">
              <w:rPr>
                <w:rFonts w:ascii="宋体" w:hAnsi="宋体" w:cs="宋体" w:hint="eastAsia"/>
              </w:rPr>
              <w:t>03</w:t>
            </w:r>
          </w:p>
          <w:p w14:paraId="2CEF5887" w14:textId="77777777" w:rsidR="00B23A40" w:rsidRPr="00136FBE" w:rsidRDefault="006A2BB2">
            <w:pPr>
              <w:rPr>
                <w:rFonts w:ascii="宋体" w:hAnsi="宋体" w:cs="宋体"/>
              </w:rPr>
            </w:pPr>
            <w:r w:rsidRPr="00136FBE">
              <w:rPr>
                <w:rFonts w:ascii="宋体" w:hAnsi="宋体" w:cs="宋体" w:hint="eastAsia"/>
              </w:rPr>
              <w:t>1</w:t>
            </w:r>
            <w:r w:rsidR="00A408FA">
              <w:rPr>
                <w:rFonts w:ascii="宋体" w:hAnsi="宋体" w:cs="宋体" w:hint="eastAsia"/>
              </w:rPr>
              <w:t>04</w:t>
            </w:r>
          </w:p>
          <w:p w14:paraId="7524072F" w14:textId="77777777" w:rsidR="00B23A40" w:rsidRPr="00136FBE" w:rsidRDefault="006A2BB2" w:rsidP="000B6EE2">
            <w:pPr>
              <w:rPr>
                <w:rFonts w:ascii="宋体" w:hAnsi="宋体" w:cs="宋体"/>
              </w:rPr>
            </w:pPr>
            <w:r w:rsidRPr="00136FBE">
              <w:rPr>
                <w:rFonts w:ascii="宋体" w:hAnsi="宋体" w:cs="宋体" w:hint="eastAsia"/>
              </w:rPr>
              <w:t>1</w:t>
            </w:r>
            <w:r w:rsidR="00A408FA">
              <w:rPr>
                <w:rFonts w:ascii="宋体" w:hAnsi="宋体" w:cs="宋体" w:hint="eastAsia"/>
              </w:rPr>
              <w:t>06</w:t>
            </w:r>
          </w:p>
          <w:p w14:paraId="0234959B" w14:textId="77777777" w:rsidR="006A2BB2" w:rsidRPr="00136FBE" w:rsidRDefault="006A2BB2" w:rsidP="000B6EE2">
            <w:pPr>
              <w:rPr>
                <w:rFonts w:ascii="宋体" w:hAnsi="宋体" w:cs="宋体"/>
              </w:rPr>
            </w:pPr>
            <w:r w:rsidRPr="00136FBE">
              <w:rPr>
                <w:rFonts w:ascii="宋体" w:hAnsi="宋体" w:cs="宋体" w:hint="eastAsia"/>
              </w:rPr>
              <w:t>1</w:t>
            </w:r>
            <w:r w:rsidR="00A408FA">
              <w:rPr>
                <w:rFonts w:ascii="宋体" w:hAnsi="宋体" w:cs="宋体" w:hint="eastAsia"/>
              </w:rPr>
              <w:t>08</w:t>
            </w:r>
          </w:p>
          <w:p w14:paraId="365C14C8" w14:textId="77777777" w:rsidR="006A2BB2" w:rsidRPr="00136FBE" w:rsidRDefault="006A2BB2" w:rsidP="00A408FA">
            <w:pPr>
              <w:rPr>
                <w:rFonts w:ascii="宋体" w:cs="Times New Roman"/>
              </w:rPr>
            </w:pPr>
            <w:r w:rsidRPr="00136FBE">
              <w:rPr>
                <w:rFonts w:ascii="宋体" w:cs="Times New Roman" w:hint="eastAsia"/>
              </w:rPr>
              <w:t>1</w:t>
            </w:r>
            <w:r w:rsidR="00A408FA">
              <w:rPr>
                <w:rFonts w:ascii="宋体" w:cs="Times New Roman" w:hint="eastAsia"/>
              </w:rPr>
              <w:t>09</w:t>
            </w:r>
          </w:p>
        </w:tc>
      </w:tr>
    </w:tbl>
    <w:p w14:paraId="65FEBBF2" w14:textId="77777777" w:rsidR="00B23A40" w:rsidRPr="00136FBE" w:rsidRDefault="00DD1A0D" w:rsidP="001F2662">
      <w:pPr>
        <w:spacing w:line="360" w:lineRule="auto"/>
        <w:rPr>
          <w:rFonts w:ascii="宋体" w:cs="Times New Roman"/>
          <w:b/>
          <w:bCs/>
        </w:rPr>
      </w:pPr>
      <w:r w:rsidRPr="00136FBE">
        <w:rPr>
          <w:rFonts w:ascii="宋体" w:hAnsi="宋体" w:cs="宋体" w:hint="eastAsia"/>
          <w:b/>
          <w:bCs/>
        </w:rPr>
        <w:t>皮肤肿瘤用药</w:t>
      </w:r>
    </w:p>
    <w:tbl>
      <w:tblPr>
        <w:tblW w:w="8522" w:type="dxa"/>
        <w:tblInd w:w="-106" w:type="dxa"/>
        <w:tblLayout w:type="fixed"/>
        <w:tblLook w:val="04A0" w:firstRow="1" w:lastRow="0" w:firstColumn="1" w:lastColumn="0" w:noHBand="0" w:noVBand="1"/>
      </w:tblPr>
      <w:tblGrid>
        <w:gridCol w:w="7961"/>
        <w:gridCol w:w="561"/>
      </w:tblGrid>
      <w:tr w:rsidR="00B23A40" w:rsidRPr="00136FBE" w14:paraId="75885800" w14:textId="77777777">
        <w:trPr>
          <w:trHeight w:val="285"/>
        </w:trPr>
        <w:tc>
          <w:tcPr>
            <w:tcW w:w="7961" w:type="dxa"/>
          </w:tcPr>
          <w:p w14:paraId="787D160B" w14:textId="77777777" w:rsidR="00B23A40" w:rsidRPr="00136FBE" w:rsidRDefault="00DD1A0D">
            <w:pPr>
              <w:rPr>
                <w:rFonts w:ascii="宋体" w:cs="Times New Roman"/>
              </w:rPr>
            </w:pPr>
            <w:r w:rsidRPr="00136FBE">
              <w:rPr>
                <w:rFonts w:ascii="宋体" w:hAnsi="宋体" w:cs="宋体" w:hint="eastAsia"/>
              </w:rPr>
              <w:lastRenderedPageBreak/>
              <w:t>一、伊马替尼</w:t>
            </w:r>
            <w:r w:rsidRPr="00136FBE">
              <w:rPr>
                <w:rFonts w:ascii="宋体" w:cs="宋体" w:hint="eastAsia"/>
              </w:rPr>
              <w:t>…………………………………………………………………………………</w:t>
            </w:r>
          </w:p>
        </w:tc>
        <w:tc>
          <w:tcPr>
            <w:tcW w:w="561" w:type="dxa"/>
          </w:tcPr>
          <w:p w14:paraId="71C389BF" w14:textId="77777777" w:rsidR="00B23A40" w:rsidRPr="00136FBE" w:rsidRDefault="006A2BB2" w:rsidP="00FC32DC">
            <w:pPr>
              <w:rPr>
                <w:rFonts w:ascii="宋体" w:cs="Times New Roman"/>
              </w:rPr>
            </w:pPr>
            <w:r w:rsidRPr="00136FBE">
              <w:rPr>
                <w:rFonts w:ascii="宋体" w:hAnsi="宋体" w:cs="宋体" w:hint="eastAsia"/>
              </w:rPr>
              <w:t>1</w:t>
            </w:r>
            <w:r w:rsidR="0048041E" w:rsidRPr="00136FBE">
              <w:rPr>
                <w:rFonts w:ascii="宋体" w:hAnsi="宋体" w:cs="宋体" w:hint="eastAsia"/>
              </w:rPr>
              <w:t>1</w:t>
            </w:r>
            <w:r w:rsidR="00FC32DC">
              <w:rPr>
                <w:rFonts w:ascii="宋体" w:hAnsi="宋体" w:cs="宋体" w:hint="eastAsia"/>
              </w:rPr>
              <w:t>1</w:t>
            </w:r>
          </w:p>
        </w:tc>
      </w:tr>
      <w:tr w:rsidR="00B23A40" w:rsidRPr="00136FBE" w14:paraId="1E855490" w14:textId="77777777">
        <w:trPr>
          <w:trHeight w:val="285"/>
        </w:trPr>
        <w:tc>
          <w:tcPr>
            <w:tcW w:w="7961" w:type="dxa"/>
          </w:tcPr>
          <w:p w14:paraId="0AA4DC55" w14:textId="77777777" w:rsidR="00B23A40" w:rsidRPr="00136FBE" w:rsidRDefault="00DD1A0D">
            <w:pPr>
              <w:rPr>
                <w:rFonts w:ascii="宋体" w:cs="宋体"/>
              </w:rPr>
            </w:pPr>
            <w:r w:rsidRPr="00136FBE">
              <w:rPr>
                <w:rFonts w:ascii="宋体" w:hAnsi="宋体" w:cs="宋体" w:hint="eastAsia"/>
              </w:rPr>
              <w:t>二、维莫非尼</w:t>
            </w:r>
            <w:r w:rsidRPr="00136FBE">
              <w:rPr>
                <w:rFonts w:ascii="宋体" w:cs="宋体" w:hint="eastAsia"/>
              </w:rPr>
              <w:t>…………………………………………………………………………………</w:t>
            </w:r>
          </w:p>
          <w:p w14:paraId="71A564BE" w14:textId="77777777" w:rsidR="00E93308" w:rsidRPr="00136FBE" w:rsidRDefault="00E93308" w:rsidP="00E93308">
            <w:pPr>
              <w:rPr>
                <w:rFonts w:ascii="宋体" w:cs="宋体"/>
              </w:rPr>
            </w:pPr>
            <w:r w:rsidRPr="00136FBE">
              <w:rPr>
                <w:rFonts w:ascii="宋体" w:hAnsi="宋体" w:cs="宋体" w:hint="eastAsia"/>
              </w:rPr>
              <w:t>三、达拉非尼</w:t>
            </w:r>
            <w:r w:rsidRPr="00136FBE">
              <w:rPr>
                <w:rFonts w:ascii="宋体" w:cs="宋体" w:hint="eastAsia"/>
              </w:rPr>
              <w:t>…………………………………………………………………………………</w:t>
            </w:r>
          </w:p>
          <w:p w14:paraId="7116D23E" w14:textId="77777777" w:rsidR="00E93308" w:rsidRPr="00136FBE" w:rsidRDefault="00E93308" w:rsidP="00E93308">
            <w:pPr>
              <w:rPr>
                <w:rFonts w:ascii="宋体" w:cs="宋体"/>
              </w:rPr>
            </w:pPr>
            <w:r w:rsidRPr="00136FBE">
              <w:rPr>
                <w:rFonts w:ascii="宋体" w:hAnsi="宋体" w:cs="宋体" w:hint="eastAsia"/>
              </w:rPr>
              <w:t>四、曲美替尼</w:t>
            </w:r>
            <w:r w:rsidRPr="00136FBE">
              <w:rPr>
                <w:rFonts w:ascii="宋体" w:cs="宋体" w:hint="eastAsia"/>
              </w:rPr>
              <w:t>…………………………………………………………………………………</w:t>
            </w:r>
          </w:p>
          <w:p w14:paraId="138C933B" w14:textId="77777777" w:rsidR="00B23A40" w:rsidRPr="00136FBE" w:rsidRDefault="00E93308">
            <w:pPr>
              <w:rPr>
                <w:rFonts w:ascii="宋体" w:cs="宋体"/>
              </w:rPr>
            </w:pPr>
            <w:r w:rsidRPr="00136FBE">
              <w:rPr>
                <w:rFonts w:ascii="宋体" w:cs="Times New Roman" w:hint="eastAsia"/>
              </w:rPr>
              <w:t>五</w:t>
            </w:r>
            <w:r w:rsidR="00DD1A0D" w:rsidRPr="00136FBE">
              <w:rPr>
                <w:rFonts w:ascii="宋体" w:cs="Times New Roman" w:hint="eastAsia"/>
              </w:rPr>
              <w:t>、帕博利珠单抗</w:t>
            </w:r>
            <w:r w:rsidR="00DD1A0D" w:rsidRPr="00136FBE">
              <w:rPr>
                <w:rFonts w:ascii="宋体" w:cs="宋体" w:hint="eastAsia"/>
              </w:rPr>
              <w:t>……………………………………………………………………………</w:t>
            </w:r>
          </w:p>
          <w:p w14:paraId="12F8F7E8" w14:textId="77777777" w:rsidR="00B23A40" w:rsidRPr="00136FBE" w:rsidRDefault="00E93308">
            <w:pPr>
              <w:rPr>
                <w:rFonts w:ascii="宋体" w:cs="Times New Roman"/>
              </w:rPr>
            </w:pPr>
            <w:r w:rsidRPr="00136FBE">
              <w:rPr>
                <w:rFonts w:ascii="宋体" w:cs="Times New Roman" w:hint="eastAsia"/>
              </w:rPr>
              <w:t>六</w:t>
            </w:r>
            <w:r w:rsidR="00DD1A0D" w:rsidRPr="00136FBE">
              <w:rPr>
                <w:rFonts w:ascii="宋体" w:cs="Times New Roman" w:hint="eastAsia"/>
              </w:rPr>
              <w:t>、特瑞普利单抗</w:t>
            </w:r>
            <w:r w:rsidR="00DD1A0D" w:rsidRPr="00136FBE">
              <w:rPr>
                <w:rFonts w:ascii="宋体" w:cs="宋体" w:hint="eastAsia"/>
              </w:rPr>
              <w:t>……………………………………………………………………………</w:t>
            </w:r>
          </w:p>
        </w:tc>
        <w:tc>
          <w:tcPr>
            <w:tcW w:w="561" w:type="dxa"/>
          </w:tcPr>
          <w:p w14:paraId="744B3EF8" w14:textId="77777777" w:rsidR="00B23A40" w:rsidRPr="00136FBE" w:rsidRDefault="006A2BB2">
            <w:pPr>
              <w:rPr>
                <w:rFonts w:ascii="宋体" w:hAnsi="宋体" w:cs="宋体"/>
              </w:rPr>
            </w:pPr>
            <w:r w:rsidRPr="00136FBE">
              <w:rPr>
                <w:rFonts w:ascii="宋体" w:hAnsi="宋体" w:cs="宋体" w:hint="eastAsia"/>
              </w:rPr>
              <w:t>1</w:t>
            </w:r>
            <w:r w:rsidR="00F30E93">
              <w:rPr>
                <w:rFonts w:ascii="宋体" w:hAnsi="宋体" w:cs="宋体" w:hint="eastAsia"/>
              </w:rPr>
              <w:t>1</w:t>
            </w:r>
            <w:r w:rsidR="00FC32DC">
              <w:rPr>
                <w:rFonts w:ascii="宋体" w:hAnsi="宋体" w:cs="宋体" w:hint="eastAsia"/>
              </w:rPr>
              <w:t>2</w:t>
            </w:r>
          </w:p>
          <w:p w14:paraId="05BB9912" w14:textId="77777777" w:rsidR="00B23A40" w:rsidRPr="00136FBE" w:rsidRDefault="006A2BB2">
            <w:pPr>
              <w:rPr>
                <w:rFonts w:ascii="宋体" w:hAnsi="宋体" w:cs="宋体"/>
              </w:rPr>
            </w:pPr>
            <w:r w:rsidRPr="00136FBE">
              <w:rPr>
                <w:rFonts w:ascii="宋体" w:hAnsi="宋体" w:cs="宋体" w:hint="eastAsia"/>
              </w:rPr>
              <w:t>1</w:t>
            </w:r>
            <w:r w:rsidR="00FC32DC">
              <w:rPr>
                <w:rFonts w:ascii="宋体" w:hAnsi="宋体" w:cs="宋体" w:hint="eastAsia"/>
              </w:rPr>
              <w:t>13</w:t>
            </w:r>
          </w:p>
          <w:p w14:paraId="08EC0D73" w14:textId="77777777" w:rsidR="00B23A40" w:rsidRPr="00136FBE" w:rsidRDefault="006A2BB2">
            <w:pPr>
              <w:rPr>
                <w:rFonts w:ascii="宋体" w:hAnsi="宋体" w:cs="宋体"/>
              </w:rPr>
            </w:pPr>
            <w:r w:rsidRPr="00136FBE">
              <w:rPr>
                <w:rFonts w:ascii="宋体" w:hAnsi="宋体" w:cs="宋体" w:hint="eastAsia"/>
              </w:rPr>
              <w:t>1</w:t>
            </w:r>
            <w:r w:rsidR="00FC32DC">
              <w:rPr>
                <w:rFonts w:ascii="宋体" w:hAnsi="宋体" w:cs="宋体" w:hint="eastAsia"/>
              </w:rPr>
              <w:t>15</w:t>
            </w:r>
          </w:p>
          <w:p w14:paraId="62CCBA4F" w14:textId="77777777" w:rsidR="006A2BB2" w:rsidRPr="00136FBE" w:rsidRDefault="006A2BB2">
            <w:pPr>
              <w:rPr>
                <w:rFonts w:ascii="宋体" w:hAnsi="宋体" w:cs="宋体"/>
              </w:rPr>
            </w:pPr>
            <w:r w:rsidRPr="00136FBE">
              <w:rPr>
                <w:rFonts w:ascii="宋体" w:hAnsi="宋体" w:cs="宋体" w:hint="eastAsia"/>
              </w:rPr>
              <w:t>1</w:t>
            </w:r>
            <w:r w:rsidR="00FC32DC">
              <w:rPr>
                <w:rFonts w:ascii="宋体" w:hAnsi="宋体" w:cs="宋体" w:hint="eastAsia"/>
              </w:rPr>
              <w:t>16</w:t>
            </w:r>
          </w:p>
          <w:p w14:paraId="6314581E" w14:textId="77777777" w:rsidR="006A2BB2" w:rsidRPr="00136FBE" w:rsidRDefault="006A2BB2" w:rsidP="00FC32DC">
            <w:pPr>
              <w:rPr>
                <w:rFonts w:ascii="宋体" w:cs="Times New Roman"/>
              </w:rPr>
            </w:pPr>
            <w:r w:rsidRPr="00136FBE">
              <w:rPr>
                <w:rFonts w:ascii="宋体" w:hAnsi="宋体" w:cs="宋体" w:hint="eastAsia"/>
              </w:rPr>
              <w:t>1</w:t>
            </w:r>
            <w:r w:rsidR="00FC32DC">
              <w:rPr>
                <w:rFonts w:ascii="宋体" w:hAnsi="宋体" w:cs="宋体" w:hint="eastAsia"/>
              </w:rPr>
              <w:t>18</w:t>
            </w:r>
          </w:p>
        </w:tc>
      </w:tr>
      <w:tr w:rsidR="00024D5F" w:rsidRPr="00136FBE" w14:paraId="4FE7D435" w14:textId="77777777">
        <w:trPr>
          <w:trHeight w:val="285"/>
        </w:trPr>
        <w:tc>
          <w:tcPr>
            <w:tcW w:w="7961" w:type="dxa"/>
          </w:tcPr>
          <w:p w14:paraId="7C09CDBC" w14:textId="77777777" w:rsidR="00024D5F" w:rsidRPr="00136FBE" w:rsidRDefault="00F94DDC" w:rsidP="00D8058D">
            <w:pPr>
              <w:spacing w:beforeLines="30" w:before="93" w:afterLines="30" w:after="93"/>
              <w:rPr>
                <w:rFonts w:ascii="宋体" w:hAnsi="宋体" w:cs="宋体"/>
                <w:b/>
                <w:bCs/>
              </w:rPr>
            </w:pPr>
            <w:r>
              <w:rPr>
                <w:rFonts w:ascii="宋体" w:hAnsi="宋体" w:cs="宋体" w:hint="eastAsia"/>
                <w:b/>
                <w:bCs/>
              </w:rPr>
              <w:t xml:space="preserve"> </w:t>
            </w:r>
            <w:r w:rsidR="00024D5F" w:rsidRPr="00136FBE">
              <w:rPr>
                <w:rFonts w:ascii="宋体" w:hAnsi="宋体" w:cs="宋体" w:hint="eastAsia"/>
                <w:b/>
                <w:bCs/>
              </w:rPr>
              <w:t>骨与软组织肿瘤用药</w:t>
            </w:r>
          </w:p>
          <w:p w14:paraId="1F2692B2" w14:textId="77777777" w:rsidR="00024D5F" w:rsidRPr="00136FBE" w:rsidRDefault="00024D5F" w:rsidP="00E011EA">
            <w:pPr>
              <w:rPr>
                <w:rFonts w:ascii="宋体" w:hAnsi="宋体" w:cs="宋体"/>
              </w:rPr>
            </w:pPr>
            <w:r w:rsidRPr="00136FBE">
              <w:rPr>
                <w:rFonts w:ascii="宋体" w:hAnsi="宋体" w:cs="宋体" w:hint="eastAsia"/>
              </w:rPr>
              <w:t>一、</w:t>
            </w:r>
            <w:r w:rsidR="00D95884" w:rsidRPr="00136FBE">
              <w:rPr>
                <w:rFonts w:ascii="宋体" w:hAnsi="宋体" w:cs="宋体" w:hint="eastAsia"/>
              </w:rPr>
              <w:t>依维莫司</w:t>
            </w:r>
            <w:r w:rsidRPr="00136FBE">
              <w:rPr>
                <w:rFonts w:ascii="宋体" w:hAnsi="宋体" w:cs="宋体" w:hint="eastAsia"/>
              </w:rPr>
              <w:t>…………………………………………………………………………………</w:t>
            </w:r>
          </w:p>
        </w:tc>
        <w:tc>
          <w:tcPr>
            <w:tcW w:w="561" w:type="dxa"/>
          </w:tcPr>
          <w:p w14:paraId="25D671A2" w14:textId="77777777" w:rsidR="00024D5F" w:rsidRPr="00136FBE" w:rsidRDefault="00024D5F" w:rsidP="000B6EE2">
            <w:pPr>
              <w:rPr>
                <w:rFonts w:ascii="宋体" w:hAnsi="宋体" w:cs="宋体"/>
              </w:rPr>
            </w:pPr>
          </w:p>
          <w:p w14:paraId="2ED22BD2" w14:textId="77777777" w:rsidR="00024D5F" w:rsidRPr="00136FBE" w:rsidRDefault="00F30E93" w:rsidP="00F30E93">
            <w:pPr>
              <w:rPr>
                <w:rFonts w:ascii="宋体" w:hAnsi="宋体" w:cs="宋体"/>
              </w:rPr>
            </w:pPr>
            <w:r w:rsidRPr="00136FBE">
              <w:rPr>
                <w:rFonts w:ascii="宋体" w:hAnsi="宋体" w:cs="宋体" w:hint="eastAsia"/>
              </w:rPr>
              <w:t>12</w:t>
            </w:r>
            <w:r w:rsidR="00FC32DC">
              <w:rPr>
                <w:rFonts w:ascii="宋体" w:hAnsi="宋体" w:cs="宋体" w:hint="eastAsia"/>
              </w:rPr>
              <w:t>0</w:t>
            </w:r>
          </w:p>
        </w:tc>
      </w:tr>
      <w:tr w:rsidR="00024D5F" w:rsidRPr="00136FBE" w14:paraId="6B38CAF9" w14:textId="77777777">
        <w:trPr>
          <w:trHeight w:val="285"/>
        </w:trPr>
        <w:tc>
          <w:tcPr>
            <w:tcW w:w="7961" w:type="dxa"/>
          </w:tcPr>
          <w:p w14:paraId="0BC4C295" w14:textId="77777777" w:rsidR="00024D5F" w:rsidRPr="00136FBE" w:rsidRDefault="00024D5F" w:rsidP="00E011EA">
            <w:pPr>
              <w:rPr>
                <w:rFonts w:ascii="宋体" w:hAnsi="宋体" w:cs="宋体"/>
              </w:rPr>
            </w:pPr>
            <w:r w:rsidRPr="00136FBE">
              <w:rPr>
                <w:rFonts w:ascii="宋体" w:hAnsi="宋体" w:cs="宋体" w:hint="eastAsia"/>
              </w:rPr>
              <w:t>二、</w:t>
            </w:r>
            <w:r w:rsidR="00D95884" w:rsidRPr="00136FBE">
              <w:rPr>
                <w:rFonts w:ascii="宋体" w:hAnsi="宋体" w:cs="宋体" w:hint="eastAsia"/>
              </w:rPr>
              <w:t>地舒单抗</w:t>
            </w:r>
            <w:r w:rsidRPr="00136FBE">
              <w:rPr>
                <w:rFonts w:ascii="宋体" w:hAnsi="宋体" w:cs="宋体" w:hint="eastAsia"/>
              </w:rPr>
              <w:t>…………………………………………………………………………………</w:t>
            </w:r>
          </w:p>
        </w:tc>
        <w:tc>
          <w:tcPr>
            <w:tcW w:w="561" w:type="dxa"/>
          </w:tcPr>
          <w:p w14:paraId="166992FE" w14:textId="77777777" w:rsidR="00024D5F" w:rsidRPr="00136FBE" w:rsidRDefault="006A2BB2" w:rsidP="00FC32DC">
            <w:pPr>
              <w:rPr>
                <w:rFonts w:ascii="宋体" w:hAnsi="宋体" w:cs="宋体"/>
              </w:rPr>
            </w:pPr>
            <w:r w:rsidRPr="00136FBE">
              <w:rPr>
                <w:rFonts w:ascii="宋体" w:hAnsi="宋体" w:cs="宋体" w:hint="eastAsia"/>
              </w:rPr>
              <w:t>1</w:t>
            </w:r>
            <w:r w:rsidR="0048041E" w:rsidRPr="00136FBE">
              <w:rPr>
                <w:rFonts w:ascii="宋体" w:hAnsi="宋体" w:cs="宋体" w:hint="eastAsia"/>
              </w:rPr>
              <w:t>2</w:t>
            </w:r>
            <w:r w:rsidR="00FC32DC">
              <w:rPr>
                <w:rFonts w:ascii="宋体" w:hAnsi="宋体" w:cs="宋体" w:hint="eastAsia"/>
              </w:rPr>
              <w:t>1</w:t>
            </w:r>
          </w:p>
        </w:tc>
      </w:tr>
      <w:tr w:rsidR="00024D5F" w:rsidRPr="00136FBE" w14:paraId="6A4288CB" w14:textId="77777777">
        <w:trPr>
          <w:trHeight w:val="285"/>
        </w:trPr>
        <w:tc>
          <w:tcPr>
            <w:tcW w:w="7961" w:type="dxa"/>
          </w:tcPr>
          <w:p w14:paraId="7CCFB534" w14:textId="77777777" w:rsidR="00024D5F" w:rsidRPr="00136FBE" w:rsidRDefault="00024D5F" w:rsidP="00D95884">
            <w:pPr>
              <w:rPr>
                <w:rFonts w:ascii="宋体" w:hAnsi="宋体" w:cs="宋体"/>
              </w:rPr>
            </w:pPr>
            <w:r w:rsidRPr="00136FBE">
              <w:rPr>
                <w:rFonts w:ascii="宋体" w:hAnsi="宋体" w:cs="宋体" w:hint="eastAsia"/>
              </w:rPr>
              <w:t>三、</w:t>
            </w:r>
            <w:r w:rsidR="00D95884" w:rsidRPr="00136FBE">
              <w:rPr>
                <w:rFonts w:ascii="宋体" w:hAnsi="宋体" w:cs="宋体" w:hint="eastAsia"/>
              </w:rPr>
              <w:t>安罗替尼</w:t>
            </w:r>
            <w:r w:rsidRPr="00136FBE">
              <w:rPr>
                <w:rFonts w:ascii="宋体" w:hAnsi="宋体" w:cs="宋体" w:hint="eastAsia"/>
              </w:rPr>
              <w:t>…………………………………………………………………………</w:t>
            </w:r>
            <w:r w:rsidR="00D95884" w:rsidRPr="00136FBE">
              <w:rPr>
                <w:rFonts w:ascii="宋体" w:hAnsi="宋体" w:cs="宋体" w:hint="eastAsia"/>
              </w:rPr>
              <w:t>………</w:t>
            </w:r>
          </w:p>
        </w:tc>
        <w:tc>
          <w:tcPr>
            <w:tcW w:w="561" w:type="dxa"/>
          </w:tcPr>
          <w:p w14:paraId="47678ABE" w14:textId="77777777" w:rsidR="00024D5F" w:rsidRPr="00136FBE" w:rsidRDefault="006A2BB2" w:rsidP="00FC32DC">
            <w:pPr>
              <w:rPr>
                <w:rFonts w:ascii="宋体" w:hAnsi="宋体" w:cs="宋体"/>
              </w:rPr>
            </w:pPr>
            <w:r w:rsidRPr="00136FBE">
              <w:rPr>
                <w:rFonts w:ascii="宋体" w:hAnsi="宋体" w:cs="宋体" w:hint="eastAsia"/>
              </w:rPr>
              <w:t>1</w:t>
            </w:r>
            <w:r w:rsidR="00FC32DC">
              <w:rPr>
                <w:rFonts w:ascii="宋体" w:hAnsi="宋体" w:cs="宋体" w:hint="eastAsia"/>
              </w:rPr>
              <w:t>23</w:t>
            </w:r>
          </w:p>
        </w:tc>
      </w:tr>
    </w:tbl>
    <w:p w14:paraId="1586B18F" w14:textId="77777777" w:rsidR="00B23A40" w:rsidRPr="00136FBE" w:rsidRDefault="00DD1A0D">
      <w:pPr>
        <w:spacing w:line="360" w:lineRule="auto"/>
        <w:rPr>
          <w:rFonts w:ascii="宋体" w:cs="Times New Roman"/>
          <w:b/>
          <w:bCs/>
        </w:rPr>
      </w:pPr>
      <w:r w:rsidRPr="00136FBE">
        <w:rPr>
          <w:rFonts w:ascii="宋体" w:hAnsi="宋体" w:cs="宋体" w:hint="eastAsia"/>
          <w:b/>
          <w:bCs/>
        </w:rPr>
        <w:t>头颈部肿瘤用药</w:t>
      </w:r>
    </w:p>
    <w:tbl>
      <w:tblPr>
        <w:tblW w:w="8522" w:type="dxa"/>
        <w:tblInd w:w="-106" w:type="dxa"/>
        <w:tblLayout w:type="fixed"/>
        <w:tblLook w:val="04A0" w:firstRow="1" w:lastRow="0" w:firstColumn="1" w:lastColumn="0" w:noHBand="0" w:noVBand="1"/>
      </w:tblPr>
      <w:tblGrid>
        <w:gridCol w:w="7976"/>
        <w:gridCol w:w="546"/>
      </w:tblGrid>
      <w:tr w:rsidR="00B23A40" w:rsidRPr="00136FBE" w14:paraId="11E330EC" w14:textId="77777777">
        <w:trPr>
          <w:trHeight w:val="285"/>
        </w:trPr>
        <w:tc>
          <w:tcPr>
            <w:tcW w:w="7976" w:type="dxa"/>
          </w:tcPr>
          <w:p w14:paraId="6B567E4F" w14:textId="77777777" w:rsidR="00B23A40" w:rsidRPr="00136FBE" w:rsidRDefault="00DD1A0D">
            <w:pPr>
              <w:rPr>
                <w:rFonts w:ascii="宋体" w:cs="宋体"/>
              </w:rPr>
            </w:pPr>
            <w:r w:rsidRPr="00136FBE">
              <w:rPr>
                <w:rFonts w:ascii="宋体" w:hAnsi="宋体" w:cs="宋体" w:hint="eastAsia"/>
              </w:rPr>
              <w:t>一、尼妥珠单抗</w:t>
            </w:r>
            <w:r w:rsidRPr="00136FBE">
              <w:rPr>
                <w:rFonts w:ascii="宋体" w:cs="宋体" w:hint="eastAsia"/>
              </w:rPr>
              <w:t>………………………………………………………………………………</w:t>
            </w:r>
          </w:p>
          <w:p w14:paraId="703881DA" w14:textId="77777777" w:rsidR="00B23A40" w:rsidRPr="00136FBE" w:rsidRDefault="00DD1A0D">
            <w:pPr>
              <w:rPr>
                <w:rFonts w:ascii="宋体" w:cs="宋体"/>
              </w:rPr>
            </w:pPr>
            <w:r w:rsidRPr="00136FBE">
              <w:rPr>
                <w:rFonts w:ascii="宋体" w:hAnsi="宋体" w:cs="宋体" w:hint="eastAsia"/>
              </w:rPr>
              <w:t>二、索拉非尼</w:t>
            </w:r>
            <w:r w:rsidRPr="00136FBE">
              <w:rPr>
                <w:rFonts w:ascii="宋体" w:cs="宋体" w:hint="eastAsia"/>
              </w:rPr>
              <w:t>…………………………………………………………………………………</w:t>
            </w:r>
          </w:p>
          <w:p w14:paraId="42DA6A6D" w14:textId="77777777" w:rsidR="00E93308" w:rsidRDefault="00E93308">
            <w:pPr>
              <w:rPr>
                <w:rFonts w:ascii="宋体" w:cs="宋体"/>
              </w:rPr>
            </w:pPr>
            <w:r w:rsidRPr="00136FBE">
              <w:rPr>
                <w:rFonts w:ascii="宋体" w:cs="宋体" w:hint="eastAsia"/>
              </w:rPr>
              <w:t>三、</w:t>
            </w:r>
            <w:r w:rsidRPr="00136FBE">
              <w:rPr>
                <w:rFonts w:ascii="宋体" w:hAnsi="宋体" w:cs="宋体" w:hint="eastAsia"/>
              </w:rPr>
              <w:t>纳武利尤单抗</w:t>
            </w:r>
            <w:r w:rsidRPr="00136FBE">
              <w:rPr>
                <w:rFonts w:ascii="宋体" w:cs="宋体" w:hint="eastAsia"/>
              </w:rPr>
              <w:t>……………………………………………………………………………</w:t>
            </w:r>
          </w:p>
          <w:p w14:paraId="5031B688" w14:textId="77777777" w:rsidR="00925F80" w:rsidRPr="00136FBE" w:rsidRDefault="00925F80">
            <w:pPr>
              <w:rPr>
                <w:rFonts w:ascii="宋体" w:cs="宋体"/>
              </w:rPr>
            </w:pPr>
            <w:r>
              <w:rPr>
                <w:rFonts w:ascii="宋体" w:cs="宋体" w:hint="eastAsia"/>
              </w:rPr>
              <w:t>四、</w:t>
            </w:r>
            <w:r w:rsidRPr="00136FBE">
              <w:rPr>
                <w:rFonts w:ascii="宋体" w:cs="Times New Roman" w:hint="eastAsia"/>
              </w:rPr>
              <w:t>西妥昔单抗………………………………………………………………………………</w:t>
            </w:r>
          </w:p>
          <w:p w14:paraId="1E345E91" w14:textId="77777777" w:rsidR="00B23A40" w:rsidRPr="00136FBE" w:rsidRDefault="00DD1A0D">
            <w:pPr>
              <w:spacing w:line="360" w:lineRule="auto"/>
              <w:ind w:firstLineChars="50" w:firstLine="105"/>
              <w:rPr>
                <w:rFonts w:ascii="宋体" w:cs="Times New Roman"/>
                <w:b/>
                <w:bCs/>
              </w:rPr>
            </w:pPr>
            <w:r w:rsidRPr="00136FBE">
              <w:rPr>
                <w:rFonts w:ascii="宋体" w:hAnsi="宋体" w:cs="宋体" w:hint="eastAsia"/>
                <w:b/>
                <w:bCs/>
              </w:rPr>
              <w:t>生殖系统肿瘤用药</w:t>
            </w:r>
          </w:p>
          <w:p w14:paraId="5A1CAE60" w14:textId="77777777" w:rsidR="00B23A40" w:rsidRPr="00136FBE" w:rsidRDefault="00DD1A0D">
            <w:pPr>
              <w:rPr>
                <w:rFonts w:ascii="宋体" w:cs="宋体"/>
              </w:rPr>
            </w:pPr>
            <w:r w:rsidRPr="00136FBE">
              <w:rPr>
                <w:rFonts w:ascii="宋体" w:cs="宋体" w:hint="eastAsia"/>
              </w:rPr>
              <w:t>一、奥拉帕利…………………………………………………………………………………</w:t>
            </w:r>
          </w:p>
          <w:p w14:paraId="195A8094" w14:textId="77777777" w:rsidR="00E93308" w:rsidRPr="00136FBE" w:rsidRDefault="00E93308" w:rsidP="00E93308">
            <w:pPr>
              <w:rPr>
                <w:rFonts w:ascii="宋体" w:cs="宋体"/>
              </w:rPr>
            </w:pPr>
            <w:r w:rsidRPr="00136FBE">
              <w:rPr>
                <w:rFonts w:ascii="宋体" w:cs="Times New Roman" w:hint="eastAsia"/>
              </w:rPr>
              <w:t>二、</w:t>
            </w:r>
            <w:r w:rsidRPr="00136FBE">
              <w:rPr>
                <w:rFonts w:ascii="宋体" w:cs="宋体" w:hint="eastAsia"/>
              </w:rPr>
              <w:t>尼拉帕利…………………………………………………………………………………</w:t>
            </w:r>
          </w:p>
          <w:p w14:paraId="4003703A" w14:textId="77777777" w:rsidR="00F37616" w:rsidRPr="00136FBE" w:rsidRDefault="00F37616" w:rsidP="00E93308">
            <w:pPr>
              <w:rPr>
                <w:rFonts w:ascii="宋体" w:cs="宋体"/>
              </w:rPr>
            </w:pPr>
          </w:p>
          <w:p w14:paraId="5EF53F54" w14:textId="77777777" w:rsidR="003A18A7" w:rsidRPr="00136FBE" w:rsidRDefault="00BA4B67" w:rsidP="00D8058D">
            <w:pPr>
              <w:spacing w:afterLines="30" w:after="93"/>
              <w:rPr>
                <w:rFonts w:ascii="宋体" w:hAnsi="宋体" w:cs="宋体"/>
                <w:b/>
                <w:bCs/>
              </w:rPr>
            </w:pPr>
            <w:r>
              <w:rPr>
                <w:rFonts w:ascii="宋体" w:hAnsi="宋体" w:cs="宋体" w:hint="eastAsia"/>
                <w:b/>
                <w:bCs/>
              </w:rPr>
              <w:t xml:space="preserve"> </w:t>
            </w:r>
            <w:r w:rsidR="003A18A7" w:rsidRPr="00136FBE">
              <w:rPr>
                <w:rFonts w:ascii="宋体" w:hAnsi="宋体" w:cs="宋体" w:hint="eastAsia"/>
                <w:b/>
                <w:bCs/>
              </w:rPr>
              <w:t>附表</w:t>
            </w:r>
          </w:p>
          <w:p w14:paraId="018B66B1" w14:textId="77777777" w:rsidR="00F37616" w:rsidRPr="00136FBE" w:rsidRDefault="00F37616" w:rsidP="00E93308">
            <w:pPr>
              <w:rPr>
                <w:rFonts w:ascii="宋体" w:cs="宋体"/>
              </w:rPr>
            </w:pPr>
            <w:r w:rsidRPr="00136FBE">
              <w:rPr>
                <w:rFonts w:ascii="宋体" w:cs="宋体" w:hint="eastAsia"/>
              </w:rPr>
              <w:t>附表1</w:t>
            </w:r>
            <w:r w:rsidR="00487A1C" w:rsidRPr="00136FBE">
              <w:rPr>
                <w:rFonts w:ascii="宋体" w:cs="宋体" w:hint="eastAsia"/>
              </w:rPr>
              <w:t>…………………………………………………………………………………………</w:t>
            </w:r>
          </w:p>
          <w:p w14:paraId="5BEF3A5D" w14:textId="77777777" w:rsidR="00F37616" w:rsidRPr="00136FBE" w:rsidRDefault="00F37616" w:rsidP="00E93308">
            <w:pPr>
              <w:rPr>
                <w:rFonts w:ascii="宋体" w:cs="Times New Roman"/>
              </w:rPr>
            </w:pPr>
            <w:r w:rsidRPr="00136FBE">
              <w:rPr>
                <w:rFonts w:ascii="宋体" w:cs="宋体" w:hint="eastAsia"/>
              </w:rPr>
              <w:t>附表2</w:t>
            </w:r>
            <w:r w:rsidR="00487A1C" w:rsidRPr="00136FBE">
              <w:rPr>
                <w:rFonts w:ascii="宋体" w:cs="宋体" w:hint="eastAsia"/>
              </w:rPr>
              <w:t>…………………………………………………………………………………………</w:t>
            </w:r>
          </w:p>
        </w:tc>
        <w:tc>
          <w:tcPr>
            <w:tcW w:w="546" w:type="dxa"/>
          </w:tcPr>
          <w:p w14:paraId="039EE61F" w14:textId="77777777" w:rsidR="00B23A40" w:rsidRPr="00136FBE" w:rsidRDefault="006A2BB2" w:rsidP="000B6EE2">
            <w:pPr>
              <w:rPr>
                <w:rFonts w:ascii="宋体" w:hAnsi="宋体" w:cs="宋体"/>
              </w:rPr>
            </w:pPr>
            <w:r w:rsidRPr="00136FBE">
              <w:rPr>
                <w:rFonts w:ascii="宋体" w:hAnsi="宋体" w:cs="宋体" w:hint="eastAsia"/>
              </w:rPr>
              <w:t>1</w:t>
            </w:r>
            <w:r w:rsidR="00FC32DC">
              <w:rPr>
                <w:rFonts w:ascii="宋体" w:hAnsi="宋体" w:cs="宋体" w:hint="eastAsia"/>
              </w:rPr>
              <w:t>29</w:t>
            </w:r>
          </w:p>
          <w:p w14:paraId="01EED429" w14:textId="77777777" w:rsidR="003A18A7" w:rsidRPr="00136FBE" w:rsidRDefault="006A2BB2" w:rsidP="000B6EE2">
            <w:pPr>
              <w:rPr>
                <w:rFonts w:ascii="宋体" w:cs="Times New Roman"/>
              </w:rPr>
            </w:pPr>
            <w:r w:rsidRPr="00136FBE">
              <w:rPr>
                <w:rFonts w:ascii="宋体" w:cs="Times New Roman" w:hint="eastAsia"/>
              </w:rPr>
              <w:t>1</w:t>
            </w:r>
            <w:r w:rsidR="00F65208" w:rsidRPr="00136FBE">
              <w:rPr>
                <w:rFonts w:ascii="宋体" w:cs="Times New Roman" w:hint="eastAsia"/>
              </w:rPr>
              <w:t>3</w:t>
            </w:r>
            <w:r w:rsidR="00FC32DC">
              <w:rPr>
                <w:rFonts w:ascii="宋体" w:cs="Times New Roman" w:hint="eastAsia"/>
              </w:rPr>
              <w:t>0</w:t>
            </w:r>
          </w:p>
          <w:p w14:paraId="424DD268" w14:textId="77777777" w:rsidR="006A2BB2" w:rsidRPr="00136FBE" w:rsidRDefault="006A2BB2" w:rsidP="000B6EE2">
            <w:pPr>
              <w:rPr>
                <w:rFonts w:ascii="宋体" w:cs="Times New Roman"/>
              </w:rPr>
            </w:pPr>
            <w:r w:rsidRPr="00136FBE">
              <w:rPr>
                <w:rFonts w:ascii="宋体" w:cs="Times New Roman" w:hint="eastAsia"/>
              </w:rPr>
              <w:t>1</w:t>
            </w:r>
            <w:r w:rsidR="0048041E" w:rsidRPr="00136FBE">
              <w:rPr>
                <w:rFonts w:ascii="宋体" w:cs="Times New Roman" w:hint="eastAsia"/>
              </w:rPr>
              <w:t>3</w:t>
            </w:r>
            <w:r w:rsidR="00FC32DC">
              <w:rPr>
                <w:rFonts w:ascii="宋体" w:cs="Times New Roman" w:hint="eastAsia"/>
              </w:rPr>
              <w:t>1</w:t>
            </w:r>
          </w:p>
          <w:p w14:paraId="3E8DAB63" w14:textId="77777777" w:rsidR="00F30E93" w:rsidRPr="00136FBE" w:rsidRDefault="00F30E93" w:rsidP="00F30E93">
            <w:pPr>
              <w:rPr>
                <w:rFonts w:ascii="宋体" w:cs="Times New Roman"/>
              </w:rPr>
            </w:pPr>
            <w:r w:rsidRPr="00136FBE">
              <w:rPr>
                <w:rFonts w:ascii="宋体" w:cs="Times New Roman" w:hint="eastAsia"/>
              </w:rPr>
              <w:t>1</w:t>
            </w:r>
            <w:r w:rsidR="00FC32DC">
              <w:rPr>
                <w:rFonts w:ascii="宋体" w:cs="Times New Roman" w:hint="eastAsia"/>
              </w:rPr>
              <w:t>34</w:t>
            </w:r>
          </w:p>
          <w:p w14:paraId="5BF4CA02" w14:textId="77777777" w:rsidR="006A2BB2" w:rsidRPr="00136FBE" w:rsidRDefault="006A2BB2" w:rsidP="000B6EE2">
            <w:pPr>
              <w:rPr>
                <w:rFonts w:ascii="宋体" w:cs="Times New Roman"/>
              </w:rPr>
            </w:pPr>
          </w:p>
          <w:p w14:paraId="58F68EC9" w14:textId="77777777" w:rsidR="00487A1C" w:rsidRPr="00136FBE" w:rsidRDefault="00F30E93" w:rsidP="000B6EE2">
            <w:pPr>
              <w:rPr>
                <w:rFonts w:ascii="宋体" w:cs="Times New Roman"/>
              </w:rPr>
            </w:pPr>
            <w:r>
              <w:rPr>
                <w:rFonts w:ascii="宋体" w:cs="Times New Roman" w:hint="eastAsia"/>
              </w:rPr>
              <w:t>1</w:t>
            </w:r>
            <w:r w:rsidR="00FC32DC">
              <w:rPr>
                <w:rFonts w:ascii="宋体" w:cs="Times New Roman" w:hint="eastAsia"/>
              </w:rPr>
              <w:t>36</w:t>
            </w:r>
          </w:p>
          <w:p w14:paraId="05D0899E" w14:textId="77777777" w:rsidR="00487A1C" w:rsidRPr="00136FBE" w:rsidRDefault="00F30E93" w:rsidP="000B6EE2">
            <w:pPr>
              <w:rPr>
                <w:rFonts w:ascii="宋体" w:cs="Times New Roman"/>
              </w:rPr>
            </w:pPr>
            <w:r>
              <w:rPr>
                <w:rFonts w:ascii="宋体" w:cs="Times New Roman" w:hint="eastAsia"/>
              </w:rPr>
              <w:t>1</w:t>
            </w:r>
            <w:r w:rsidR="00FC32DC">
              <w:rPr>
                <w:rFonts w:ascii="宋体" w:cs="Times New Roman" w:hint="eastAsia"/>
              </w:rPr>
              <w:t>38</w:t>
            </w:r>
          </w:p>
          <w:p w14:paraId="2C3C28A6" w14:textId="77777777" w:rsidR="00B34FB6" w:rsidRDefault="00B34FB6" w:rsidP="000B6EE2">
            <w:pPr>
              <w:rPr>
                <w:rFonts w:ascii="宋体" w:cs="Times New Roman"/>
              </w:rPr>
            </w:pPr>
          </w:p>
          <w:p w14:paraId="1AF02F44" w14:textId="77777777" w:rsidR="00F30E93" w:rsidRPr="00136FBE" w:rsidRDefault="00F30E93" w:rsidP="000B6EE2">
            <w:pPr>
              <w:rPr>
                <w:rFonts w:ascii="宋体" w:cs="Times New Roman"/>
              </w:rPr>
            </w:pPr>
          </w:p>
          <w:p w14:paraId="0B51F7B5" w14:textId="77777777" w:rsidR="00487A1C" w:rsidRPr="00136FBE" w:rsidRDefault="00487A1C" w:rsidP="000B6EE2">
            <w:pPr>
              <w:rPr>
                <w:rFonts w:ascii="宋体" w:cs="Times New Roman"/>
              </w:rPr>
            </w:pPr>
            <w:r w:rsidRPr="00136FBE">
              <w:rPr>
                <w:rFonts w:ascii="宋体" w:cs="Times New Roman" w:hint="eastAsia"/>
              </w:rPr>
              <w:t>14</w:t>
            </w:r>
            <w:r w:rsidR="00FC32DC">
              <w:rPr>
                <w:rFonts w:ascii="宋体" w:cs="Times New Roman" w:hint="eastAsia"/>
              </w:rPr>
              <w:t>0</w:t>
            </w:r>
          </w:p>
          <w:p w14:paraId="6298907A" w14:textId="77777777" w:rsidR="00487A1C" w:rsidRPr="00136FBE" w:rsidRDefault="00487A1C" w:rsidP="000B6EE2">
            <w:pPr>
              <w:rPr>
                <w:rFonts w:ascii="宋体" w:cs="Times New Roman"/>
              </w:rPr>
            </w:pPr>
            <w:r w:rsidRPr="00136FBE">
              <w:rPr>
                <w:rFonts w:ascii="宋体" w:cs="Times New Roman" w:hint="eastAsia"/>
              </w:rPr>
              <w:t>1</w:t>
            </w:r>
            <w:r w:rsidR="00F65208" w:rsidRPr="00136FBE">
              <w:rPr>
                <w:rFonts w:ascii="宋体" w:cs="Times New Roman" w:hint="eastAsia"/>
              </w:rPr>
              <w:t>4</w:t>
            </w:r>
            <w:r w:rsidR="00FC32DC">
              <w:rPr>
                <w:rFonts w:ascii="宋体" w:cs="Times New Roman" w:hint="eastAsia"/>
              </w:rPr>
              <w:t>1</w:t>
            </w:r>
          </w:p>
          <w:p w14:paraId="11EB7B3B" w14:textId="77777777" w:rsidR="00487A1C" w:rsidRPr="00136FBE" w:rsidRDefault="00487A1C" w:rsidP="000B6EE2">
            <w:pPr>
              <w:rPr>
                <w:rFonts w:ascii="宋体" w:cs="Times New Roman"/>
              </w:rPr>
            </w:pPr>
          </w:p>
        </w:tc>
      </w:tr>
    </w:tbl>
    <w:p w14:paraId="53D880D6" w14:textId="77777777" w:rsidR="00B23A40" w:rsidRPr="00136FBE" w:rsidRDefault="00B23A40">
      <w:pPr>
        <w:rPr>
          <w:rFonts w:ascii="宋体" w:hAnsi="宋体" w:cs="宋体"/>
        </w:rPr>
      </w:pPr>
    </w:p>
    <w:p w14:paraId="33D366F0" w14:textId="77777777" w:rsidR="00213169" w:rsidRPr="00136FBE" w:rsidRDefault="00213169">
      <w:pPr>
        <w:rPr>
          <w:rFonts w:ascii="宋体" w:hAnsi="宋体" w:cs="宋体"/>
        </w:rPr>
      </w:pPr>
    </w:p>
    <w:p w14:paraId="5020CCD1" w14:textId="77777777" w:rsidR="00213169" w:rsidRPr="00136FBE" w:rsidRDefault="00213169">
      <w:pPr>
        <w:rPr>
          <w:rFonts w:ascii="宋体" w:hAnsi="宋体" w:cs="宋体"/>
        </w:rPr>
      </w:pPr>
    </w:p>
    <w:p w14:paraId="155E60A5" w14:textId="77777777" w:rsidR="00213169" w:rsidRPr="00136FBE" w:rsidRDefault="00213169">
      <w:pPr>
        <w:rPr>
          <w:rFonts w:ascii="宋体" w:hAnsi="宋体" w:cs="宋体"/>
        </w:rPr>
      </w:pPr>
    </w:p>
    <w:p w14:paraId="60AE50F0" w14:textId="77777777" w:rsidR="00213169" w:rsidRPr="00136FBE" w:rsidRDefault="00213169">
      <w:pPr>
        <w:rPr>
          <w:rFonts w:ascii="宋体" w:hAnsi="宋体" w:cs="宋体"/>
        </w:rPr>
      </w:pPr>
    </w:p>
    <w:p w14:paraId="1A63ED78" w14:textId="77777777" w:rsidR="00213169" w:rsidRPr="00136FBE" w:rsidRDefault="00213169">
      <w:pPr>
        <w:rPr>
          <w:rFonts w:ascii="宋体" w:hAnsi="宋体" w:cs="宋体"/>
        </w:rPr>
      </w:pPr>
    </w:p>
    <w:p w14:paraId="0699C5C0" w14:textId="77777777" w:rsidR="00213169" w:rsidRPr="00136FBE" w:rsidRDefault="00213169">
      <w:pPr>
        <w:rPr>
          <w:rFonts w:ascii="宋体" w:hAnsi="宋体" w:cs="宋体"/>
        </w:rPr>
      </w:pPr>
    </w:p>
    <w:p w14:paraId="54441038" w14:textId="77777777" w:rsidR="00213169" w:rsidRPr="00136FBE" w:rsidRDefault="00213169">
      <w:pPr>
        <w:rPr>
          <w:rFonts w:ascii="宋体" w:hAnsi="宋体" w:cs="宋体"/>
        </w:rPr>
      </w:pPr>
    </w:p>
    <w:p w14:paraId="522F1A65" w14:textId="77777777" w:rsidR="00213169" w:rsidRPr="00136FBE" w:rsidRDefault="00213169">
      <w:pPr>
        <w:rPr>
          <w:rFonts w:ascii="宋体" w:hAnsi="宋体" w:cs="宋体"/>
        </w:rPr>
      </w:pPr>
    </w:p>
    <w:p w14:paraId="74147DAA" w14:textId="77777777" w:rsidR="00953D32" w:rsidRPr="00136FBE" w:rsidRDefault="00953D32" w:rsidP="00953D32">
      <w:pPr>
        <w:widowControl/>
        <w:jc w:val="left"/>
        <w:rPr>
          <w:rFonts w:ascii="宋体" w:hAnsi="宋体" w:cs="宋体"/>
          <w:b/>
          <w:bCs/>
          <w:sz w:val="44"/>
          <w:szCs w:val="44"/>
        </w:rPr>
        <w:sectPr w:rsidR="00953D32" w:rsidRPr="00136FBE" w:rsidSect="005E4491">
          <w:footerReference w:type="default" r:id="rId8"/>
          <w:pgSz w:w="11906" w:h="16838"/>
          <w:pgMar w:top="1440" w:right="1800" w:bottom="1440" w:left="1800" w:header="851" w:footer="992" w:gutter="0"/>
          <w:pgNumType w:start="1"/>
          <w:cols w:space="425"/>
          <w:docGrid w:type="lines" w:linePitch="312"/>
        </w:sectPr>
      </w:pPr>
      <w:r w:rsidRPr="00136FBE">
        <w:rPr>
          <w:rFonts w:ascii="宋体" w:hAnsi="宋体" w:cs="宋体"/>
          <w:b/>
          <w:bCs/>
          <w:sz w:val="44"/>
          <w:szCs w:val="44"/>
        </w:rPr>
        <w:br w:type="page"/>
      </w:r>
    </w:p>
    <w:p w14:paraId="5125CEF4" w14:textId="77777777" w:rsidR="00B23A40" w:rsidRPr="00136FBE" w:rsidRDefault="00DD1A0D">
      <w:pPr>
        <w:spacing w:line="360" w:lineRule="auto"/>
        <w:jc w:val="center"/>
        <w:rPr>
          <w:rFonts w:ascii="宋体" w:cs="Times New Roman"/>
          <w:b/>
          <w:bCs/>
          <w:sz w:val="44"/>
          <w:szCs w:val="44"/>
        </w:rPr>
      </w:pPr>
      <w:r w:rsidRPr="00136FBE">
        <w:rPr>
          <w:rFonts w:ascii="宋体" w:hAnsi="宋体" w:cs="宋体" w:hint="eastAsia"/>
          <w:b/>
          <w:bCs/>
          <w:sz w:val="44"/>
          <w:szCs w:val="44"/>
        </w:rPr>
        <w:lastRenderedPageBreak/>
        <w:t>第一部分</w:t>
      </w:r>
      <w:r w:rsidR="001D4AD1" w:rsidRPr="00136FBE">
        <w:rPr>
          <w:rFonts w:ascii="宋体" w:hAnsi="宋体" w:cs="宋体" w:hint="eastAsia"/>
          <w:b/>
          <w:bCs/>
          <w:sz w:val="44"/>
          <w:szCs w:val="44"/>
        </w:rPr>
        <w:t xml:space="preserve">　</w:t>
      </w:r>
      <w:r w:rsidRPr="00136FBE">
        <w:rPr>
          <w:rFonts w:ascii="宋体" w:hAnsi="宋体" w:cs="宋体" w:hint="eastAsia"/>
          <w:b/>
          <w:bCs/>
          <w:sz w:val="44"/>
          <w:szCs w:val="44"/>
        </w:rPr>
        <w:t>新型抗肿瘤药物临床应用</w:t>
      </w:r>
    </w:p>
    <w:p w14:paraId="32814B92" w14:textId="77777777" w:rsidR="00B23A40" w:rsidRPr="00136FBE" w:rsidRDefault="00D320DF" w:rsidP="00D320DF">
      <w:pPr>
        <w:tabs>
          <w:tab w:val="center" w:pos="4153"/>
          <w:tab w:val="right" w:pos="8306"/>
        </w:tabs>
        <w:spacing w:line="360" w:lineRule="auto"/>
        <w:jc w:val="left"/>
        <w:rPr>
          <w:rFonts w:ascii="宋体" w:cs="Times New Roman"/>
          <w:b/>
          <w:bCs/>
          <w:sz w:val="44"/>
          <w:szCs w:val="44"/>
        </w:rPr>
      </w:pPr>
      <w:r w:rsidRPr="00136FBE">
        <w:rPr>
          <w:rFonts w:ascii="宋体" w:hAnsi="宋体" w:cs="宋体"/>
          <w:b/>
          <w:bCs/>
          <w:sz w:val="44"/>
          <w:szCs w:val="44"/>
        </w:rPr>
        <w:tab/>
      </w:r>
      <w:r w:rsidR="00D9000D">
        <w:rPr>
          <w:rFonts w:ascii="宋体" w:hAnsi="宋体" w:cs="宋体" w:hint="eastAsia"/>
          <w:b/>
          <w:bCs/>
          <w:sz w:val="44"/>
          <w:szCs w:val="44"/>
        </w:rPr>
        <w:t>基本</w:t>
      </w:r>
      <w:r w:rsidR="00DD1A0D" w:rsidRPr="00136FBE">
        <w:rPr>
          <w:rFonts w:ascii="宋体" w:hAnsi="宋体" w:cs="宋体" w:hint="eastAsia"/>
          <w:b/>
          <w:bCs/>
          <w:sz w:val="44"/>
          <w:szCs w:val="44"/>
        </w:rPr>
        <w:t>原则</w:t>
      </w:r>
      <w:r w:rsidRPr="00136FBE">
        <w:rPr>
          <w:rFonts w:ascii="宋体" w:hAnsi="宋体" w:cs="宋体"/>
          <w:b/>
          <w:bCs/>
          <w:sz w:val="44"/>
          <w:szCs w:val="44"/>
        </w:rPr>
        <w:tab/>
      </w:r>
    </w:p>
    <w:p w14:paraId="253CED38" w14:textId="77777777" w:rsidR="00B23A40" w:rsidRPr="00136FBE" w:rsidRDefault="00B23A40">
      <w:pPr>
        <w:spacing w:line="360" w:lineRule="auto"/>
        <w:ind w:firstLineChars="200" w:firstLine="420"/>
        <w:rPr>
          <w:rFonts w:ascii="宋体" w:cs="Times New Roman"/>
        </w:rPr>
      </w:pPr>
    </w:p>
    <w:p w14:paraId="2D65344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为规范新型抗肿瘤药物临床应用，提高肿瘤合理用药水平，保障医疗质量和医疗安全，维护肿瘤患者健康权益，特制定新型抗肿瘤药物临床应用指导原则。本指导原则涉及的新型抗肿瘤药物是指小分子靶向药物和大分子单克隆抗体类药物。</w:t>
      </w:r>
    </w:p>
    <w:p w14:paraId="1E92F404" w14:textId="77777777" w:rsidR="00B23A40" w:rsidRPr="00136FBE" w:rsidRDefault="00DD1A0D" w:rsidP="008F744A">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抗肿瘤药物的应用涉及临床多个学科，合理应用抗肿瘤药物是提高疗效、降低不良反应发生率以及合理利用卫生资源的关键。</w:t>
      </w:r>
      <w:r w:rsidR="004616A2" w:rsidRPr="004616A2">
        <w:rPr>
          <w:rFonts w:ascii="仿宋" w:eastAsia="仿宋" w:hAnsi="仿宋" w:cs="仿宋" w:hint="eastAsia"/>
          <w:sz w:val="32"/>
          <w:szCs w:val="32"/>
        </w:rPr>
        <w:t>抗肿瘤药物临</w:t>
      </w:r>
      <w:r w:rsidR="004616A2">
        <w:rPr>
          <w:rFonts w:ascii="仿宋" w:eastAsia="仿宋" w:hAnsi="仿宋" w:cs="仿宋" w:hint="eastAsia"/>
          <w:sz w:val="32"/>
          <w:szCs w:val="32"/>
        </w:rPr>
        <w:t>床</w:t>
      </w:r>
      <w:r w:rsidR="004616A2" w:rsidRPr="004616A2">
        <w:rPr>
          <w:rFonts w:ascii="仿宋" w:eastAsia="仿宋" w:hAnsi="仿宋" w:cs="仿宋" w:hint="eastAsia"/>
          <w:sz w:val="32"/>
          <w:szCs w:val="32"/>
        </w:rPr>
        <w:t>应用需考虑药物可及性、患者治疗意愿和疾病预后等三大要素</w:t>
      </w:r>
      <w:r w:rsidRPr="00136FBE">
        <w:rPr>
          <w:rFonts w:ascii="仿宋" w:eastAsia="仿宋" w:hAnsi="仿宋" w:cs="仿宋" w:hint="eastAsia"/>
          <w:sz w:val="32"/>
          <w:szCs w:val="32"/>
        </w:rPr>
        <w:t>。抗肿瘤药物临床应用是否合理，基于以下两方面：有无抗肿瘤药物应用指征；选用的品种及给药方案是否适宜。</w:t>
      </w:r>
    </w:p>
    <w:p w14:paraId="06A7F2BB"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一、病理组织学确诊后方可使用</w:t>
      </w:r>
    </w:p>
    <w:p w14:paraId="7417A90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只有经组织或细胞学病理确诊、或特殊分子病理诊断成立的恶性肿瘤，才有指征使用抗肿瘤药物。单纯依据患者的临床症状、体征和影像学结果得出临床诊断的肿瘤患者，没有抗肿瘤药物治疗的指征。但是，对于某些难以获取病理诊断的肿瘤，如胰腺癌，其确诊可参照国家相关指南或规范执行。</w:t>
      </w:r>
    </w:p>
    <w:p w14:paraId="4ABC5B1E"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二、靶点检测后方可使用</w:t>
      </w:r>
    </w:p>
    <w:p w14:paraId="3700653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lastRenderedPageBreak/>
        <w:t>现代抗肿瘤药物的一个显著特征，是出现一批针对分子异常特征的药物</w:t>
      </w:r>
      <w:r w:rsidRPr="00136FBE">
        <w:rPr>
          <w:rFonts w:ascii="仿宋" w:eastAsia="仿宋" w:hAnsi="仿宋" w:cs="仿宋"/>
          <w:sz w:val="32"/>
          <w:szCs w:val="32"/>
        </w:rPr>
        <w:t>——</w:t>
      </w:r>
      <w:r w:rsidRPr="00136FBE">
        <w:rPr>
          <w:rFonts w:ascii="仿宋" w:eastAsia="仿宋" w:hAnsi="仿宋" w:cs="仿宋" w:hint="eastAsia"/>
          <w:sz w:val="32"/>
          <w:szCs w:val="32"/>
        </w:rPr>
        <w:t>即靶向药物。最具代表性的药物是针对表皮生长因子信号通路异常的酪氨酸激酶抑制剂。目前，根据是否需要做靶点检测，可以将常用的小分子靶向药物和大分子单克隆抗体类药物分为两大类（表</w:t>
      </w:r>
      <w:r w:rsidRPr="00136FBE">
        <w:rPr>
          <w:rFonts w:ascii="仿宋" w:eastAsia="仿宋" w:hAnsi="仿宋" w:cs="仿宋"/>
          <w:sz w:val="32"/>
          <w:szCs w:val="32"/>
        </w:rPr>
        <w:t>1</w:t>
      </w:r>
      <w:r w:rsidRPr="00136FBE">
        <w:rPr>
          <w:rFonts w:ascii="仿宋" w:eastAsia="仿宋" w:hAnsi="仿宋" w:cs="仿宋" w:hint="eastAsia"/>
          <w:sz w:val="32"/>
          <w:szCs w:val="32"/>
        </w:rPr>
        <w:t>）。具体的检测靶点详见各章节。</w:t>
      </w:r>
    </w:p>
    <w:p w14:paraId="2536D3BB" w14:textId="77777777" w:rsidR="00306F2F" w:rsidRPr="00136FBE" w:rsidRDefault="00306F2F" w:rsidP="00306F2F">
      <w:pPr>
        <w:spacing w:line="360" w:lineRule="auto"/>
        <w:ind w:firstLineChars="200" w:firstLine="422"/>
        <w:jc w:val="center"/>
        <w:rPr>
          <w:rFonts w:ascii="仿宋" w:eastAsia="仿宋" w:hAnsi="仿宋"/>
          <w:b/>
          <w:color w:val="000000"/>
        </w:rPr>
      </w:pPr>
      <w:r w:rsidRPr="00136FBE">
        <w:rPr>
          <w:rFonts w:ascii="仿宋" w:eastAsia="仿宋" w:hAnsi="仿宋" w:hint="eastAsia"/>
          <w:b/>
          <w:color w:val="000000"/>
        </w:rPr>
        <w:t>表1  常用的小分子靶向药物和大分子单克隆抗体类药物</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54"/>
        <w:gridCol w:w="2507"/>
      </w:tblGrid>
      <w:tr w:rsidR="00306F2F" w:rsidRPr="00136FBE" w14:paraId="76CBE828" w14:textId="77777777" w:rsidTr="00935E5D">
        <w:tc>
          <w:tcPr>
            <w:tcW w:w="2693" w:type="dxa"/>
          </w:tcPr>
          <w:p w14:paraId="436578FC" w14:textId="77777777" w:rsidR="00306F2F" w:rsidRPr="00136FBE" w:rsidRDefault="00306F2F" w:rsidP="00935E5D">
            <w:pPr>
              <w:spacing w:line="360" w:lineRule="auto"/>
              <w:rPr>
                <w:rFonts w:ascii="仿宋" w:eastAsia="仿宋" w:hAnsi="仿宋"/>
                <w:b/>
                <w:color w:val="000000"/>
              </w:rPr>
            </w:pPr>
            <w:r w:rsidRPr="00136FBE">
              <w:rPr>
                <w:rFonts w:ascii="仿宋" w:eastAsia="仿宋" w:hAnsi="仿宋" w:hint="eastAsia"/>
                <w:b/>
                <w:color w:val="000000"/>
              </w:rPr>
              <w:t>病种</w:t>
            </w:r>
          </w:p>
        </w:tc>
        <w:tc>
          <w:tcPr>
            <w:tcW w:w="2454" w:type="dxa"/>
          </w:tcPr>
          <w:p w14:paraId="26DF4366" w14:textId="77777777" w:rsidR="00306F2F" w:rsidRPr="00136FBE" w:rsidRDefault="00306F2F" w:rsidP="00935E5D">
            <w:pPr>
              <w:spacing w:line="360" w:lineRule="auto"/>
              <w:rPr>
                <w:rFonts w:ascii="仿宋" w:eastAsia="仿宋" w:hAnsi="仿宋"/>
                <w:b/>
                <w:color w:val="000000"/>
              </w:rPr>
            </w:pPr>
            <w:r w:rsidRPr="00136FBE">
              <w:rPr>
                <w:rFonts w:ascii="仿宋" w:eastAsia="仿宋" w:hAnsi="仿宋" w:hint="eastAsia"/>
                <w:b/>
                <w:color w:val="000000"/>
              </w:rPr>
              <w:t>需要检测靶点的药物</w:t>
            </w:r>
          </w:p>
        </w:tc>
        <w:tc>
          <w:tcPr>
            <w:tcW w:w="2507" w:type="dxa"/>
          </w:tcPr>
          <w:p w14:paraId="5E297074" w14:textId="77777777" w:rsidR="00306F2F" w:rsidRPr="00136FBE" w:rsidRDefault="00306F2F" w:rsidP="00935E5D">
            <w:pPr>
              <w:spacing w:line="360" w:lineRule="auto"/>
              <w:rPr>
                <w:rFonts w:ascii="仿宋" w:eastAsia="仿宋" w:hAnsi="仿宋"/>
                <w:b/>
                <w:color w:val="000000"/>
              </w:rPr>
            </w:pPr>
            <w:r w:rsidRPr="00136FBE">
              <w:rPr>
                <w:rFonts w:ascii="仿宋" w:eastAsia="仿宋" w:hAnsi="仿宋" w:hint="eastAsia"/>
                <w:b/>
                <w:color w:val="000000"/>
              </w:rPr>
              <w:t>不需要检测靶点的药物</w:t>
            </w:r>
          </w:p>
        </w:tc>
      </w:tr>
      <w:tr w:rsidR="00306F2F" w:rsidRPr="00136FBE" w14:paraId="0F9A6B23" w14:textId="77777777" w:rsidTr="00935E5D">
        <w:trPr>
          <w:trHeight w:val="1922"/>
        </w:trPr>
        <w:tc>
          <w:tcPr>
            <w:tcW w:w="2693" w:type="dxa"/>
          </w:tcPr>
          <w:p w14:paraId="07963474"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肺癌</w:t>
            </w:r>
          </w:p>
        </w:tc>
        <w:tc>
          <w:tcPr>
            <w:tcW w:w="2454" w:type="dxa"/>
          </w:tcPr>
          <w:p w14:paraId="28670B9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吉非替尼</w:t>
            </w:r>
          </w:p>
          <w:p w14:paraId="1434D50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厄洛替尼</w:t>
            </w:r>
          </w:p>
          <w:p w14:paraId="49DD75B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埃克替尼</w:t>
            </w:r>
          </w:p>
          <w:p w14:paraId="4FF8BC5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阿法替尼</w:t>
            </w:r>
          </w:p>
          <w:p w14:paraId="145E934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达可替尼</w:t>
            </w:r>
          </w:p>
          <w:p w14:paraId="0B43CDD4"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奥希替尼</w:t>
            </w:r>
          </w:p>
          <w:p w14:paraId="433BEDB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克唑替尼</w:t>
            </w:r>
          </w:p>
          <w:p w14:paraId="6D1C86E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阿来替尼</w:t>
            </w:r>
          </w:p>
          <w:p w14:paraId="7A708044"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塞瑞替尼</w:t>
            </w:r>
          </w:p>
          <w:p w14:paraId="48F5B8F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阿美替尼</w:t>
            </w:r>
          </w:p>
        </w:tc>
        <w:tc>
          <w:tcPr>
            <w:tcW w:w="2507" w:type="dxa"/>
          </w:tcPr>
          <w:p w14:paraId="15C6F81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贝伐珠单抗</w:t>
            </w:r>
          </w:p>
          <w:p w14:paraId="0D27471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重组人血管内皮抑制素</w:t>
            </w:r>
          </w:p>
          <w:p w14:paraId="36DF2FEC"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安罗替尼</w:t>
            </w:r>
          </w:p>
          <w:p w14:paraId="2B3E402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纳武利尤单抗</w:t>
            </w:r>
            <w:r w:rsidRPr="00F06218">
              <w:rPr>
                <w:rFonts w:ascii="仿宋" w:eastAsia="仿宋" w:hAnsi="仿宋"/>
                <w:color w:val="000000"/>
                <w:sz w:val="28"/>
                <w:szCs w:val="28"/>
                <w:vertAlign w:val="superscript"/>
              </w:rPr>
              <w:t>*</w:t>
            </w:r>
          </w:p>
          <w:p w14:paraId="0E302D0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帕博利珠单抗</w:t>
            </w:r>
            <w:r w:rsidRPr="00F06218">
              <w:rPr>
                <w:rFonts w:ascii="仿宋" w:eastAsia="仿宋" w:hAnsi="仿宋"/>
                <w:color w:val="000000"/>
                <w:sz w:val="28"/>
                <w:szCs w:val="28"/>
                <w:vertAlign w:val="superscript"/>
              </w:rPr>
              <w:t>*</w:t>
            </w:r>
          </w:p>
          <w:p w14:paraId="693D227D"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度伐利尤单抗</w:t>
            </w:r>
          </w:p>
          <w:p w14:paraId="6960FC4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卡瑞利珠单抗</w:t>
            </w:r>
            <w:r w:rsidRPr="00F06218">
              <w:rPr>
                <w:rFonts w:ascii="仿宋" w:eastAsia="仿宋" w:hAnsi="仿宋"/>
                <w:color w:val="000000"/>
                <w:sz w:val="28"/>
                <w:szCs w:val="28"/>
                <w:vertAlign w:val="superscript"/>
              </w:rPr>
              <w:t>*</w:t>
            </w:r>
          </w:p>
          <w:p w14:paraId="48BB656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阿替利珠单抗</w:t>
            </w:r>
          </w:p>
          <w:p w14:paraId="582E9F1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依维莫司</w:t>
            </w:r>
          </w:p>
        </w:tc>
      </w:tr>
      <w:tr w:rsidR="00306F2F" w:rsidRPr="00136FBE" w14:paraId="0B65AB29" w14:textId="77777777" w:rsidTr="00935E5D">
        <w:trPr>
          <w:trHeight w:val="634"/>
        </w:trPr>
        <w:tc>
          <w:tcPr>
            <w:tcW w:w="2693" w:type="dxa"/>
          </w:tcPr>
          <w:p w14:paraId="320CC427"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 xml:space="preserve"> 肝癌</w:t>
            </w:r>
          </w:p>
        </w:tc>
        <w:tc>
          <w:tcPr>
            <w:tcW w:w="2454" w:type="dxa"/>
          </w:tcPr>
          <w:p w14:paraId="2ECDECFA" w14:textId="77777777" w:rsidR="00306F2F" w:rsidRPr="00136FBE" w:rsidRDefault="00306F2F" w:rsidP="00935E5D">
            <w:pPr>
              <w:spacing w:line="360" w:lineRule="auto"/>
              <w:rPr>
                <w:rFonts w:ascii="仿宋" w:eastAsia="仿宋" w:hAnsi="仿宋"/>
                <w:color w:val="000000"/>
              </w:rPr>
            </w:pPr>
          </w:p>
        </w:tc>
        <w:tc>
          <w:tcPr>
            <w:tcW w:w="2507" w:type="dxa"/>
          </w:tcPr>
          <w:p w14:paraId="2D09005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索拉非尼</w:t>
            </w:r>
          </w:p>
          <w:p w14:paraId="4D601646"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瑞戈非尼</w:t>
            </w:r>
          </w:p>
          <w:p w14:paraId="7A436C7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仑伐替尼</w:t>
            </w:r>
          </w:p>
          <w:p w14:paraId="07A621A7"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卡瑞利珠单抗</w:t>
            </w:r>
          </w:p>
        </w:tc>
      </w:tr>
      <w:tr w:rsidR="00306F2F" w:rsidRPr="00136FBE" w14:paraId="3D41DD3A" w14:textId="77777777" w:rsidTr="00935E5D">
        <w:trPr>
          <w:trHeight w:val="634"/>
        </w:trPr>
        <w:tc>
          <w:tcPr>
            <w:tcW w:w="2693" w:type="dxa"/>
          </w:tcPr>
          <w:p w14:paraId="5663ECC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食管癌</w:t>
            </w:r>
          </w:p>
        </w:tc>
        <w:tc>
          <w:tcPr>
            <w:tcW w:w="2454" w:type="dxa"/>
          </w:tcPr>
          <w:p w14:paraId="52807B6B" w14:textId="77777777" w:rsidR="00306F2F" w:rsidRPr="00136FBE" w:rsidRDefault="00306F2F" w:rsidP="00935E5D">
            <w:pPr>
              <w:spacing w:line="360" w:lineRule="auto"/>
              <w:rPr>
                <w:rFonts w:ascii="仿宋" w:eastAsia="仿宋" w:hAnsi="仿宋"/>
                <w:color w:val="000000"/>
              </w:rPr>
            </w:pPr>
          </w:p>
        </w:tc>
        <w:tc>
          <w:tcPr>
            <w:tcW w:w="2507" w:type="dxa"/>
          </w:tcPr>
          <w:p w14:paraId="260B96E2"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卡瑞利珠单抗</w:t>
            </w:r>
          </w:p>
          <w:p w14:paraId="25A81BD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帕博利珠单抗</w:t>
            </w:r>
          </w:p>
        </w:tc>
      </w:tr>
      <w:tr w:rsidR="00306F2F" w:rsidRPr="00136FBE" w14:paraId="4713E708" w14:textId="77777777" w:rsidTr="00935E5D">
        <w:tc>
          <w:tcPr>
            <w:tcW w:w="2693" w:type="dxa"/>
          </w:tcPr>
          <w:p w14:paraId="22D0E226"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胃癌</w:t>
            </w:r>
          </w:p>
        </w:tc>
        <w:tc>
          <w:tcPr>
            <w:tcW w:w="2454" w:type="dxa"/>
          </w:tcPr>
          <w:p w14:paraId="42808AB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曲妥珠单抗</w:t>
            </w:r>
          </w:p>
        </w:tc>
        <w:tc>
          <w:tcPr>
            <w:tcW w:w="2507" w:type="dxa"/>
          </w:tcPr>
          <w:p w14:paraId="58578B0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阿帕替尼</w:t>
            </w:r>
          </w:p>
          <w:p w14:paraId="317DEDA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纳武利尤单抗</w:t>
            </w:r>
          </w:p>
        </w:tc>
      </w:tr>
      <w:tr w:rsidR="00306F2F" w:rsidRPr="00136FBE" w14:paraId="33CCE7C6" w14:textId="77777777" w:rsidTr="00935E5D">
        <w:trPr>
          <w:trHeight w:val="634"/>
        </w:trPr>
        <w:tc>
          <w:tcPr>
            <w:tcW w:w="2693" w:type="dxa"/>
          </w:tcPr>
          <w:p w14:paraId="6192E7E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胃肠间质瘤</w:t>
            </w:r>
          </w:p>
        </w:tc>
        <w:tc>
          <w:tcPr>
            <w:tcW w:w="2454" w:type="dxa"/>
          </w:tcPr>
          <w:p w14:paraId="5BD8A758"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伊马替尼</w:t>
            </w:r>
          </w:p>
        </w:tc>
        <w:tc>
          <w:tcPr>
            <w:tcW w:w="2507" w:type="dxa"/>
          </w:tcPr>
          <w:p w14:paraId="2198CDE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瑞戈非尼</w:t>
            </w:r>
          </w:p>
          <w:p w14:paraId="7E202F8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lastRenderedPageBreak/>
              <w:t>舒尼替尼</w:t>
            </w:r>
          </w:p>
        </w:tc>
      </w:tr>
      <w:tr w:rsidR="00306F2F" w:rsidRPr="00136FBE" w14:paraId="03462CA1" w14:textId="77777777" w:rsidTr="00935E5D">
        <w:trPr>
          <w:trHeight w:val="634"/>
        </w:trPr>
        <w:tc>
          <w:tcPr>
            <w:tcW w:w="2693" w:type="dxa"/>
          </w:tcPr>
          <w:p w14:paraId="56E46F92"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lastRenderedPageBreak/>
              <w:t>胰腺神经内分泌瘤</w:t>
            </w:r>
          </w:p>
        </w:tc>
        <w:tc>
          <w:tcPr>
            <w:tcW w:w="2454" w:type="dxa"/>
          </w:tcPr>
          <w:p w14:paraId="1499094F" w14:textId="77777777" w:rsidR="00306F2F" w:rsidRPr="00136FBE" w:rsidRDefault="00306F2F" w:rsidP="00935E5D">
            <w:pPr>
              <w:spacing w:line="360" w:lineRule="auto"/>
              <w:rPr>
                <w:rFonts w:ascii="仿宋" w:eastAsia="仿宋" w:hAnsi="仿宋"/>
                <w:color w:val="000000"/>
              </w:rPr>
            </w:pPr>
          </w:p>
        </w:tc>
        <w:tc>
          <w:tcPr>
            <w:tcW w:w="2507" w:type="dxa"/>
          </w:tcPr>
          <w:p w14:paraId="4E06EA4C"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舒尼替尼</w:t>
            </w:r>
          </w:p>
          <w:p w14:paraId="7A57543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依维莫司</w:t>
            </w:r>
          </w:p>
        </w:tc>
      </w:tr>
      <w:tr w:rsidR="00306F2F" w:rsidRPr="00136FBE" w14:paraId="690D6BB1" w14:textId="77777777" w:rsidTr="00935E5D">
        <w:trPr>
          <w:trHeight w:val="634"/>
        </w:trPr>
        <w:tc>
          <w:tcPr>
            <w:tcW w:w="2693" w:type="dxa"/>
          </w:tcPr>
          <w:p w14:paraId="362AD8F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结直肠癌</w:t>
            </w:r>
          </w:p>
        </w:tc>
        <w:tc>
          <w:tcPr>
            <w:tcW w:w="2454" w:type="dxa"/>
          </w:tcPr>
          <w:p w14:paraId="24D1F8E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西妥昔单抗</w:t>
            </w:r>
          </w:p>
        </w:tc>
        <w:tc>
          <w:tcPr>
            <w:tcW w:w="2507" w:type="dxa"/>
          </w:tcPr>
          <w:p w14:paraId="2645EAB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贝伐珠单抗</w:t>
            </w:r>
          </w:p>
          <w:p w14:paraId="6349540D"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瑞戈非尼</w:t>
            </w:r>
          </w:p>
          <w:p w14:paraId="0F2A691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呋喹替尼</w:t>
            </w:r>
          </w:p>
        </w:tc>
      </w:tr>
      <w:tr w:rsidR="00306F2F" w:rsidRPr="00136FBE" w14:paraId="604B1B12" w14:textId="77777777" w:rsidTr="00935E5D">
        <w:tc>
          <w:tcPr>
            <w:tcW w:w="2693" w:type="dxa"/>
          </w:tcPr>
          <w:p w14:paraId="42E9602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白血病</w:t>
            </w:r>
          </w:p>
        </w:tc>
        <w:tc>
          <w:tcPr>
            <w:tcW w:w="2454" w:type="dxa"/>
          </w:tcPr>
          <w:p w14:paraId="0E1BC0B8"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伊马替尼</w:t>
            </w:r>
          </w:p>
          <w:p w14:paraId="59BD1DEC"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达沙替尼</w:t>
            </w:r>
          </w:p>
          <w:p w14:paraId="4731C0B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尼洛替尼</w:t>
            </w:r>
          </w:p>
        </w:tc>
        <w:tc>
          <w:tcPr>
            <w:tcW w:w="2507" w:type="dxa"/>
          </w:tcPr>
          <w:p w14:paraId="5ABB58D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伊布替尼</w:t>
            </w:r>
          </w:p>
        </w:tc>
      </w:tr>
      <w:tr w:rsidR="00306F2F" w:rsidRPr="00136FBE" w14:paraId="611D8174" w14:textId="77777777" w:rsidTr="00935E5D">
        <w:tc>
          <w:tcPr>
            <w:tcW w:w="2693" w:type="dxa"/>
          </w:tcPr>
          <w:p w14:paraId="3C5A76E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淋巴瘤</w:t>
            </w:r>
          </w:p>
        </w:tc>
        <w:tc>
          <w:tcPr>
            <w:tcW w:w="2454" w:type="dxa"/>
          </w:tcPr>
          <w:p w14:paraId="758F5A72"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利妥昔单抗</w:t>
            </w:r>
          </w:p>
          <w:p w14:paraId="178DB6E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维布妥昔单抗</w:t>
            </w:r>
          </w:p>
          <w:p w14:paraId="32AEC6E9" w14:textId="77777777" w:rsidR="00306F2F" w:rsidRPr="00136FBE" w:rsidRDefault="00306F2F" w:rsidP="00935E5D">
            <w:pPr>
              <w:spacing w:line="360" w:lineRule="auto"/>
              <w:rPr>
                <w:rFonts w:ascii="仿宋" w:eastAsia="仿宋" w:hAnsi="仿宋"/>
                <w:color w:val="000000"/>
              </w:rPr>
            </w:pPr>
          </w:p>
        </w:tc>
        <w:tc>
          <w:tcPr>
            <w:tcW w:w="2507" w:type="dxa"/>
          </w:tcPr>
          <w:p w14:paraId="7611B04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西达本胺</w:t>
            </w:r>
          </w:p>
          <w:p w14:paraId="1FA5B47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伊布替尼</w:t>
            </w:r>
          </w:p>
          <w:p w14:paraId="33093D7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硼替佐米</w:t>
            </w:r>
          </w:p>
          <w:p w14:paraId="04886204"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信迪利单抗</w:t>
            </w:r>
          </w:p>
          <w:p w14:paraId="7F24EE1E" w14:textId="77777777" w:rsidR="00306F2F" w:rsidRPr="00136FBE" w:rsidRDefault="00306F2F" w:rsidP="00935E5D">
            <w:pPr>
              <w:spacing w:line="360" w:lineRule="auto"/>
              <w:rPr>
                <w:rFonts w:ascii="仿宋" w:eastAsia="仿宋" w:hAnsi="仿宋" w:cs="Times New Roman"/>
                <w:color w:val="000000"/>
              </w:rPr>
            </w:pPr>
            <w:r w:rsidRPr="00136FBE">
              <w:rPr>
                <w:rFonts w:ascii="仿宋" w:eastAsia="仿宋" w:hAnsi="仿宋" w:cs="Times New Roman" w:hint="eastAsia"/>
                <w:color w:val="000000"/>
              </w:rPr>
              <w:t>卡瑞利珠单抗</w:t>
            </w:r>
          </w:p>
          <w:p w14:paraId="46CFFDB8" w14:textId="77777777" w:rsidR="00306F2F" w:rsidRPr="00136FBE" w:rsidRDefault="00306F2F" w:rsidP="00935E5D">
            <w:pPr>
              <w:spacing w:line="360" w:lineRule="auto"/>
              <w:rPr>
                <w:rFonts w:ascii="仿宋" w:eastAsia="仿宋" w:hAnsi="仿宋" w:cs="Times New Roman"/>
                <w:color w:val="000000"/>
              </w:rPr>
            </w:pPr>
            <w:r w:rsidRPr="00136FBE">
              <w:rPr>
                <w:rFonts w:ascii="仿宋" w:eastAsia="仿宋" w:hAnsi="仿宋" w:cs="Times New Roman" w:hint="eastAsia"/>
                <w:color w:val="000000"/>
              </w:rPr>
              <w:t>替雷利珠单抗</w:t>
            </w:r>
          </w:p>
          <w:p w14:paraId="3445496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s="Times New Roman" w:hint="eastAsia"/>
                <w:color w:val="000000"/>
              </w:rPr>
              <w:t>泽布替尼</w:t>
            </w:r>
          </w:p>
        </w:tc>
      </w:tr>
      <w:tr w:rsidR="00306F2F" w:rsidRPr="00136FBE" w14:paraId="3D157F0D" w14:textId="77777777" w:rsidTr="00935E5D">
        <w:tc>
          <w:tcPr>
            <w:tcW w:w="2693" w:type="dxa"/>
          </w:tcPr>
          <w:p w14:paraId="43FC303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多发性骨髓瘤</w:t>
            </w:r>
          </w:p>
        </w:tc>
        <w:tc>
          <w:tcPr>
            <w:tcW w:w="2454" w:type="dxa"/>
          </w:tcPr>
          <w:p w14:paraId="3CD23EC4" w14:textId="77777777" w:rsidR="00306F2F" w:rsidRPr="00136FBE" w:rsidRDefault="00306F2F" w:rsidP="00935E5D">
            <w:pPr>
              <w:spacing w:line="360" w:lineRule="auto"/>
              <w:rPr>
                <w:rFonts w:ascii="仿宋" w:eastAsia="仿宋" w:hAnsi="仿宋"/>
                <w:color w:val="000000"/>
              </w:rPr>
            </w:pPr>
          </w:p>
        </w:tc>
        <w:tc>
          <w:tcPr>
            <w:tcW w:w="2507" w:type="dxa"/>
          </w:tcPr>
          <w:p w14:paraId="68BEB30D"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硼替佐米</w:t>
            </w:r>
          </w:p>
          <w:p w14:paraId="76E7EF5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来那度胺</w:t>
            </w:r>
          </w:p>
          <w:p w14:paraId="3AD67D0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沙利度胺</w:t>
            </w:r>
          </w:p>
          <w:p w14:paraId="51866E72"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伊沙佐米</w:t>
            </w:r>
          </w:p>
          <w:p w14:paraId="2D47F88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达雷妥尤单抗</w:t>
            </w:r>
          </w:p>
        </w:tc>
      </w:tr>
      <w:tr w:rsidR="00306F2F" w:rsidRPr="00136FBE" w14:paraId="1720F902" w14:textId="77777777" w:rsidTr="00935E5D">
        <w:tc>
          <w:tcPr>
            <w:tcW w:w="2693" w:type="dxa"/>
          </w:tcPr>
          <w:p w14:paraId="7CB7D7C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骨髓增殖性疾病</w:t>
            </w:r>
          </w:p>
        </w:tc>
        <w:tc>
          <w:tcPr>
            <w:tcW w:w="2454" w:type="dxa"/>
          </w:tcPr>
          <w:p w14:paraId="33DF01FB" w14:textId="77777777" w:rsidR="00306F2F" w:rsidRPr="00136FBE" w:rsidRDefault="00306F2F" w:rsidP="00935E5D">
            <w:pPr>
              <w:spacing w:line="360" w:lineRule="auto"/>
              <w:rPr>
                <w:rFonts w:ascii="仿宋" w:eastAsia="仿宋" w:hAnsi="仿宋"/>
                <w:color w:val="000000"/>
              </w:rPr>
            </w:pPr>
          </w:p>
        </w:tc>
        <w:tc>
          <w:tcPr>
            <w:tcW w:w="2507" w:type="dxa"/>
          </w:tcPr>
          <w:p w14:paraId="0D5BD5AD"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芦可替尼</w:t>
            </w:r>
          </w:p>
        </w:tc>
      </w:tr>
      <w:tr w:rsidR="00306F2F" w:rsidRPr="00136FBE" w14:paraId="20CDB674" w14:textId="77777777" w:rsidTr="00935E5D">
        <w:trPr>
          <w:trHeight w:val="1600"/>
        </w:trPr>
        <w:tc>
          <w:tcPr>
            <w:tcW w:w="2693" w:type="dxa"/>
          </w:tcPr>
          <w:p w14:paraId="66FD8D2D"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肾癌</w:t>
            </w:r>
          </w:p>
        </w:tc>
        <w:tc>
          <w:tcPr>
            <w:tcW w:w="2454" w:type="dxa"/>
          </w:tcPr>
          <w:p w14:paraId="281DF42E" w14:textId="77777777" w:rsidR="00306F2F" w:rsidRPr="00136FBE" w:rsidRDefault="00306F2F" w:rsidP="00935E5D">
            <w:pPr>
              <w:spacing w:line="360" w:lineRule="auto"/>
              <w:rPr>
                <w:rFonts w:ascii="仿宋" w:eastAsia="仿宋" w:hAnsi="仿宋"/>
                <w:color w:val="000000"/>
              </w:rPr>
            </w:pPr>
          </w:p>
          <w:p w14:paraId="202D53B7" w14:textId="77777777" w:rsidR="00306F2F" w:rsidRPr="00136FBE" w:rsidRDefault="00306F2F" w:rsidP="00935E5D">
            <w:pPr>
              <w:spacing w:line="360" w:lineRule="auto"/>
              <w:rPr>
                <w:rFonts w:ascii="仿宋" w:eastAsia="仿宋" w:hAnsi="仿宋"/>
                <w:color w:val="000000"/>
              </w:rPr>
            </w:pPr>
          </w:p>
        </w:tc>
        <w:tc>
          <w:tcPr>
            <w:tcW w:w="2507" w:type="dxa"/>
          </w:tcPr>
          <w:p w14:paraId="05F1668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依维莫司</w:t>
            </w:r>
          </w:p>
          <w:p w14:paraId="18F6203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索拉非尼</w:t>
            </w:r>
          </w:p>
          <w:p w14:paraId="353F483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舒尼替尼</w:t>
            </w:r>
          </w:p>
          <w:p w14:paraId="57C1EBC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阿昔替尼</w:t>
            </w:r>
          </w:p>
          <w:p w14:paraId="457DFE1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培唑帕尼</w:t>
            </w:r>
          </w:p>
          <w:p w14:paraId="0D88997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仑伐替尼</w:t>
            </w:r>
          </w:p>
          <w:p w14:paraId="4C73073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安罗替尼</w:t>
            </w:r>
          </w:p>
          <w:p w14:paraId="73E7FB2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lastRenderedPageBreak/>
              <w:t>帕博利珠单抗</w:t>
            </w:r>
          </w:p>
          <w:p w14:paraId="259A056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纳武利尤单抗</w:t>
            </w:r>
          </w:p>
        </w:tc>
      </w:tr>
      <w:tr w:rsidR="00306F2F" w:rsidRPr="00136FBE" w14:paraId="2C818E25" w14:textId="77777777" w:rsidTr="00935E5D">
        <w:trPr>
          <w:trHeight w:val="634"/>
        </w:trPr>
        <w:tc>
          <w:tcPr>
            <w:tcW w:w="2693" w:type="dxa"/>
          </w:tcPr>
          <w:p w14:paraId="0EDD53E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lastRenderedPageBreak/>
              <w:t>乳腺癌</w:t>
            </w:r>
          </w:p>
        </w:tc>
        <w:tc>
          <w:tcPr>
            <w:tcW w:w="2454" w:type="dxa"/>
          </w:tcPr>
          <w:p w14:paraId="5BE8EE54"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曲妥珠单抗</w:t>
            </w:r>
          </w:p>
          <w:p w14:paraId="120C00CF" w14:textId="77777777" w:rsidR="00306F2F" w:rsidRPr="00136FBE" w:rsidRDefault="00306F2F" w:rsidP="00935E5D">
            <w:pPr>
              <w:spacing w:line="360" w:lineRule="auto"/>
              <w:rPr>
                <w:rFonts w:ascii="仿宋" w:eastAsia="仿宋" w:hAnsi="仿宋"/>
                <w:color w:val="FF0000"/>
              </w:rPr>
            </w:pPr>
            <w:r w:rsidRPr="00136FBE">
              <w:rPr>
                <w:rFonts w:ascii="仿宋" w:eastAsia="仿宋" w:hAnsi="仿宋" w:hint="eastAsia"/>
                <w:color w:val="000000"/>
              </w:rPr>
              <w:t>恩美曲妥珠单抗</w:t>
            </w:r>
          </w:p>
          <w:p w14:paraId="7187B51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帕妥珠单抗</w:t>
            </w:r>
          </w:p>
          <w:p w14:paraId="7E3A9CB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伊尼妥单抗</w:t>
            </w:r>
          </w:p>
          <w:p w14:paraId="299B6B1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拉帕替尼</w:t>
            </w:r>
          </w:p>
          <w:p w14:paraId="4A68B51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吡咯替尼</w:t>
            </w:r>
          </w:p>
          <w:p w14:paraId="2DF700E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奈拉替尼</w:t>
            </w:r>
          </w:p>
        </w:tc>
        <w:tc>
          <w:tcPr>
            <w:tcW w:w="2507" w:type="dxa"/>
          </w:tcPr>
          <w:p w14:paraId="77E977F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哌柏西利</w:t>
            </w:r>
          </w:p>
          <w:p w14:paraId="52AB98A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西达本胺</w:t>
            </w:r>
          </w:p>
          <w:p w14:paraId="1C0CA779" w14:textId="77777777" w:rsidR="00306F2F" w:rsidRPr="00136FBE" w:rsidRDefault="00306F2F" w:rsidP="00935E5D">
            <w:pPr>
              <w:spacing w:line="360" w:lineRule="auto"/>
              <w:rPr>
                <w:rFonts w:ascii="仿宋" w:eastAsia="仿宋" w:hAnsi="仿宋"/>
                <w:color w:val="000000"/>
              </w:rPr>
            </w:pPr>
          </w:p>
        </w:tc>
      </w:tr>
      <w:tr w:rsidR="00306F2F" w:rsidRPr="00136FBE" w14:paraId="4A76BAF7" w14:textId="77777777" w:rsidTr="00935E5D">
        <w:trPr>
          <w:trHeight w:val="946"/>
        </w:trPr>
        <w:tc>
          <w:tcPr>
            <w:tcW w:w="2693" w:type="dxa"/>
          </w:tcPr>
          <w:p w14:paraId="0136FC5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黑色素瘤</w:t>
            </w:r>
          </w:p>
          <w:p w14:paraId="357B0905" w14:textId="77777777" w:rsidR="00306F2F" w:rsidRPr="00136FBE" w:rsidRDefault="00306F2F" w:rsidP="00935E5D">
            <w:pPr>
              <w:spacing w:line="360" w:lineRule="auto"/>
              <w:rPr>
                <w:rFonts w:ascii="仿宋" w:eastAsia="仿宋" w:hAnsi="仿宋"/>
                <w:color w:val="000000"/>
              </w:rPr>
            </w:pPr>
          </w:p>
        </w:tc>
        <w:tc>
          <w:tcPr>
            <w:tcW w:w="2454" w:type="dxa"/>
          </w:tcPr>
          <w:p w14:paraId="4C15CAE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伊马替尼</w:t>
            </w:r>
          </w:p>
          <w:p w14:paraId="7B14D24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维莫非尼</w:t>
            </w:r>
          </w:p>
          <w:p w14:paraId="68D4FFDB"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达拉非尼</w:t>
            </w:r>
          </w:p>
          <w:p w14:paraId="4E6868C6"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曲美替尼</w:t>
            </w:r>
          </w:p>
        </w:tc>
        <w:tc>
          <w:tcPr>
            <w:tcW w:w="2507" w:type="dxa"/>
          </w:tcPr>
          <w:p w14:paraId="1688433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帕博利珠单抗</w:t>
            </w:r>
          </w:p>
          <w:p w14:paraId="0487027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特瑞普利单抗</w:t>
            </w:r>
          </w:p>
        </w:tc>
      </w:tr>
      <w:tr w:rsidR="00306F2F" w:rsidRPr="00136FBE" w14:paraId="373DDAB5" w14:textId="77777777" w:rsidTr="00935E5D">
        <w:tc>
          <w:tcPr>
            <w:tcW w:w="2693" w:type="dxa"/>
          </w:tcPr>
          <w:p w14:paraId="47EF7BDC"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结节性硬化症相关的室管膜下巨细胞星形细胞瘤</w:t>
            </w:r>
          </w:p>
        </w:tc>
        <w:tc>
          <w:tcPr>
            <w:tcW w:w="2454" w:type="dxa"/>
          </w:tcPr>
          <w:p w14:paraId="496F7080" w14:textId="77777777" w:rsidR="00306F2F" w:rsidRPr="00136FBE" w:rsidRDefault="00306F2F" w:rsidP="00935E5D">
            <w:pPr>
              <w:spacing w:line="360" w:lineRule="auto"/>
              <w:rPr>
                <w:rFonts w:ascii="仿宋" w:eastAsia="仿宋" w:hAnsi="仿宋"/>
                <w:color w:val="000000"/>
              </w:rPr>
            </w:pPr>
          </w:p>
        </w:tc>
        <w:tc>
          <w:tcPr>
            <w:tcW w:w="2507" w:type="dxa"/>
          </w:tcPr>
          <w:p w14:paraId="533BC69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依维莫司</w:t>
            </w:r>
          </w:p>
        </w:tc>
      </w:tr>
      <w:tr w:rsidR="00306F2F" w:rsidRPr="00136FBE" w14:paraId="650D29C5" w14:textId="77777777" w:rsidTr="00935E5D">
        <w:tc>
          <w:tcPr>
            <w:tcW w:w="2693" w:type="dxa"/>
          </w:tcPr>
          <w:p w14:paraId="5AFC1B68"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结节性硬化症相关的肾血管平滑肌脂肪瘤</w:t>
            </w:r>
          </w:p>
        </w:tc>
        <w:tc>
          <w:tcPr>
            <w:tcW w:w="2454" w:type="dxa"/>
          </w:tcPr>
          <w:p w14:paraId="14B453D4" w14:textId="77777777" w:rsidR="00306F2F" w:rsidRPr="00136FBE" w:rsidRDefault="00306F2F" w:rsidP="00935E5D">
            <w:pPr>
              <w:spacing w:line="360" w:lineRule="auto"/>
              <w:rPr>
                <w:rFonts w:ascii="仿宋" w:eastAsia="仿宋" w:hAnsi="仿宋"/>
                <w:color w:val="000000"/>
              </w:rPr>
            </w:pPr>
          </w:p>
        </w:tc>
        <w:tc>
          <w:tcPr>
            <w:tcW w:w="2507" w:type="dxa"/>
          </w:tcPr>
          <w:p w14:paraId="6500A6D5"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依维莫司</w:t>
            </w:r>
          </w:p>
        </w:tc>
      </w:tr>
      <w:tr w:rsidR="00306F2F" w:rsidRPr="00136FBE" w14:paraId="70D9C18E" w14:textId="77777777" w:rsidTr="00935E5D">
        <w:tc>
          <w:tcPr>
            <w:tcW w:w="2693" w:type="dxa"/>
          </w:tcPr>
          <w:p w14:paraId="45085617"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骨巨细胞瘤</w:t>
            </w:r>
          </w:p>
        </w:tc>
        <w:tc>
          <w:tcPr>
            <w:tcW w:w="2454" w:type="dxa"/>
          </w:tcPr>
          <w:p w14:paraId="6BDB7CEE" w14:textId="77777777" w:rsidR="00306F2F" w:rsidRPr="00136FBE" w:rsidRDefault="00306F2F" w:rsidP="00935E5D">
            <w:pPr>
              <w:spacing w:line="360" w:lineRule="auto"/>
              <w:rPr>
                <w:rFonts w:ascii="仿宋" w:eastAsia="仿宋" w:hAnsi="仿宋"/>
                <w:color w:val="000000"/>
              </w:rPr>
            </w:pPr>
          </w:p>
        </w:tc>
        <w:tc>
          <w:tcPr>
            <w:tcW w:w="2507" w:type="dxa"/>
          </w:tcPr>
          <w:p w14:paraId="5E54A8B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地舒单抗</w:t>
            </w:r>
          </w:p>
        </w:tc>
      </w:tr>
      <w:tr w:rsidR="00306F2F" w:rsidRPr="00136FBE" w14:paraId="25D1031B" w14:textId="77777777" w:rsidTr="00935E5D">
        <w:tc>
          <w:tcPr>
            <w:tcW w:w="2693" w:type="dxa"/>
          </w:tcPr>
          <w:p w14:paraId="6CE36A8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腺泡状软组织肉瘤</w:t>
            </w:r>
          </w:p>
        </w:tc>
        <w:tc>
          <w:tcPr>
            <w:tcW w:w="2454" w:type="dxa"/>
          </w:tcPr>
          <w:p w14:paraId="6B7BC118" w14:textId="77777777" w:rsidR="00306F2F" w:rsidRPr="00136FBE" w:rsidRDefault="00306F2F" w:rsidP="00935E5D">
            <w:pPr>
              <w:spacing w:line="360" w:lineRule="auto"/>
              <w:rPr>
                <w:rFonts w:ascii="仿宋" w:eastAsia="仿宋" w:hAnsi="仿宋"/>
                <w:color w:val="000000"/>
              </w:rPr>
            </w:pPr>
          </w:p>
        </w:tc>
        <w:tc>
          <w:tcPr>
            <w:tcW w:w="2507" w:type="dxa"/>
          </w:tcPr>
          <w:p w14:paraId="05ABAB23"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安罗替尼</w:t>
            </w:r>
          </w:p>
        </w:tc>
      </w:tr>
      <w:tr w:rsidR="00306F2F" w:rsidRPr="00136FBE" w14:paraId="166FE555" w14:textId="77777777" w:rsidTr="00935E5D">
        <w:tc>
          <w:tcPr>
            <w:tcW w:w="2693" w:type="dxa"/>
          </w:tcPr>
          <w:p w14:paraId="5E70EEC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透明细胞肉瘤</w:t>
            </w:r>
          </w:p>
        </w:tc>
        <w:tc>
          <w:tcPr>
            <w:tcW w:w="2454" w:type="dxa"/>
          </w:tcPr>
          <w:p w14:paraId="2D8575E7" w14:textId="77777777" w:rsidR="00306F2F" w:rsidRPr="00136FBE" w:rsidRDefault="00306F2F" w:rsidP="00935E5D">
            <w:pPr>
              <w:spacing w:line="360" w:lineRule="auto"/>
              <w:rPr>
                <w:rFonts w:ascii="仿宋" w:eastAsia="仿宋" w:hAnsi="仿宋"/>
                <w:color w:val="000000"/>
              </w:rPr>
            </w:pPr>
          </w:p>
        </w:tc>
        <w:tc>
          <w:tcPr>
            <w:tcW w:w="2507" w:type="dxa"/>
          </w:tcPr>
          <w:p w14:paraId="7408F36F"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安罗替尼</w:t>
            </w:r>
          </w:p>
        </w:tc>
      </w:tr>
      <w:tr w:rsidR="00306F2F" w:rsidRPr="00136FBE" w14:paraId="25247A74" w14:textId="77777777" w:rsidTr="00935E5D">
        <w:tc>
          <w:tcPr>
            <w:tcW w:w="2693" w:type="dxa"/>
          </w:tcPr>
          <w:p w14:paraId="5DBDB908"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其他晚期软组织肉瘤</w:t>
            </w:r>
          </w:p>
        </w:tc>
        <w:tc>
          <w:tcPr>
            <w:tcW w:w="2454" w:type="dxa"/>
          </w:tcPr>
          <w:p w14:paraId="527048DD" w14:textId="77777777" w:rsidR="00306F2F" w:rsidRPr="00136FBE" w:rsidRDefault="00306F2F" w:rsidP="00935E5D">
            <w:pPr>
              <w:spacing w:line="360" w:lineRule="auto"/>
              <w:rPr>
                <w:rFonts w:ascii="仿宋" w:eastAsia="仿宋" w:hAnsi="仿宋"/>
                <w:color w:val="000000"/>
              </w:rPr>
            </w:pPr>
          </w:p>
        </w:tc>
        <w:tc>
          <w:tcPr>
            <w:tcW w:w="2507" w:type="dxa"/>
          </w:tcPr>
          <w:p w14:paraId="38A821C6"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安罗替尼</w:t>
            </w:r>
          </w:p>
        </w:tc>
      </w:tr>
      <w:tr w:rsidR="00306F2F" w:rsidRPr="00136FBE" w14:paraId="7722F291" w14:textId="77777777" w:rsidTr="00935E5D">
        <w:tc>
          <w:tcPr>
            <w:tcW w:w="2693" w:type="dxa"/>
          </w:tcPr>
          <w:p w14:paraId="037A7F9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鼻咽癌</w:t>
            </w:r>
          </w:p>
        </w:tc>
        <w:tc>
          <w:tcPr>
            <w:tcW w:w="2454" w:type="dxa"/>
          </w:tcPr>
          <w:p w14:paraId="0D7DC0B0"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尼妥珠单抗</w:t>
            </w:r>
          </w:p>
        </w:tc>
        <w:tc>
          <w:tcPr>
            <w:tcW w:w="2507" w:type="dxa"/>
          </w:tcPr>
          <w:p w14:paraId="2C55EAF1" w14:textId="77777777" w:rsidR="00306F2F" w:rsidRPr="00136FBE" w:rsidRDefault="00306F2F" w:rsidP="00935E5D">
            <w:pPr>
              <w:spacing w:line="360" w:lineRule="auto"/>
              <w:rPr>
                <w:rFonts w:ascii="仿宋" w:eastAsia="仿宋" w:hAnsi="仿宋"/>
                <w:color w:val="000000"/>
              </w:rPr>
            </w:pPr>
          </w:p>
        </w:tc>
      </w:tr>
      <w:tr w:rsidR="00306F2F" w:rsidRPr="00136FBE" w14:paraId="47D300A6" w14:textId="77777777" w:rsidTr="00935E5D">
        <w:tc>
          <w:tcPr>
            <w:tcW w:w="2693" w:type="dxa"/>
          </w:tcPr>
          <w:p w14:paraId="12C0AEC6"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甲状腺癌</w:t>
            </w:r>
          </w:p>
        </w:tc>
        <w:tc>
          <w:tcPr>
            <w:tcW w:w="2454" w:type="dxa"/>
          </w:tcPr>
          <w:p w14:paraId="04FD8C6B" w14:textId="77777777" w:rsidR="00306F2F" w:rsidRPr="00136FBE" w:rsidRDefault="00306F2F" w:rsidP="00935E5D">
            <w:pPr>
              <w:spacing w:line="360" w:lineRule="auto"/>
              <w:rPr>
                <w:rFonts w:ascii="仿宋" w:eastAsia="仿宋" w:hAnsi="仿宋"/>
                <w:color w:val="000000"/>
              </w:rPr>
            </w:pPr>
          </w:p>
        </w:tc>
        <w:tc>
          <w:tcPr>
            <w:tcW w:w="2507" w:type="dxa"/>
          </w:tcPr>
          <w:p w14:paraId="0E0097F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color w:val="000000"/>
              </w:rPr>
              <w:t>索拉非尼</w:t>
            </w:r>
          </w:p>
        </w:tc>
      </w:tr>
      <w:tr w:rsidR="00306F2F" w:rsidRPr="00136FBE" w14:paraId="7F490CDD" w14:textId="77777777" w:rsidTr="00935E5D">
        <w:tc>
          <w:tcPr>
            <w:tcW w:w="2693" w:type="dxa"/>
          </w:tcPr>
          <w:p w14:paraId="04CCCE4E"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头颈部鳞状细胞癌</w:t>
            </w:r>
          </w:p>
        </w:tc>
        <w:tc>
          <w:tcPr>
            <w:tcW w:w="2454" w:type="dxa"/>
          </w:tcPr>
          <w:p w14:paraId="40132C53" w14:textId="77777777" w:rsidR="00306F2F" w:rsidRPr="00136FBE" w:rsidRDefault="00972B16" w:rsidP="00935E5D">
            <w:pPr>
              <w:spacing w:line="360" w:lineRule="auto"/>
              <w:rPr>
                <w:rFonts w:ascii="仿宋" w:eastAsia="仿宋" w:hAnsi="仿宋"/>
                <w:color w:val="000000"/>
              </w:rPr>
            </w:pPr>
            <w:r w:rsidRPr="00145BDC">
              <w:rPr>
                <w:rFonts w:ascii="仿宋" w:eastAsia="仿宋" w:hAnsi="仿宋" w:hint="eastAsia"/>
                <w:color w:val="000000"/>
              </w:rPr>
              <w:t>西妥昔单抗</w:t>
            </w:r>
          </w:p>
        </w:tc>
        <w:tc>
          <w:tcPr>
            <w:tcW w:w="2507" w:type="dxa"/>
          </w:tcPr>
          <w:p w14:paraId="3A984983" w14:textId="77777777" w:rsidR="00145BDC" w:rsidRPr="00136FBE" w:rsidRDefault="00306F2F" w:rsidP="00972B16">
            <w:pPr>
              <w:spacing w:line="360" w:lineRule="auto"/>
              <w:rPr>
                <w:rFonts w:ascii="仿宋" w:eastAsia="仿宋" w:hAnsi="仿宋"/>
                <w:color w:val="000000"/>
              </w:rPr>
            </w:pPr>
            <w:r w:rsidRPr="00136FBE">
              <w:rPr>
                <w:rFonts w:ascii="仿宋" w:eastAsia="仿宋" w:hAnsi="仿宋" w:hint="eastAsia"/>
                <w:color w:val="000000"/>
              </w:rPr>
              <w:t>纳武利尤单抗</w:t>
            </w:r>
          </w:p>
        </w:tc>
      </w:tr>
      <w:tr w:rsidR="00306F2F" w:rsidRPr="00136FBE" w14:paraId="7B55854F" w14:textId="77777777" w:rsidTr="00935E5D">
        <w:tc>
          <w:tcPr>
            <w:tcW w:w="2693" w:type="dxa"/>
          </w:tcPr>
          <w:p w14:paraId="307F782A"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卵巢癌</w:t>
            </w:r>
          </w:p>
        </w:tc>
        <w:tc>
          <w:tcPr>
            <w:tcW w:w="2454" w:type="dxa"/>
          </w:tcPr>
          <w:p w14:paraId="2531C318" w14:textId="77777777" w:rsidR="00306F2F" w:rsidRPr="00136FBE" w:rsidRDefault="00306F2F" w:rsidP="00935E5D">
            <w:pPr>
              <w:spacing w:line="360" w:lineRule="auto"/>
              <w:rPr>
                <w:rFonts w:ascii="仿宋" w:eastAsia="仿宋" w:hAnsi="仿宋"/>
                <w:color w:val="000000"/>
              </w:rPr>
            </w:pPr>
          </w:p>
        </w:tc>
        <w:tc>
          <w:tcPr>
            <w:tcW w:w="2507" w:type="dxa"/>
          </w:tcPr>
          <w:p w14:paraId="01162F69"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奥拉帕利</w:t>
            </w:r>
          </w:p>
          <w:p w14:paraId="4B2591C1" w14:textId="77777777" w:rsidR="00306F2F" w:rsidRPr="00136FBE" w:rsidRDefault="00306F2F" w:rsidP="00935E5D">
            <w:pPr>
              <w:spacing w:line="360" w:lineRule="auto"/>
              <w:rPr>
                <w:rFonts w:ascii="仿宋" w:eastAsia="仿宋" w:hAnsi="仿宋"/>
                <w:color w:val="000000"/>
              </w:rPr>
            </w:pPr>
            <w:r w:rsidRPr="00136FBE">
              <w:rPr>
                <w:rFonts w:ascii="仿宋" w:eastAsia="仿宋" w:hAnsi="仿宋" w:hint="eastAsia"/>
                <w:color w:val="000000"/>
              </w:rPr>
              <w:t>尼拉帕利</w:t>
            </w:r>
          </w:p>
        </w:tc>
      </w:tr>
    </w:tbl>
    <w:p w14:paraId="1AE81818" w14:textId="77777777" w:rsidR="00306F2F" w:rsidRPr="00DA77C1" w:rsidRDefault="00306F2F" w:rsidP="00306F2F">
      <w:pPr>
        <w:spacing w:line="360" w:lineRule="auto"/>
        <w:ind w:firstLineChars="200" w:firstLine="560"/>
        <w:rPr>
          <w:rFonts w:ascii="仿宋" w:eastAsia="仿宋" w:hAnsi="仿宋"/>
          <w:color w:val="000000"/>
          <w:sz w:val="28"/>
          <w:szCs w:val="28"/>
        </w:rPr>
      </w:pPr>
      <w:r w:rsidRPr="00F06218">
        <w:rPr>
          <w:rFonts w:ascii="仿宋" w:eastAsia="仿宋" w:hAnsi="仿宋"/>
          <w:color w:val="000000"/>
          <w:sz w:val="28"/>
          <w:szCs w:val="28"/>
          <w:vertAlign w:val="superscript"/>
        </w:rPr>
        <w:t>*</w:t>
      </w:r>
      <w:r w:rsidRPr="00F06218">
        <w:rPr>
          <w:rFonts w:ascii="仿宋" w:eastAsia="仿宋" w:hAnsi="仿宋" w:hint="eastAsia"/>
          <w:color w:val="000000"/>
          <w:sz w:val="28"/>
          <w:szCs w:val="28"/>
        </w:rPr>
        <w:t>：</w:t>
      </w:r>
      <w:r w:rsidRPr="00306F2F">
        <w:rPr>
          <w:rFonts w:ascii="仿宋" w:eastAsia="仿宋" w:hAnsi="仿宋" w:cs="仿宋" w:hint="eastAsia"/>
        </w:rPr>
        <w:t>需排除</w:t>
      </w:r>
      <w:r w:rsidRPr="00306F2F">
        <w:rPr>
          <w:rFonts w:ascii="仿宋" w:eastAsia="仿宋" w:hAnsi="仿宋" w:cs="仿宋"/>
        </w:rPr>
        <w:t>EGFR</w:t>
      </w:r>
      <w:r w:rsidRPr="00306F2F">
        <w:rPr>
          <w:rFonts w:ascii="仿宋" w:eastAsia="仿宋" w:hAnsi="仿宋" w:cs="仿宋" w:hint="eastAsia"/>
        </w:rPr>
        <w:t>突变和</w:t>
      </w:r>
      <w:r w:rsidRPr="00306F2F">
        <w:rPr>
          <w:rFonts w:ascii="仿宋" w:eastAsia="仿宋" w:hAnsi="仿宋" w:cs="仿宋"/>
        </w:rPr>
        <w:t>ALK融合的患者</w:t>
      </w:r>
      <w:r w:rsidRPr="00306F2F">
        <w:rPr>
          <w:rFonts w:ascii="仿宋" w:eastAsia="仿宋" w:hAnsi="仿宋" w:cs="仿宋" w:hint="eastAsia"/>
        </w:rPr>
        <w:t>。</w:t>
      </w:r>
      <w:r w:rsidRPr="00306F2F">
        <w:rPr>
          <w:rFonts w:ascii="仿宋" w:eastAsia="仿宋" w:hAnsi="仿宋" w:hint="eastAsia"/>
          <w:color w:val="000000"/>
        </w:rPr>
        <w:t>帕博利珠单抗单药使用前需检测</w:t>
      </w:r>
      <w:r w:rsidRPr="00306F2F">
        <w:rPr>
          <w:rFonts w:ascii="仿宋" w:eastAsia="仿宋" w:hAnsi="仿宋"/>
          <w:color w:val="000000"/>
        </w:rPr>
        <w:t>PD-L1表达。</w:t>
      </w:r>
    </w:p>
    <w:p w14:paraId="54F115E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lastRenderedPageBreak/>
        <w:t>对于有明确靶点的药物，须遵循靶点检测后方可使用的原则。检测所用的仪器设备、诊断试剂和检测方法应当经过国家药品监督管理部门批准，特别是经过伴随诊断验证的方法。不得在未做相关检查的情况下盲目用药。</w:t>
      </w:r>
    </w:p>
    <w:p w14:paraId="3FE12551"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三、严格遵循适应证用药</w:t>
      </w:r>
    </w:p>
    <w:p w14:paraId="3B616054"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抗肿瘤药物的药品说明书是抗肿瘤药物临床应用的法定依据，其规定的适应证经过了国家药品监督管理部门批准。抗肿瘤药物临床应用须遵循药品说明书，不能随意超适应证使用。</w:t>
      </w:r>
      <w:r w:rsidR="002F22E8" w:rsidRPr="002F22E8">
        <w:rPr>
          <w:rFonts w:ascii="仿宋" w:eastAsia="仿宋" w:hAnsi="仿宋" w:cs="仿宋" w:hint="eastAsia"/>
          <w:sz w:val="32"/>
          <w:szCs w:val="32"/>
        </w:rPr>
        <w:t>在抗肿瘤药物临床应用过程中，发现新的高级别循证医学证据但药品说明书中未体现的，医疗机构和医务人员可及时向药品生产厂商反馈，建议其主动向国家药品监督管理部门申报，及时更新相应药品说明书，以保证药品说明书的科学性、权威性，有效指导临床用药。特别是有条件快速批准上市的药品，更应当保证药品说明书的时效性。</w:t>
      </w:r>
    </w:p>
    <w:p w14:paraId="21B9506F"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四、体现患者治疗价值</w:t>
      </w:r>
    </w:p>
    <w:p w14:paraId="5D4F649A" w14:textId="381C4552"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现代临床肿瘤学高度重视恶性肿瘤患者的治疗价值。其核心思想是，在相同治疗成本前提下，使患者获得更长的生存时间和更好的生活质量。在抗肿瘤药物临床应用中，应当充分考虑抗肿瘤药物的</w:t>
      </w:r>
      <w:r w:rsidR="00794A29">
        <w:rPr>
          <w:rFonts w:ascii="仿宋" w:eastAsia="仿宋" w:hAnsi="仿宋" w:cs="仿宋" w:hint="eastAsia"/>
          <w:sz w:val="32"/>
          <w:szCs w:val="32"/>
        </w:rPr>
        <w:t>成本-效果</w:t>
      </w:r>
      <w:r w:rsidRPr="00136FBE">
        <w:rPr>
          <w:rFonts w:ascii="仿宋" w:eastAsia="仿宋" w:hAnsi="仿宋" w:cs="仿宋" w:hint="eastAsia"/>
          <w:sz w:val="32"/>
          <w:szCs w:val="32"/>
        </w:rPr>
        <w:t>比，优先选择有药物经济学评价和</w:t>
      </w:r>
      <w:r w:rsidR="00794A29">
        <w:rPr>
          <w:rFonts w:ascii="仿宋" w:eastAsia="仿宋" w:hAnsi="仿宋" w:cs="仿宋" w:hint="eastAsia"/>
          <w:sz w:val="32"/>
          <w:szCs w:val="32"/>
        </w:rPr>
        <w:t>成本-效果</w:t>
      </w:r>
      <w:r w:rsidRPr="00136FBE">
        <w:rPr>
          <w:rFonts w:ascii="仿宋" w:eastAsia="仿宋" w:hAnsi="仿宋" w:cs="仿宋" w:hint="eastAsia"/>
          <w:sz w:val="32"/>
          <w:szCs w:val="32"/>
        </w:rPr>
        <w:t>比高的药品。</w:t>
      </w:r>
    </w:p>
    <w:p w14:paraId="49D33D37" w14:textId="77777777" w:rsidR="00B23A40" w:rsidRPr="00136FBE" w:rsidRDefault="00DD1A0D" w:rsidP="003D6778">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五、特殊情况下的药物合理使用</w:t>
      </w:r>
    </w:p>
    <w:p w14:paraId="47E0359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随着癌症治疗临床实践的快速发展，目前上市的抗肿瘤</w:t>
      </w:r>
      <w:r w:rsidRPr="00136FBE">
        <w:rPr>
          <w:rFonts w:ascii="仿宋" w:eastAsia="仿宋" w:hAnsi="仿宋" w:cs="仿宋" w:hint="eastAsia"/>
          <w:sz w:val="32"/>
          <w:szCs w:val="32"/>
        </w:rPr>
        <w:lastRenderedPageBreak/>
        <w:t>药物尚不能完全满足肿瘤患者的用药需求，药品说明书也往往滞后于临床实践，一些具有高级别循证医学证据的用法未能及时在药品说明书中明确规定。在尚无更好治疗手段等特殊情况下，医疗机构应当制定相应管理制度、技术规范，对药品说明书中未明确、但具有循证医学证据的药品用法进行严格管理。特殊情况下抗肿瘤药物的使用</w:t>
      </w:r>
      <w:r w:rsidR="00F1137B">
        <w:rPr>
          <w:rFonts w:ascii="仿宋" w:eastAsia="仿宋" w:hAnsi="仿宋" w:cs="仿宋" w:hint="eastAsia"/>
          <w:sz w:val="32"/>
          <w:szCs w:val="32"/>
        </w:rPr>
        <w:t>权</w:t>
      </w:r>
      <w:r w:rsidRPr="00136FBE">
        <w:rPr>
          <w:rFonts w:ascii="仿宋" w:eastAsia="仿宋" w:hAnsi="仿宋" w:cs="仿宋" w:hint="eastAsia"/>
          <w:sz w:val="32"/>
          <w:szCs w:val="32"/>
        </w:rPr>
        <w:t>应当仅限于三级医院授权的具有高级专业技术职称的医师，充分遵循患者知情同意原则，并且应当做好用药监测和跟踪观察。</w:t>
      </w:r>
    </w:p>
    <w:p w14:paraId="7F745D5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特殊情况下抗肿瘤药物</w:t>
      </w:r>
      <w:r w:rsidR="00D01805" w:rsidRPr="00D01805">
        <w:rPr>
          <w:rFonts w:ascii="仿宋" w:eastAsia="仿宋" w:hAnsi="仿宋" w:cs="仿宋" w:hint="eastAsia"/>
          <w:sz w:val="32"/>
          <w:szCs w:val="32"/>
        </w:rPr>
        <w:t>循证医学证据</w:t>
      </w:r>
      <w:r w:rsidRPr="00136FBE">
        <w:rPr>
          <w:rFonts w:ascii="仿宋" w:eastAsia="仿宋" w:hAnsi="仿宋" w:cs="仿宋" w:hint="eastAsia"/>
          <w:sz w:val="32"/>
          <w:szCs w:val="32"/>
        </w:rPr>
        <w:t>采纳根据依次是：其他国家或地区药品说明书中已注明的用法，国际权威学协会或组织发布的诊疗规范、</w:t>
      </w:r>
      <w:r w:rsidR="00A513F9">
        <w:rPr>
          <w:rFonts w:ascii="仿宋" w:eastAsia="仿宋" w:hAnsi="仿宋" w:cs="仿宋" w:hint="eastAsia"/>
          <w:sz w:val="32"/>
          <w:szCs w:val="32"/>
        </w:rPr>
        <w:t>临床诊疗</w:t>
      </w:r>
      <w:r w:rsidRPr="00136FBE">
        <w:rPr>
          <w:rFonts w:ascii="仿宋" w:eastAsia="仿宋" w:hAnsi="仿宋" w:cs="仿宋" w:hint="eastAsia"/>
          <w:sz w:val="32"/>
          <w:szCs w:val="32"/>
        </w:rPr>
        <w:t>指南，国家级学协会发布的经国家卫生健康委员会认可的诊疗规范、</w:t>
      </w:r>
      <w:r w:rsidR="00A513F9">
        <w:rPr>
          <w:rFonts w:ascii="仿宋" w:eastAsia="仿宋" w:hAnsi="仿宋" w:cs="仿宋" w:hint="eastAsia"/>
          <w:sz w:val="32"/>
          <w:szCs w:val="32"/>
        </w:rPr>
        <w:t>临床诊疗</w:t>
      </w:r>
      <w:r w:rsidRPr="00136FBE">
        <w:rPr>
          <w:rFonts w:ascii="仿宋" w:eastAsia="仿宋" w:hAnsi="仿宋" w:cs="仿宋" w:hint="eastAsia"/>
          <w:sz w:val="32"/>
          <w:szCs w:val="32"/>
        </w:rPr>
        <w:t>指南</w:t>
      </w:r>
      <w:r w:rsidR="00A513F9">
        <w:rPr>
          <w:rFonts w:ascii="仿宋" w:eastAsia="仿宋" w:hAnsi="仿宋" w:cs="仿宋" w:hint="eastAsia"/>
          <w:sz w:val="32"/>
          <w:szCs w:val="32"/>
        </w:rPr>
        <w:t>和临床路径等</w:t>
      </w:r>
      <w:r w:rsidRPr="00136FBE">
        <w:rPr>
          <w:rFonts w:ascii="仿宋" w:eastAsia="仿宋" w:hAnsi="仿宋" w:cs="仿宋" w:hint="eastAsia"/>
          <w:sz w:val="32"/>
          <w:szCs w:val="32"/>
        </w:rPr>
        <w:t>。</w:t>
      </w:r>
    </w:p>
    <w:p w14:paraId="2E2E7029"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六、重视药物相关性不良反应</w:t>
      </w:r>
    </w:p>
    <w:p w14:paraId="4691915D"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hint="eastAsia"/>
          <w:sz w:val="32"/>
          <w:szCs w:val="32"/>
        </w:rPr>
        <w:t>抗肿瘤药物的相关性毒副作用发生率较高，也容易产生罕见的毒副作用，因此抗肿瘤药物不良反应报告尤为重要。医疗机构应当建立药品不良反应、药品损害事件监测报告制度，并按照国家有关规定向相关部门报告。医疗机构应当将抗肿瘤药物不良反应报告纳入医疗质量考核体系，定期分析和报告抗肿瘤药物不良反应的动态和趋势。临床医师和临床药师应当密切随访患者的用药相关毒性，并及时上报不良反应，尤其是严重的和新发现的不良反应。</w:t>
      </w:r>
    </w:p>
    <w:p w14:paraId="70062C4A" w14:textId="77777777" w:rsidR="00AE7ACE" w:rsidRDefault="00DD1A0D">
      <w:pPr>
        <w:spacing w:line="360" w:lineRule="auto"/>
        <w:ind w:firstLineChars="200" w:firstLine="883"/>
        <w:jc w:val="center"/>
        <w:rPr>
          <w:rFonts w:ascii="宋体" w:hAnsi="宋体" w:cs="宋体"/>
          <w:b/>
          <w:bCs/>
          <w:sz w:val="44"/>
          <w:szCs w:val="44"/>
        </w:rPr>
      </w:pPr>
      <w:r w:rsidRPr="00136FBE">
        <w:rPr>
          <w:rFonts w:ascii="宋体" w:hAnsi="宋体" w:cs="宋体" w:hint="eastAsia"/>
          <w:b/>
          <w:bCs/>
          <w:sz w:val="44"/>
          <w:szCs w:val="44"/>
        </w:rPr>
        <w:lastRenderedPageBreak/>
        <w:t>第二部分</w:t>
      </w:r>
      <w:r w:rsidR="001D4AD1" w:rsidRPr="00136FBE">
        <w:rPr>
          <w:rFonts w:ascii="宋体" w:hAnsi="宋体" w:cs="宋体" w:hint="eastAsia"/>
          <w:b/>
          <w:bCs/>
          <w:sz w:val="44"/>
          <w:szCs w:val="44"/>
        </w:rPr>
        <w:t xml:space="preserve">　</w:t>
      </w:r>
      <w:r w:rsidRPr="00136FBE">
        <w:rPr>
          <w:rFonts w:ascii="宋体" w:hAnsi="宋体" w:cs="宋体" w:hint="eastAsia"/>
          <w:b/>
          <w:bCs/>
          <w:sz w:val="44"/>
          <w:szCs w:val="44"/>
        </w:rPr>
        <w:t>各系统肿瘤的药物临床</w:t>
      </w:r>
    </w:p>
    <w:p w14:paraId="598266AA" w14:textId="3AC9EFED"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应用指导原则</w:t>
      </w:r>
    </w:p>
    <w:p w14:paraId="7AA96557" w14:textId="77777777" w:rsidR="00254589" w:rsidRPr="00136FBE" w:rsidRDefault="00254589">
      <w:pPr>
        <w:spacing w:line="360" w:lineRule="auto"/>
        <w:ind w:firstLineChars="200" w:firstLine="883"/>
        <w:jc w:val="center"/>
        <w:rPr>
          <w:rFonts w:ascii="宋体" w:hAnsi="宋体" w:cs="宋体"/>
          <w:b/>
          <w:bCs/>
          <w:sz w:val="44"/>
          <w:szCs w:val="44"/>
        </w:rPr>
      </w:pPr>
    </w:p>
    <w:p w14:paraId="4FA1B5C9" w14:textId="77777777"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呼吸系统肿瘤用药</w:t>
      </w:r>
    </w:p>
    <w:p w14:paraId="09C7D18A" w14:textId="77777777" w:rsidR="00B23A40" w:rsidRPr="00136FBE" w:rsidRDefault="00B23A40">
      <w:pPr>
        <w:spacing w:line="360" w:lineRule="auto"/>
        <w:ind w:firstLineChars="200" w:firstLine="883"/>
        <w:jc w:val="center"/>
        <w:rPr>
          <w:rFonts w:ascii="宋体" w:cs="Times New Roman"/>
          <w:b/>
          <w:bCs/>
          <w:sz w:val="44"/>
          <w:szCs w:val="44"/>
        </w:rPr>
      </w:pPr>
    </w:p>
    <w:p w14:paraId="51BE55BA" w14:textId="77777777" w:rsidR="004B2B1D" w:rsidRPr="00136FBE" w:rsidRDefault="004B2B1D" w:rsidP="004B2B1D">
      <w:pPr>
        <w:spacing w:line="360" w:lineRule="auto"/>
        <w:ind w:firstLineChars="200" w:firstLine="640"/>
        <w:jc w:val="left"/>
        <w:rPr>
          <w:rFonts w:ascii="黑体" w:eastAsia="黑体" w:hAnsi="黑体" w:cs="Times New Roman"/>
          <w:sz w:val="32"/>
          <w:szCs w:val="32"/>
        </w:rPr>
      </w:pPr>
      <w:r w:rsidRPr="00136FBE">
        <w:rPr>
          <w:rFonts w:ascii="黑体" w:eastAsia="黑体" w:hAnsi="黑体" w:cs="黑体" w:hint="eastAsia"/>
          <w:sz w:val="32"/>
          <w:szCs w:val="32"/>
        </w:rPr>
        <w:t>一、吉非替尼 G</w:t>
      </w:r>
      <w:r w:rsidRPr="00136FBE">
        <w:rPr>
          <w:rFonts w:ascii="黑体" w:eastAsia="黑体" w:hAnsi="黑体" w:cs="黑体"/>
          <w:sz w:val="32"/>
          <w:szCs w:val="32"/>
        </w:rPr>
        <w:t>efitinib</w:t>
      </w:r>
    </w:p>
    <w:p w14:paraId="0DEB9C10"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250mg</w:t>
      </w:r>
    </w:p>
    <w:p w14:paraId="22CEBCF9" w14:textId="77777777" w:rsidR="004B2B1D" w:rsidRPr="00136FBE" w:rsidRDefault="004B2B1D" w:rsidP="004B2B1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bCs/>
          <w:sz w:val="32"/>
          <w:szCs w:val="32"/>
        </w:rPr>
        <w:t>表皮生长因子受体（</w:t>
      </w:r>
      <w:r w:rsidRPr="00136FBE">
        <w:rPr>
          <w:rFonts w:ascii="仿宋" w:eastAsia="仿宋" w:hAnsi="仿宋" w:cs="仿宋"/>
          <w:sz w:val="32"/>
          <w:szCs w:val="32"/>
        </w:rPr>
        <w:t>EGFR</w:t>
      </w:r>
      <w:r w:rsidRPr="00136FBE">
        <w:rPr>
          <w:rFonts w:ascii="仿宋" w:eastAsia="仿宋" w:hAnsi="仿宋" w:cs="仿宋" w:hint="eastAsia"/>
          <w:sz w:val="32"/>
          <w:szCs w:val="32"/>
        </w:rPr>
        <w:t>）基因具有敏感突变的局部晚期或转移性非小细胞肺癌（</w:t>
      </w:r>
      <w:r w:rsidRPr="00136FBE">
        <w:rPr>
          <w:rFonts w:ascii="仿宋" w:eastAsia="仿宋" w:hAnsi="仿宋" w:cs="仿宋"/>
          <w:sz w:val="32"/>
          <w:szCs w:val="32"/>
        </w:rPr>
        <w:t>NSCLC</w:t>
      </w:r>
      <w:r w:rsidRPr="00136FBE">
        <w:rPr>
          <w:rFonts w:ascii="仿宋" w:eastAsia="仿宋" w:hAnsi="仿宋" w:cs="仿宋" w:hint="eastAsia"/>
          <w:sz w:val="32"/>
          <w:szCs w:val="32"/>
        </w:rPr>
        <w:t>）。</w:t>
      </w:r>
    </w:p>
    <w:p w14:paraId="703467E8"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5832C1D"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用药前必须明确有经国家药品监督管理局批准的</w:t>
      </w:r>
      <w:r w:rsidRPr="00136FBE">
        <w:rPr>
          <w:rFonts w:ascii="仿宋" w:eastAsia="仿宋" w:hAnsi="仿宋" w:cs="仿宋"/>
          <w:sz w:val="32"/>
          <w:szCs w:val="32"/>
        </w:rPr>
        <w:t>EGFR</w:t>
      </w:r>
      <w:r w:rsidRPr="00136FBE">
        <w:rPr>
          <w:rFonts w:ascii="仿宋" w:eastAsia="仿宋" w:hAnsi="仿宋" w:cs="仿宋" w:hint="eastAsia"/>
          <w:sz w:val="32"/>
          <w:szCs w:val="32"/>
        </w:rPr>
        <w:t>基因检测方法检测到的</w:t>
      </w:r>
      <w:r w:rsidRPr="00136FBE">
        <w:rPr>
          <w:rFonts w:ascii="仿宋" w:eastAsia="仿宋" w:hAnsi="仿宋" w:cs="仿宋"/>
          <w:sz w:val="32"/>
          <w:szCs w:val="32"/>
        </w:rPr>
        <w:t>EGFR</w:t>
      </w:r>
      <w:r w:rsidRPr="00136FBE">
        <w:rPr>
          <w:rFonts w:ascii="仿宋" w:eastAsia="仿宋" w:hAnsi="仿宋" w:cs="仿宋" w:hint="eastAsia"/>
          <w:sz w:val="32"/>
          <w:szCs w:val="32"/>
        </w:rPr>
        <w:t>敏感突变。</w:t>
      </w:r>
    </w:p>
    <w:p w14:paraId="34401FB0"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2.肿瘤组织和血液均可用于EGFR基因突变检测，但组织检测优先。</w:t>
      </w:r>
    </w:p>
    <w:p w14:paraId="1B0C83E6"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治疗期间因药物毒性不可耐受时，可在同一代药物之间替换，如疾病进展则不能在同一代药物之间替换。</w:t>
      </w:r>
    </w:p>
    <w:p w14:paraId="4A2CC3AE"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治疗过程中影像学显示缓慢进展但临床症状未发生恶化的患者，可以继续使用原药物；发生局部进展的患者，可以继续使用原药物加局部治疗；对于快速进展的患者，建议改换为其他治疗方案。（本条标准也适用于其他EGFR酪氨酸激酶抑制剂、ALK酪氨酸激酶抑制剂和ROS1酪氨酸激酶抑制剂）</w:t>
      </w:r>
    </w:p>
    <w:p w14:paraId="325BBBBC"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lastRenderedPageBreak/>
        <w:t>5.</w:t>
      </w:r>
      <w:r w:rsidRPr="00136FBE">
        <w:rPr>
          <w:rFonts w:ascii="仿宋" w:eastAsia="仿宋" w:hAnsi="仿宋" w:cs="仿宋" w:hint="eastAsia"/>
          <w:sz w:val="32"/>
          <w:szCs w:val="32"/>
        </w:rPr>
        <w:t>用药期间必须注意常见的皮肤</w:t>
      </w:r>
      <w:r w:rsidR="004524F0">
        <w:rPr>
          <w:rFonts w:ascii="仿宋" w:eastAsia="仿宋" w:hAnsi="仿宋" w:cs="仿宋" w:hint="eastAsia"/>
          <w:sz w:val="32"/>
          <w:szCs w:val="32"/>
        </w:rPr>
        <w:t>黏膜</w:t>
      </w:r>
      <w:r w:rsidRPr="00136FBE">
        <w:rPr>
          <w:rFonts w:ascii="仿宋" w:eastAsia="仿宋" w:hAnsi="仿宋" w:cs="仿宋" w:hint="eastAsia"/>
          <w:sz w:val="32"/>
          <w:szCs w:val="32"/>
        </w:rPr>
        <w:t>反应和腹泻；应特别注意间质性肺炎、肝脏毒性和眼部症状的发生。</w:t>
      </w:r>
    </w:p>
    <w:p w14:paraId="043DE6C1"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6.</w:t>
      </w:r>
      <w:r w:rsidRPr="00136FBE">
        <w:rPr>
          <w:rFonts w:ascii="仿宋" w:eastAsia="仿宋" w:hAnsi="仿宋" w:cs="仿宋" w:hint="eastAsia"/>
          <w:sz w:val="32"/>
          <w:szCs w:val="32"/>
        </w:rPr>
        <w:t>避免与</w:t>
      </w:r>
      <w:r w:rsidRPr="00136FBE">
        <w:rPr>
          <w:rFonts w:ascii="仿宋" w:eastAsia="仿宋" w:hAnsi="仿宋" w:cs="仿宋"/>
          <w:sz w:val="32"/>
          <w:szCs w:val="32"/>
        </w:rPr>
        <w:t>CYP3A4</w:t>
      </w:r>
      <w:r w:rsidRPr="00136FBE">
        <w:rPr>
          <w:rFonts w:ascii="仿宋" w:eastAsia="仿宋" w:hAnsi="仿宋" w:cs="仿宋" w:hint="eastAsia"/>
          <w:sz w:val="32"/>
          <w:szCs w:val="32"/>
        </w:rPr>
        <w:t>强诱导剂或强抑制剂联合使用。服用华法林的患者应定期监测凝血酶原时间或</w:t>
      </w:r>
      <w:r w:rsidRPr="00136FBE">
        <w:rPr>
          <w:rFonts w:ascii="仿宋" w:eastAsia="仿宋" w:hAnsi="仿宋" w:cs="仿宋"/>
          <w:sz w:val="32"/>
          <w:szCs w:val="32"/>
        </w:rPr>
        <w:t>INR</w:t>
      </w:r>
      <w:r w:rsidRPr="00136FBE">
        <w:rPr>
          <w:rFonts w:ascii="仿宋" w:eastAsia="仿宋" w:hAnsi="仿宋" w:cs="仿宋" w:hint="eastAsia"/>
          <w:sz w:val="32"/>
          <w:szCs w:val="32"/>
        </w:rPr>
        <w:t>的改变。能显著且持续升高胃液</w:t>
      </w:r>
      <w:r w:rsidRPr="00136FBE">
        <w:rPr>
          <w:rFonts w:ascii="仿宋" w:eastAsia="仿宋" w:hAnsi="仿宋" w:cs="仿宋"/>
          <w:sz w:val="32"/>
          <w:szCs w:val="32"/>
        </w:rPr>
        <w:t>pH</w:t>
      </w:r>
      <w:r w:rsidRPr="00136FBE">
        <w:rPr>
          <w:rFonts w:ascii="仿宋" w:eastAsia="仿宋" w:hAnsi="仿宋" w:cs="仿宋" w:hint="eastAsia"/>
          <w:sz w:val="32"/>
          <w:szCs w:val="32"/>
        </w:rPr>
        <w:t>值的药物有可能会降低吉非替尼的血药浓度，从而降低吉非替尼疗效。</w:t>
      </w:r>
    </w:p>
    <w:p w14:paraId="55CA2A37" w14:textId="77777777" w:rsidR="004B2B1D" w:rsidRPr="00136FBE" w:rsidRDefault="004B2B1D" w:rsidP="004B2B1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sz w:val="32"/>
          <w:szCs w:val="32"/>
        </w:rPr>
        <w:t>7.</w:t>
      </w:r>
      <w:r w:rsidRPr="00136FBE">
        <w:rPr>
          <w:rFonts w:ascii="仿宋" w:eastAsia="仿宋" w:hAnsi="仿宋" w:cs="仿宋" w:hint="eastAsia"/>
          <w:sz w:val="32"/>
          <w:szCs w:val="32"/>
        </w:rPr>
        <w:t>在某些肿瘤急症的情况下如脑转移昏迷或呼吸衰竭，在充分知情的情况下，对不吸烟的肺腺癌患者可考虑使用。一旦病情缓解，必须补充进行</w:t>
      </w:r>
      <w:r w:rsidRPr="00136FBE">
        <w:rPr>
          <w:rFonts w:ascii="仿宋" w:eastAsia="仿宋" w:hAnsi="仿宋" w:cs="仿宋"/>
          <w:sz w:val="32"/>
          <w:szCs w:val="32"/>
        </w:rPr>
        <w:t>EGFR</w:t>
      </w:r>
      <w:r w:rsidRPr="00136FBE">
        <w:rPr>
          <w:rFonts w:ascii="仿宋" w:eastAsia="仿宋" w:hAnsi="仿宋" w:cs="仿宋" w:hint="eastAsia"/>
          <w:sz w:val="32"/>
          <w:szCs w:val="32"/>
        </w:rPr>
        <w:t>突变的组织</w:t>
      </w:r>
      <w:r>
        <w:rPr>
          <w:rFonts w:ascii="仿宋" w:eastAsia="仿宋" w:hAnsi="仿宋" w:cs="仿宋" w:hint="eastAsia"/>
          <w:sz w:val="32"/>
          <w:szCs w:val="32"/>
        </w:rPr>
        <w:t>或血液</w:t>
      </w:r>
      <w:r w:rsidRPr="00136FBE">
        <w:rPr>
          <w:rFonts w:ascii="仿宋" w:eastAsia="仿宋" w:hAnsi="仿宋" w:cs="仿宋" w:hint="eastAsia"/>
          <w:sz w:val="32"/>
          <w:szCs w:val="32"/>
        </w:rPr>
        <w:t>检测。（本条标准也适用于其他EGFR酪氨酸激酶抑制剂）</w:t>
      </w:r>
    </w:p>
    <w:p w14:paraId="47C27159" w14:textId="77777777" w:rsidR="004B2B1D" w:rsidRPr="00136FBE" w:rsidRDefault="004B2B1D" w:rsidP="004B2B1D">
      <w:pPr>
        <w:spacing w:line="360" w:lineRule="auto"/>
        <w:ind w:firstLineChars="200" w:firstLine="640"/>
        <w:rPr>
          <w:rFonts w:ascii="黑体" w:eastAsia="黑体" w:hAnsi="黑体" w:cs="Times New Roman"/>
          <w:color w:val="000000"/>
          <w:sz w:val="32"/>
          <w:szCs w:val="32"/>
        </w:rPr>
      </w:pPr>
      <w:r w:rsidRPr="00136FBE">
        <w:rPr>
          <w:rFonts w:ascii="黑体" w:eastAsia="黑体" w:hAnsi="黑体" w:cs="黑体" w:hint="eastAsia"/>
          <w:sz w:val="32"/>
          <w:szCs w:val="32"/>
        </w:rPr>
        <w:t>二、厄洛替尼 E</w:t>
      </w:r>
      <w:r w:rsidRPr="00136FBE">
        <w:rPr>
          <w:rFonts w:ascii="黑体" w:eastAsia="黑体" w:hAnsi="黑体" w:cs="黑体"/>
          <w:sz w:val="32"/>
          <w:szCs w:val="32"/>
        </w:rPr>
        <w:t>rlotinib</w:t>
      </w:r>
    </w:p>
    <w:p w14:paraId="0983365B"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150mg</w:t>
      </w:r>
    </w:p>
    <w:p w14:paraId="09C8FE6E" w14:textId="77777777" w:rsidR="004B2B1D" w:rsidRPr="00136FBE" w:rsidRDefault="004B2B1D" w:rsidP="004B2B1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sz w:val="32"/>
          <w:szCs w:val="32"/>
        </w:rPr>
        <w:t>EGFR</w:t>
      </w:r>
      <w:r w:rsidRPr="00136FBE">
        <w:rPr>
          <w:rFonts w:ascii="仿宋" w:eastAsia="仿宋" w:hAnsi="仿宋" w:cs="仿宋" w:hint="eastAsia"/>
          <w:sz w:val="32"/>
          <w:szCs w:val="32"/>
        </w:rPr>
        <w:t>基因具有敏感突变的局部晚期或转移性</w:t>
      </w:r>
      <w:r w:rsidRPr="00136FBE">
        <w:rPr>
          <w:rFonts w:ascii="仿宋" w:eastAsia="仿宋" w:hAnsi="仿宋" w:cs="仿宋"/>
          <w:sz w:val="32"/>
          <w:szCs w:val="32"/>
        </w:rPr>
        <w:t>NSCLC</w:t>
      </w:r>
      <w:r w:rsidRPr="00136FBE">
        <w:rPr>
          <w:rFonts w:ascii="仿宋" w:eastAsia="仿宋" w:hAnsi="仿宋" w:cs="仿宋" w:hint="eastAsia"/>
          <w:sz w:val="32"/>
          <w:szCs w:val="32"/>
        </w:rPr>
        <w:t>。</w:t>
      </w:r>
    </w:p>
    <w:p w14:paraId="7ED56C5E"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5CAB4B02" w14:textId="77777777" w:rsidR="004B2B1D" w:rsidRPr="00125F31"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25F31">
        <w:rPr>
          <w:rFonts w:ascii="仿宋" w:eastAsia="仿宋" w:hAnsi="仿宋" w:cs="仿宋" w:hint="eastAsia"/>
          <w:sz w:val="32"/>
          <w:szCs w:val="32"/>
        </w:rPr>
        <w:t>用药前必须明确有经国家药品监督管理局批准的EGFR基因检测方法检测到的EGFR敏感突变。</w:t>
      </w:r>
    </w:p>
    <w:p w14:paraId="3269651E" w14:textId="77777777" w:rsidR="00E430AD" w:rsidRDefault="004B2B1D" w:rsidP="004B2B1D">
      <w:pPr>
        <w:spacing w:line="360" w:lineRule="auto"/>
        <w:ind w:firstLineChars="200" w:firstLine="640"/>
        <w:rPr>
          <w:rFonts w:ascii="仿宋" w:eastAsia="仿宋" w:hAnsi="仿宋" w:cs="仿宋"/>
          <w:sz w:val="32"/>
          <w:szCs w:val="32"/>
        </w:rPr>
      </w:pPr>
      <w:r w:rsidRPr="00125F31">
        <w:rPr>
          <w:rFonts w:ascii="仿宋" w:eastAsia="仿宋" w:hAnsi="仿宋" w:cs="仿宋" w:hint="eastAsia"/>
          <w:sz w:val="32"/>
          <w:szCs w:val="32"/>
        </w:rPr>
        <w:t>2.肿瘤组织和血液均可用于EGFR基因突变检测，但组织检测优先。</w:t>
      </w:r>
    </w:p>
    <w:p w14:paraId="1058FE20" w14:textId="77777777" w:rsidR="004B2B1D" w:rsidRPr="00136FBE" w:rsidRDefault="003F393B" w:rsidP="004B2B1D">
      <w:pPr>
        <w:spacing w:line="360" w:lineRule="auto"/>
        <w:ind w:firstLineChars="200" w:firstLine="640"/>
        <w:rPr>
          <w:rFonts w:ascii="仿宋" w:eastAsia="仿宋" w:hAnsi="仿宋" w:cs="Times New Roman"/>
          <w:sz w:val="32"/>
          <w:szCs w:val="32"/>
        </w:rPr>
      </w:pPr>
      <w:r>
        <w:rPr>
          <w:rFonts w:ascii="仿宋" w:eastAsia="仿宋" w:hAnsi="仿宋" w:cs="仿宋"/>
          <w:noProof/>
          <w:sz w:val="32"/>
          <w:szCs w:val="32"/>
        </w:rPr>
        <w:pict w14:anchorId="77B89304">
          <v:shapetype id="_x0000_t202" coordsize="21600,21600" o:spt="202" path="m,l,21600r21600,l21600,xe">
            <v:stroke joinstyle="miter"/>
            <v:path gradientshapeok="t" o:connecttype="rect"/>
          </v:shapetype>
          <v:shape id="文本框 2" o:spid="_x0000_s1026" type="#_x0000_t202" style="position:absolute;left:0;text-align:left;margin-left:-1.9pt;margin-top:118.15pt;width:376.8pt;height:38.65pt;z-index:251660288;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" strokecolor="white [3212]" strokeweight=".25pt">
            <v:textbox style="mso-next-textbox:#文本框 2;mso-fit-shape-to-text:t">
              <w:txbxContent>
                <w:p w14:paraId="035BC2A9" w14:textId="77777777" w:rsidR="004F03F7" w:rsidRDefault="004F03F7" w:rsidP="004B2B1D">
                  <w:pPr>
                    <w:rPr>
                      <w:sz w:val="16"/>
                      <w:szCs w:val="16"/>
                    </w:rPr>
                  </w:pPr>
                </w:p>
                <w:p w14:paraId="72478909" w14:textId="77777777" w:rsidR="004F03F7" w:rsidRDefault="004F03F7" w:rsidP="004B2B1D">
                  <w:pPr>
                    <w:rPr>
                      <w:sz w:val="16"/>
                      <w:szCs w:val="16"/>
                    </w:rPr>
                  </w:pPr>
                  <w:r>
                    <w:rPr>
                      <w:rFonts w:hint="eastAsia"/>
                      <w:sz w:val="15"/>
                      <w:szCs w:val="15"/>
                    </w:rPr>
                    <w:t>本指导原则“合理用药要点”带※部分为特殊情况下增加适应证用药专家共识。</w:t>
                  </w:r>
                </w:p>
              </w:txbxContent>
            </v:textbox>
            <w10:wrap type="square"/>
          </v:shape>
        </w:pict>
      </w:r>
      <w:r w:rsidR="004B2B1D">
        <w:rPr>
          <w:rFonts w:ascii="仿宋" w:eastAsia="仿宋" w:hAnsi="仿宋" w:cs="仿宋"/>
          <w:sz w:val="32"/>
          <w:szCs w:val="32"/>
        </w:rPr>
        <w:t>3</w:t>
      </w:r>
      <w:r w:rsidR="004B2B1D" w:rsidRPr="00136FBE">
        <w:rPr>
          <w:rFonts w:ascii="仿宋" w:eastAsia="仿宋" w:hAnsi="仿宋" w:cs="仿宋"/>
          <w:sz w:val="32"/>
          <w:szCs w:val="32"/>
        </w:rPr>
        <w:t>.</w:t>
      </w:r>
      <w:r w:rsidR="004B2B1D" w:rsidRPr="00136FBE">
        <w:rPr>
          <w:rFonts w:ascii="仿宋" w:eastAsia="仿宋" w:hAnsi="仿宋" w:cs="仿宋" w:hint="eastAsia"/>
          <w:sz w:val="32"/>
          <w:szCs w:val="32"/>
        </w:rPr>
        <w:t>有脑转移的</w:t>
      </w:r>
      <w:r w:rsidR="004B2B1D" w:rsidRPr="00136FBE">
        <w:rPr>
          <w:rFonts w:ascii="仿宋" w:eastAsia="仿宋" w:hAnsi="仿宋" w:cs="仿宋"/>
          <w:sz w:val="32"/>
          <w:szCs w:val="32"/>
        </w:rPr>
        <w:t>EGFR</w:t>
      </w:r>
      <w:r w:rsidR="004B2B1D" w:rsidRPr="00136FBE">
        <w:rPr>
          <w:rFonts w:ascii="仿宋" w:eastAsia="仿宋" w:hAnsi="仿宋" w:cs="仿宋" w:hint="eastAsia"/>
          <w:sz w:val="32"/>
          <w:szCs w:val="32"/>
        </w:rPr>
        <w:t>基因突变的</w:t>
      </w:r>
      <w:r w:rsidR="004B2B1D" w:rsidRPr="00136FBE">
        <w:rPr>
          <w:rFonts w:ascii="仿宋" w:eastAsia="仿宋" w:hAnsi="仿宋" w:cs="仿宋"/>
          <w:sz w:val="32"/>
          <w:szCs w:val="32"/>
        </w:rPr>
        <w:t>NSCLC</w:t>
      </w:r>
      <w:r w:rsidR="004B2B1D" w:rsidRPr="00136FBE">
        <w:rPr>
          <w:rFonts w:ascii="仿宋" w:eastAsia="仿宋" w:hAnsi="仿宋" w:cs="仿宋" w:hint="eastAsia"/>
          <w:sz w:val="32"/>
          <w:szCs w:val="32"/>
        </w:rPr>
        <w:t>患者可考虑使用厄洛替尼。</w:t>
      </w:r>
    </w:p>
    <w:p w14:paraId="4119DD61" w14:textId="77777777" w:rsidR="004B2B1D" w:rsidRPr="00136FBE" w:rsidRDefault="003F393B" w:rsidP="004B2B1D">
      <w:pPr>
        <w:spacing w:line="360" w:lineRule="auto"/>
        <w:ind w:firstLineChars="200" w:firstLine="640"/>
        <w:rPr>
          <w:rFonts w:ascii="仿宋" w:eastAsia="仿宋" w:hAnsi="仿宋" w:cs="Times New Roman"/>
          <w:sz w:val="32"/>
          <w:szCs w:val="32"/>
        </w:rPr>
      </w:pPr>
      <w:r>
        <w:rPr>
          <w:rFonts w:ascii="仿宋" w:eastAsia="仿宋" w:hAnsi="仿宋" w:cs="仿宋"/>
          <w:noProof/>
          <w:sz w:val="32"/>
          <w:szCs w:val="32"/>
        </w:rPr>
        <w:pict w14:anchorId="7EECFBB6">
          <v:line id="直接连接符 2" o:spid="_x0000_s1027" style="position:absolute;left:0;text-align:left;z-index:251661312;visibility:visible" from="3.55pt,67.05pt" to="27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" strokecolor="black [3040]" strokeweight=".25pt">
            <o:lock v:ext="edit" shapetype="f"/>
          </v:line>
        </w:pict>
      </w:r>
      <w:r w:rsidR="004B2B1D">
        <w:rPr>
          <w:rFonts w:ascii="仿宋" w:eastAsia="仿宋" w:hAnsi="仿宋" w:cs="仿宋"/>
          <w:sz w:val="32"/>
          <w:szCs w:val="32"/>
        </w:rPr>
        <w:t>4</w:t>
      </w:r>
      <w:r w:rsidR="004B2B1D" w:rsidRPr="00136FBE">
        <w:rPr>
          <w:rFonts w:ascii="仿宋" w:eastAsia="仿宋" w:hAnsi="仿宋" w:cs="仿宋"/>
          <w:sz w:val="32"/>
          <w:szCs w:val="32"/>
        </w:rPr>
        <w:t>.</w:t>
      </w:r>
      <w:r w:rsidR="004B2B1D" w:rsidRPr="00136FBE">
        <w:rPr>
          <w:rFonts w:ascii="仿宋" w:eastAsia="仿宋" w:hAnsi="仿宋" w:cs="仿宋" w:hint="eastAsia"/>
          <w:sz w:val="32"/>
          <w:szCs w:val="32"/>
        </w:rPr>
        <w:t>用药期间必须注意常见的皮肤</w:t>
      </w:r>
      <w:r w:rsidR="004524F0">
        <w:rPr>
          <w:rFonts w:ascii="仿宋" w:eastAsia="仿宋" w:hAnsi="仿宋" w:cs="仿宋" w:hint="eastAsia"/>
          <w:sz w:val="32"/>
          <w:szCs w:val="32"/>
        </w:rPr>
        <w:t>黏膜</w:t>
      </w:r>
      <w:r w:rsidR="004B2B1D" w:rsidRPr="00136FBE">
        <w:rPr>
          <w:rFonts w:ascii="仿宋" w:eastAsia="仿宋" w:hAnsi="仿宋" w:cs="仿宋" w:hint="eastAsia"/>
          <w:sz w:val="32"/>
          <w:szCs w:val="32"/>
        </w:rPr>
        <w:t>反应和腹泻。应特</w:t>
      </w:r>
      <w:r w:rsidR="004B2B1D" w:rsidRPr="00136FBE">
        <w:rPr>
          <w:rFonts w:ascii="仿宋" w:eastAsia="仿宋" w:hAnsi="仿宋" w:cs="仿宋" w:hint="eastAsia"/>
          <w:sz w:val="32"/>
          <w:szCs w:val="32"/>
        </w:rPr>
        <w:lastRenderedPageBreak/>
        <w:t>别注意间质性肺炎、肝功能异常和眼部症状的发生。</w:t>
      </w:r>
    </w:p>
    <w:p w14:paraId="184E9E38" w14:textId="77777777" w:rsidR="004B2B1D" w:rsidRPr="00136FBE" w:rsidRDefault="004B2B1D" w:rsidP="004B2B1D">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5</w:t>
      </w:r>
      <w:r w:rsidRPr="00136FBE">
        <w:rPr>
          <w:rFonts w:ascii="仿宋" w:eastAsia="仿宋" w:hAnsi="仿宋" w:cs="仿宋"/>
          <w:sz w:val="32"/>
          <w:szCs w:val="32"/>
        </w:rPr>
        <w:t>.避免与CYP3A4</w:t>
      </w:r>
      <w:r w:rsidRPr="00136FBE">
        <w:rPr>
          <w:rFonts w:ascii="仿宋" w:eastAsia="仿宋" w:hAnsi="仿宋" w:cs="仿宋" w:hint="eastAsia"/>
          <w:sz w:val="32"/>
          <w:szCs w:val="32"/>
        </w:rPr>
        <w:t>强抑制剂或强诱导剂联合使用</w:t>
      </w:r>
      <w:r w:rsidRPr="00136FBE">
        <w:rPr>
          <w:rFonts w:ascii="仿宋" w:eastAsia="仿宋" w:hAnsi="仿宋" w:cs="仿宋" w:hint="eastAsia"/>
          <w:w w:val="99"/>
          <w:sz w:val="32"/>
          <w:szCs w:val="32"/>
        </w:rPr>
        <w:t>。避免厄洛替尼与能显著且持续升高胃液pH值的药物合用。</w:t>
      </w:r>
    </w:p>
    <w:p w14:paraId="1B1884DE" w14:textId="77777777" w:rsidR="004B2B1D" w:rsidRDefault="004B2B1D" w:rsidP="004B2B1D">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sidRPr="00136FBE">
        <w:rPr>
          <w:rFonts w:ascii="仿宋" w:eastAsia="仿宋" w:hAnsi="仿宋" w:cs="仿宋"/>
          <w:w w:val="99"/>
          <w:sz w:val="32"/>
          <w:szCs w:val="32"/>
        </w:rPr>
        <w:t>.</w:t>
      </w:r>
      <w:r w:rsidRPr="00136FBE">
        <w:rPr>
          <w:rFonts w:ascii="仿宋" w:eastAsia="仿宋" w:hAnsi="仿宋" w:cs="仿宋" w:hint="eastAsia"/>
          <w:sz w:val="32"/>
          <w:szCs w:val="32"/>
        </w:rPr>
        <w:t>吸烟会导致厄洛替尼的暴露量降低，建议患者戒烟。</w:t>
      </w:r>
    </w:p>
    <w:p w14:paraId="16ADE6CF" w14:textId="77777777" w:rsidR="004B2B1D" w:rsidRPr="00136FBE" w:rsidRDefault="004B2B1D" w:rsidP="004B2B1D">
      <w:pPr>
        <w:spacing w:line="360" w:lineRule="auto"/>
        <w:ind w:firstLineChars="200" w:firstLine="643"/>
        <w:rPr>
          <w:rFonts w:ascii="仿宋" w:eastAsia="仿宋" w:hAnsi="仿宋" w:cs="Times New Roman"/>
          <w:w w:val="97"/>
          <w:sz w:val="32"/>
          <w:szCs w:val="32"/>
        </w:rPr>
      </w:pPr>
      <w:r w:rsidRPr="00136FBE">
        <w:rPr>
          <w:rFonts w:ascii="仿宋" w:eastAsia="仿宋" w:hAnsi="仿宋" w:cs="仿宋" w:hint="eastAsia"/>
          <w:b/>
          <w:bCs/>
          <w:sz w:val="32"/>
          <w:szCs w:val="32"/>
          <w:vertAlign w:val="superscript"/>
        </w:rPr>
        <w:t>※</w:t>
      </w:r>
      <w:r>
        <w:rPr>
          <w:rFonts w:ascii="仿宋" w:eastAsia="仿宋" w:hAnsi="仿宋" w:cs="仿宋"/>
          <w:sz w:val="32"/>
          <w:szCs w:val="32"/>
        </w:rPr>
        <w:t>7</w:t>
      </w:r>
      <w:r w:rsidRPr="00136FBE">
        <w:rPr>
          <w:rFonts w:ascii="仿宋" w:eastAsia="仿宋" w:hAnsi="仿宋" w:cs="仿宋"/>
          <w:sz w:val="32"/>
          <w:szCs w:val="32"/>
        </w:rPr>
        <w:t>.</w:t>
      </w:r>
      <w:r w:rsidRPr="00992924">
        <w:rPr>
          <w:rFonts w:ascii="仿宋" w:eastAsia="仿宋" w:hAnsi="仿宋" w:cs="Times New Roman" w:hint="eastAsia"/>
          <w:w w:val="97"/>
          <w:sz w:val="32"/>
          <w:szCs w:val="32"/>
        </w:rPr>
        <w:t>在美国，厄洛替尼获批与吉西他滨联合用于局部晚期、无法切除或转移性胰腺癌的一线治疗，目前国内尚未获批此适应证，可在与患者充分沟通的情况下使用。用法为l00mg</w:t>
      </w:r>
      <w:r w:rsidR="00F417A2">
        <w:rPr>
          <w:rFonts w:ascii="仿宋" w:eastAsia="仿宋" w:hAnsi="仿宋" w:cs="Times New Roman" w:hint="eastAsia"/>
          <w:w w:val="97"/>
          <w:sz w:val="32"/>
          <w:szCs w:val="32"/>
        </w:rPr>
        <w:t>，每人一次。</w:t>
      </w:r>
    </w:p>
    <w:p w14:paraId="287C427B"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黑体" w:eastAsia="黑体" w:hAnsi="黑体" w:cs="黑体" w:hint="eastAsia"/>
          <w:sz w:val="32"/>
          <w:szCs w:val="32"/>
        </w:rPr>
        <w:t>三、埃克替尼</w:t>
      </w:r>
      <w:proofErr w:type="spellStart"/>
      <w:r w:rsidRPr="00136FBE">
        <w:rPr>
          <w:rFonts w:ascii="黑体" w:eastAsia="黑体" w:hAnsi="黑体" w:cs="黑体" w:hint="eastAsia"/>
          <w:sz w:val="32"/>
          <w:szCs w:val="32"/>
        </w:rPr>
        <w:t>I</w:t>
      </w:r>
      <w:r w:rsidRPr="00136FBE">
        <w:rPr>
          <w:rFonts w:ascii="黑体" w:eastAsia="黑体" w:hAnsi="黑体" w:cs="黑体"/>
          <w:sz w:val="32"/>
          <w:szCs w:val="32"/>
        </w:rPr>
        <w:t>cotinib</w:t>
      </w:r>
      <w:proofErr w:type="spellEnd"/>
    </w:p>
    <w:p w14:paraId="420F33C3"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125mg</w:t>
      </w:r>
    </w:p>
    <w:p w14:paraId="5C4199D4" w14:textId="77777777" w:rsidR="004B2B1D" w:rsidRPr="00136FBE" w:rsidRDefault="004B2B1D" w:rsidP="004B2B1D">
      <w:pPr>
        <w:autoSpaceDE w:val="0"/>
        <w:autoSpaceDN w:val="0"/>
        <w:adjustRightInd w:val="0"/>
        <w:spacing w:line="360" w:lineRule="auto"/>
        <w:ind w:firstLineChars="200" w:firstLine="643"/>
        <w:jc w:val="left"/>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sz w:val="32"/>
          <w:szCs w:val="32"/>
        </w:rPr>
        <w:t>EGFR</w:t>
      </w:r>
      <w:r w:rsidRPr="00136FBE">
        <w:rPr>
          <w:rFonts w:ascii="仿宋" w:eastAsia="仿宋" w:hAnsi="仿宋" w:cs="仿宋" w:hint="eastAsia"/>
          <w:sz w:val="32"/>
          <w:szCs w:val="32"/>
        </w:rPr>
        <w:t>基因具有敏感突变的局部晚期或转移性</w:t>
      </w:r>
      <w:r w:rsidRPr="00136FBE">
        <w:rPr>
          <w:rFonts w:ascii="仿宋" w:eastAsia="仿宋" w:hAnsi="仿宋" w:cs="仿宋"/>
          <w:sz w:val="32"/>
          <w:szCs w:val="32"/>
        </w:rPr>
        <w:t>NSCLC</w:t>
      </w:r>
      <w:r w:rsidRPr="00136FBE">
        <w:rPr>
          <w:rFonts w:ascii="仿宋" w:eastAsia="仿宋" w:hAnsi="仿宋" w:cs="仿宋" w:hint="eastAsia"/>
          <w:sz w:val="32"/>
          <w:szCs w:val="32"/>
        </w:rPr>
        <w:t>。</w:t>
      </w:r>
    </w:p>
    <w:p w14:paraId="5BB7399F"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1F2A8046"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用药前必须明确有经国家药品监督管理局批准的</w:t>
      </w:r>
      <w:r w:rsidRPr="00136FBE">
        <w:rPr>
          <w:rFonts w:ascii="仿宋" w:eastAsia="仿宋" w:hAnsi="仿宋" w:cs="仿宋"/>
          <w:sz w:val="32"/>
          <w:szCs w:val="32"/>
        </w:rPr>
        <w:t>EGFR</w:t>
      </w:r>
      <w:r w:rsidRPr="00136FBE">
        <w:rPr>
          <w:rFonts w:ascii="仿宋" w:eastAsia="仿宋" w:hAnsi="仿宋" w:cs="仿宋" w:hint="eastAsia"/>
          <w:sz w:val="32"/>
          <w:szCs w:val="32"/>
        </w:rPr>
        <w:t>基因检测方法检测到的</w:t>
      </w:r>
      <w:r w:rsidRPr="00136FBE">
        <w:rPr>
          <w:rFonts w:ascii="仿宋" w:eastAsia="仿宋" w:hAnsi="仿宋" w:cs="仿宋"/>
          <w:sz w:val="32"/>
          <w:szCs w:val="32"/>
        </w:rPr>
        <w:t>EGFR</w:t>
      </w:r>
      <w:r w:rsidRPr="00136FBE">
        <w:rPr>
          <w:rFonts w:ascii="仿宋" w:eastAsia="仿宋" w:hAnsi="仿宋" w:cs="仿宋" w:hint="eastAsia"/>
          <w:sz w:val="32"/>
          <w:szCs w:val="32"/>
        </w:rPr>
        <w:t>敏感突变。</w:t>
      </w:r>
    </w:p>
    <w:p w14:paraId="3C87CC68"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2.肿瘤组织和血液均可用于EGFR基因突变检测，但组织检测优先。</w:t>
      </w:r>
    </w:p>
    <w:p w14:paraId="40B9767E" w14:textId="77777777" w:rsidR="004B2B1D" w:rsidRPr="00136FBE" w:rsidRDefault="004B2B1D" w:rsidP="004B2B1D">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sidRPr="00136FBE">
        <w:rPr>
          <w:rFonts w:ascii="仿宋" w:eastAsia="仿宋" w:hAnsi="仿宋" w:cs="仿宋"/>
          <w:sz w:val="32"/>
          <w:szCs w:val="32"/>
        </w:rPr>
        <w:t>.</w:t>
      </w:r>
      <w:r w:rsidRPr="00136FBE">
        <w:rPr>
          <w:rFonts w:ascii="仿宋" w:eastAsia="仿宋" w:hAnsi="仿宋" w:cs="仿宋" w:hint="eastAsia"/>
          <w:sz w:val="32"/>
          <w:szCs w:val="32"/>
        </w:rPr>
        <w:t>有脑转移的</w:t>
      </w:r>
      <w:r w:rsidRPr="00136FBE">
        <w:rPr>
          <w:rFonts w:ascii="仿宋" w:eastAsia="仿宋" w:hAnsi="仿宋" w:cs="仿宋"/>
          <w:sz w:val="32"/>
          <w:szCs w:val="32"/>
        </w:rPr>
        <w:t>EGFR</w:t>
      </w:r>
      <w:r w:rsidRPr="00136FBE">
        <w:rPr>
          <w:rFonts w:ascii="仿宋" w:eastAsia="仿宋" w:hAnsi="仿宋" w:cs="仿宋" w:hint="eastAsia"/>
          <w:sz w:val="32"/>
          <w:szCs w:val="32"/>
        </w:rPr>
        <w:t>基因突变的</w:t>
      </w:r>
      <w:r w:rsidRPr="00136FBE">
        <w:rPr>
          <w:rFonts w:ascii="仿宋" w:eastAsia="仿宋" w:hAnsi="仿宋" w:cs="仿宋"/>
          <w:sz w:val="32"/>
          <w:szCs w:val="32"/>
        </w:rPr>
        <w:t>NSCLC</w:t>
      </w:r>
      <w:r w:rsidRPr="00136FBE">
        <w:rPr>
          <w:rFonts w:ascii="仿宋" w:eastAsia="仿宋" w:hAnsi="仿宋" w:cs="仿宋" w:hint="eastAsia"/>
          <w:sz w:val="32"/>
          <w:szCs w:val="32"/>
        </w:rPr>
        <w:t>患者，可优先选择埃克替尼。</w:t>
      </w:r>
    </w:p>
    <w:p w14:paraId="260388E8"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不良反应主要为常见的</w:t>
      </w:r>
      <w:r w:rsidRPr="00136FBE">
        <w:rPr>
          <w:rFonts w:ascii="仿宋" w:eastAsia="仿宋" w:hAnsi="仿宋" w:cs="仿宋"/>
          <w:sz w:val="32"/>
          <w:szCs w:val="32"/>
        </w:rPr>
        <w:t>I</w:t>
      </w:r>
      <w:r w:rsidRPr="00136FBE">
        <w:rPr>
          <w:rFonts w:ascii="仿宋" w:eastAsia="仿宋" w:hAnsi="仿宋" w:cs="仿宋" w:hint="eastAsia"/>
          <w:sz w:val="32"/>
          <w:szCs w:val="32"/>
        </w:rPr>
        <w:t>、Ⅱ度皮疹和腹泻，应特别关注间质性肺炎的发生。</w:t>
      </w:r>
    </w:p>
    <w:p w14:paraId="70A7EA8B" w14:textId="77777777" w:rsidR="004B2B1D" w:rsidRPr="00155C5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埃克替尼主要通过CYP450系统的</w:t>
      </w:r>
      <w:r w:rsidRPr="00136FBE">
        <w:rPr>
          <w:rFonts w:ascii="仿宋" w:eastAsia="仿宋" w:hAnsi="仿宋" w:cs="仿宋"/>
          <w:sz w:val="32"/>
          <w:szCs w:val="32"/>
        </w:rPr>
        <w:t>CYP2C19</w:t>
      </w:r>
      <w:r w:rsidRPr="00136FBE">
        <w:rPr>
          <w:rFonts w:ascii="仿宋" w:eastAsia="仿宋" w:hAnsi="仿宋" w:cs="仿宋" w:hint="eastAsia"/>
          <w:sz w:val="32"/>
          <w:szCs w:val="32"/>
        </w:rPr>
        <w:t>和</w:t>
      </w:r>
      <w:r w:rsidRPr="00136FBE">
        <w:rPr>
          <w:rFonts w:ascii="仿宋" w:eastAsia="仿宋" w:hAnsi="仿宋" w:cs="仿宋"/>
          <w:sz w:val="32"/>
          <w:szCs w:val="32"/>
        </w:rPr>
        <w:t>CYP3A4</w:t>
      </w:r>
      <w:r w:rsidRPr="00136FBE">
        <w:rPr>
          <w:rFonts w:ascii="仿宋" w:eastAsia="仿宋" w:hAnsi="仿宋" w:cs="仿宋" w:hint="eastAsia"/>
          <w:sz w:val="32"/>
          <w:szCs w:val="32"/>
        </w:rPr>
        <w:lastRenderedPageBreak/>
        <w:t>代谢，对</w:t>
      </w:r>
      <w:r w:rsidRPr="00136FBE">
        <w:rPr>
          <w:rFonts w:ascii="仿宋" w:eastAsia="仿宋" w:hAnsi="仿宋" w:cs="仿宋"/>
          <w:sz w:val="32"/>
          <w:szCs w:val="32"/>
        </w:rPr>
        <w:t>CYP2C9</w:t>
      </w:r>
      <w:r w:rsidRPr="00136FBE">
        <w:rPr>
          <w:rFonts w:ascii="仿宋" w:eastAsia="仿宋" w:hAnsi="仿宋" w:cs="仿宋" w:hint="eastAsia"/>
          <w:sz w:val="32"/>
          <w:szCs w:val="32"/>
        </w:rPr>
        <w:t>和</w:t>
      </w:r>
      <w:r w:rsidRPr="00136FBE">
        <w:rPr>
          <w:rFonts w:ascii="仿宋" w:eastAsia="仿宋" w:hAnsi="仿宋" w:cs="仿宋"/>
          <w:sz w:val="32"/>
          <w:szCs w:val="32"/>
        </w:rPr>
        <w:t>CYP3A4</w:t>
      </w:r>
      <w:r w:rsidRPr="00136FBE">
        <w:rPr>
          <w:rFonts w:ascii="仿宋" w:eastAsia="仿宋" w:hAnsi="仿宋" w:cs="仿宋" w:hint="eastAsia"/>
          <w:sz w:val="32"/>
          <w:szCs w:val="32"/>
        </w:rPr>
        <w:t>有明显的抑制作用</w:t>
      </w:r>
      <w:r>
        <w:rPr>
          <w:rFonts w:ascii="仿宋" w:eastAsia="仿宋" w:hAnsi="仿宋" w:cs="仿宋" w:hint="eastAsia"/>
          <w:sz w:val="32"/>
          <w:szCs w:val="32"/>
        </w:rPr>
        <w:t>，</w:t>
      </w:r>
      <w:r w:rsidRPr="00155C5E">
        <w:rPr>
          <w:rFonts w:ascii="仿宋" w:eastAsia="仿宋" w:hAnsi="仿宋" w:cs="仿宋" w:hint="eastAsia"/>
          <w:sz w:val="32"/>
          <w:szCs w:val="32"/>
        </w:rPr>
        <w:t>与该代谢酶诱导剂和底物药物合用时应注意潜在的药物相互作用</w:t>
      </w:r>
      <w:r w:rsidRPr="00136FBE">
        <w:rPr>
          <w:rFonts w:ascii="仿宋" w:eastAsia="仿宋" w:hAnsi="仿宋" w:cs="仿宋" w:hint="eastAsia"/>
          <w:sz w:val="32"/>
          <w:szCs w:val="32"/>
        </w:rPr>
        <w:t>。</w:t>
      </w:r>
    </w:p>
    <w:p w14:paraId="74DDD486" w14:textId="77777777" w:rsidR="004B2B1D" w:rsidRPr="00136FBE" w:rsidRDefault="004B2B1D" w:rsidP="004B2B1D">
      <w:pPr>
        <w:spacing w:line="360" w:lineRule="auto"/>
        <w:ind w:firstLineChars="200" w:firstLine="640"/>
        <w:rPr>
          <w:rFonts w:ascii="仿宋" w:eastAsia="仿宋" w:hAnsi="仿宋" w:cs="Times New Roman"/>
          <w:b/>
          <w:bCs/>
          <w:sz w:val="32"/>
          <w:szCs w:val="32"/>
        </w:rPr>
      </w:pPr>
      <w:r w:rsidRPr="00136FBE">
        <w:rPr>
          <w:rFonts w:ascii="黑体" w:eastAsia="黑体" w:hAnsi="黑体" w:cs="黑体" w:hint="eastAsia"/>
          <w:sz w:val="32"/>
          <w:szCs w:val="32"/>
        </w:rPr>
        <w:t>四、阿法替尼</w:t>
      </w:r>
      <w:proofErr w:type="spellStart"/>
      <w:r w:rsidRPr="00136FBE">
        <w:rPr>
          <w:rFonts w:ascii="黑体" w:eastAsia="黑体" w:hAnsi="黑体" w:cs="黑体" w:hint="eastAsia"/>
          <w:sz w:val="32"/>
          <w:szCs w:val="32"/>
        </w:rPr>
        <w:t>A</w:t>
      </w:r>
      <w:r w:rsidRPr="00136FBE">
        <w:rPr>
          <w:rFonts w:ascii="黑体" w:eastAsia="黑体" w:hAnsi="黑体" w:cs="黑体"/>
          <w:sz w:val="32"/>
          <w:szCs w:val="32"/>
        </w:rPr>
        <w:t>fatinib</w:t>
      </w:r>
      <w:proofErr w:type="spellEnd"/>
    </w:p>
    <w:p w14:paraId="7D2F0699"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30mg</w:t>
      </w:r>
      <w:r w:rsidRPr="00136FBE">
        <w:rPr>
          <w:rFonts w:ascii="仿宋" w:eastAsia="仿宋" w:hAnsi="仿宋" w:cs="仿宋" w:hint="eastAsia"/>
          <w:sz w:val="32"/>
          <w:szCs w:val="32"/>
        </w:rPr>
        <w:t>、</w:t>
      </w:r>
      <w:r w:rsidRPr="00136FBE">
        <w:rPr>
          <w:rFonts w:ascii="仿宋" w:eastAsia="仿宋" w:hAnsi="仿宋" w:cs="仿宋"/>
          <w:sz w:val="32"/>
          <w:szCs w:val="32"/>
        </w:rPr>
        <w:t>40mg</w:t>
      </w:r>
    </w:p>
    <w:p w14:paraId="101D0768"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44B1E2F1" w14:textId="77777777" w:rsidR="004B2B1D" w:rsidRPr="00136FBE" w:rsidRDefault="004B2B1D" w:rsidP="004B2B1D">
      <w:pPr>
        <w:tabs>
          <w:tab w:val="left" w:pos="7920"/>
        </w:tabs>
        <w:snapToGrid w:val="0"/>
        <w:spacing w:line="360" w:lineRule="auto"/>
        <w:ind w:firstLineChars="200" w:firstLine="640"/>
        <w:rPr>
          <w:rFonts w:ascii="仿宋" w:eastAsia="仿宋" w:hAnsi="仿宋" w:cs="Times New Roman"/>
          <w:kern w:val="0"/>
          <w:sz w:val="32"/>
          <w:szCs w:val="32"/>
          <w:lang w:val="en-GB"/>
        </w:rPr>
      </w:pPr>
      <w:r w:rsidRPr="00136FBE">
        <w:rPr>
          <w:rFonts w:ascii="仿宋" w:eastAsia="仿宋" w:hAnsi="仿宋" w:cs="仿宋"/>
          <w:kern w:val="0"/>
          <w:sz w:val="32"/>
          <w:szCs w:val="32"/>
          <w:lang w:val="en-GB"/>
        </w:rPr>
        <w:t>1.</w:t>
      </w:r>
      <w:r w:rsidRPr="00136FBE">
        <w:rPr>
          <w:rFonts w:ascii="仿宋" w:eastAsia="仿宋" w:hAnsi="仿宋" w:cs="仿宋" w:hint="eastAsia"/>
          <w:kern w:val="0"/>
          <w:sz w:val="32"/>
          <w:szCs w:val="32"/>
          <w:lang w:val="en-GB"/>
        </w:rPr>
        <w:t>具有</w:t>
      </w:r>
      <w:r w:rsidRPr="00136FBE">
        <w:rPr>
          <w:rFonts w:ascii="仿宋" w:eastAsia="仿宋" w:hAnsi="仿宋" w:cs="仿宋"/>
          <w:kern w:val="0"/>
          <w:sz w:val="32"/>
          <w:szCs w:val="32"/>
          <w:lang w:val="en-GB"/>
        </w:rPr>
        <w:t>EGFR</w:t>
      </w:r>
      <w:r w:rsidRPr="00136FBE">
        <w:rPr>
          <w:rFonts w:ascii="仿宋" w:eastAsia="仿宋" w:hAnsi="仿宋" w:cs="仿宋" w:hint="eastAsia"/>
          <w:kern w:val="0"/>
          <w:sz w:val="32"/>
          <w:szCs w:val="32"/>
          <w:lang w:val="en-GB"/>
        </w:rPr>
        <w:t>基因敏感突变的局部晚期或转移性</w:t>
      </w:r>
      <w:r w:rsidRPr="00136FBE">
        <w:rPr>
          <w:rFonts w:ascii="仿宋" w:eastAsia="仿宋" w:hAnsi="仿宋" w:cs="仿宋"/>
          <w:kern w:val="0"/>
          <w:sz w:val="32"/>
          <w:szCs w:val="32"/>
          <w:lang w:val="en-GB"/>
        </w:rPr>
        <w:t>NSCLC</w:t>
      </w:r>
      <w:r w:rsidRPr="00136FBE">
        <w:rPr>
          <w:rFonts w:ascii="仿宋" w:eastAsia="仿宋" w:hAnsi="仿宋" w:cs="仿宋" w:hint="eastAsia"/>
          <w:kern w:val="0"/>
          <w:sz w:val="32"/>
          <w:szCs w:val="32"/>
          <w:lang w:val="en-GB"/>
        </w:rPr>
        <w:t>，既往未接受过EGFR酪氨酸激酶抑制剂（</w:t>
      </w:r>
      <w:r w:rsidRPr="00136FBE">
        <w:rPr>
          <w:rFonts w:ascii="仿宋" w:eastAsia="仿宋" w:hAnsi="仿宋" w:cs="仿宋"/>
          <w:kern w:val="0"/>
          <w:sz w:val="32"/>
          <w:szCs w:val="32"/>
          <w:lang w:val="en-GB"/>
        </w:rPr>
        <w:t>EGFR-TKI</w:t>
      </w:r>
      <w:r w:rsidRPr="00136FBE">
        <w:rPr>
          <w:rFonts w:ascii="仿宋" w:eastAsia="仿宋" w:hAnsi="仿宋" w:cs="仿宋" w:hint="eastAsia"/>
          <w:kern w:val="0"/>
          <w:sz w:val="32"/>
          <w:szCs w:val="32"/>
          <w:lang w:val="en-GB"/>
        </w:rPr>
        <w:t>）治疗。</w:t>
      </w:r>
    </w:p>
    <w:p w14:paraId="775C204C" w14:textId="77777777" w:rsidR="004B2B1D" w:rsidRPr="00136FBE" w:rsidRDefault="004B2B1D" w:rsidP="004B2B1D">
      <w:pPr>
        <w:tabs>
          <w:tab w:val="left" w:pos="7920"/>
        </w:tabs>
        <w:snapToGrid w:val="0"/>
        <w:spacing w:line="360" w:lineRule="auto"/>
        <w:ind w:firstLineChars="200" w:firstLine="640"/>
        <w:rPr>
          <w:rFonts w:ascii="仿宋" w:eastAsia="仿宋" w:hAnsi="仿宋" w:cs="Times New Roman"/>
          <w:kern w:val="0"/>
          <w:sz w:val="32"/>
          <w:szCs w:val="32"/>
          <w:lang w:val="en-GB"/>
        </w:rPr>
      </w:pPr>
      <w:r w:rsidRPr="00136FBE">
        <w:rPr>
          <w:rFonts w:ascii="仿宋" w:eastAsia="仿宋" w:hAnsi="仿宋" w:cs="仿宋"/>
          <w:kern w:val="0"/>
          <w:sz w:val="32"/>
          <w:szCs w:val="32"/>
          <w:lang w:val="en-GB"/>
        </w:rPr>
        <w:t>2.</w:t>
      </w:r>
      <w:r w:rsidRPr="00136FBE">
        <w:rPr>
          <w:rFonts w:ascii="仿宋" w:eastAsia="仿宋" w:hAnsi="仿宋" w:cs="仿宋" w:hint="eastAsia"/>
          <w:kern w:val="0"/>
          <w:sz w:val="32"/>
          <w:szCs w:val="32"/>
          <w:lang w:val="en-GB"/>
        </w:rPr>
        <w:t>含铂化疗期间或化疗后疾病进展的局部晚期或转移性鳞状组织学类型的NSCLC。</w:t>
      </w:r>
    </w:p>
    <w:p w14:paraId="24500144"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C4D58B5"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一线治疗</w:t>
      </w:r>
      <w:r w:rsidRPr="00136FBE">
        <w:rPr>
          <w:rFonts w:ascii="仿宋" w:eastAsia="仿宋" w:hAnsi="仿宋" w:cs="仿宋"/>
          <w:sz w:val="32"/>
          <w:szCs w:val="32"/>
        </w:rPr>
        <w:t>EGFR</w:t>
      </w:r>
      <w:r w:rsidRPr="00136FBE">
        <w:rPr>
          <w:rFonts w:ascii="仿宋" w:eastAsia="仿宋" w:hAnsi="仿宋" w:cs="仿宋" w:hint="eastAsia"/>
          <w:sz w:val="32"/>
          <w:szCs w:val="32"/>
        </w:rPr>
        <w:t>基因敏感突变的晚期</w:t>
      </w:r>
      <w:r w:rsidRPr="00136FBE">
        <w:rPr>
          <w:rFonts w:ascii="仿宋" w:eastAsia="仿宋" w:hAnsi="仿宋" w:cs="仿宋"/>
          <w:sz w:val="32"/>
          <w:szCs w:val="32"/>
        </w:rPr>
        <w:t>NSCLC</w:t>
      </w:r>
      <w:r w:rsidRPr="00136FBE">
        <w:rPr>
          <w:rFonts w:ascii="仿宋" w:eastAsia="仿宋" w:hAnsi="仿宋" w:cs="仿宋" w:hint="eastAsia"/>
          <w:sz w:val="32"/>
          <w:szCs w:val="32"/>
        </w:rPr>
        <w:t>患者，用药前必须明确有经国家药品监督管理局批准的</w:t>
      </w:r>
      <w:r w:rsidRPr="00136FBE">
        <w:rPr>
          <w:rFonts w:ascii="仿宋" w:eastAsia="仿宋" w:hAnsi="仿宋" w:cs="仿宋"/>
          <w:sz w:val="32"/>
          <w:szCs w:val="32"/>
        </w:rPr>
        <w:t>EGFR</w:t>
      </w:r>
      <w:r w:rsidRPr="00136FBE">
        <w:rPr>
          <w:rFonts w:ascii="仿宋" w:eastAsia="仿宋" w:hAnsi="仿宋" w:cs="仿宋" w:hint="eastAsia"/>
          <w:sz w:val="32"/>
          <w:szCs w:val="32"/>
        </w:rPr>
        <w:t>基因检测方法检测到的</w:t>
      </w:r>
      <w:r w:rsidRPr="00136FBE">
        <w:rPr>
          <w:rFonts w:ascii="仿宋" w:eastAsia="仿宋" w:hAnsi="仿宋" w:cs="仿宋"/>
          <w:sz w:val="32"/>
          <w:szCs w:val="32"/>
        </w:rPr>
        <w:t>EGFR</w:t>
      </w:r>
      <w:r w:rsidRPr="00136FBE">
        <w:rPr>
          <w:rFonts w:ascii="仿宋" w:eastAsia="仿宋" w:hAnsi="仿宋" w:cs="仿宋" w:hint="eastAsia"/>
          <w:sz w:val="32"/>
          <w:szCs w:val="32"/>
        </w:rPr>
        <w:t>基因敏感突变。肿瘤组织和血液均可用于</w:t>
      </w:r>
      <w:r w:rsidRPr="00136FBE">
        <w:rPr>
          <w:rFonts w:ascii="仿宋" w:eastAsia="仿宋" w:hAnsi="仿宋" w:cs="仿宋"/>
          <w:sz w:val="32"/>
          <w:szCs w:val="32"/>
        </w:rPr>
        <w:t>EGFR</w:t>
      </w:r>
      <w:r w:rsidRPr="00136FBE">
        <w:rPr>
          <w:rFonts w:ascii="仿宋" w:eastAsia="仿宋" w:hAnsi="仿宋" w:cs="仿宋" w:hint="eastAsia"/>
          <w:sz w:val="32"/>
          <w:szCs w:val="32"/>
        </w:rPr>
        <w:t>基因突变检测，但组织检测优先。</w:t>
      </w:r>
    </w:p>
    <w:p w14:paraId="2E50EAC7"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虽然药品说明书显示阿法替尼不需进行基因检测可用于二线治疗含铂化疗期间或化疗后进展的晚期肺鳞状细胞癌患者，但仍然不推荐用于</w:t>
      </w:r>
      <w:r w:rsidRPr="00136FBE">
        <w:rPr>
          <w:rFonts w:ascii="仿宋" w:eastAsia="仿宋" w:hAnsi="仿宋" w:cs="仿宋"/>
          <w:sz w:val="32"/>
          <w:szCs w:val="32"/>
        </w:rPr>
        <w:t>EGFR</w:t>
      </w:r>
      <w:r w:rsidRPr="00136FBE">
        <w:rPr>
          <w:rFonts w:ascii="仿宋" w:eastAsia="仿宋" w:hAnsi="仿宋" w:cs="仿宋" w:hint="eastAsia"/>
          <w:sz w:val="32"/>
          <w:szCs w:val="32"/>
        </w:rPr>
        <w:t>基因突变阴性的患者。</w:t>
      </w:r>
    </w:p>
    <w:p w14:paraId="714B91A8"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对于非常见</w:t>
      </w:r>
      <w:r w:rsidRPr="00136FBE">
        <w:rPr>
          <w:rFonts w:ascii="仿宋" w:eastAsia="仿宋" w:hAnsi="仿宋" w:cs="仿宋"/>
          <w:sz w:val="32"/>
          <w:szCs w:val="32"/>
        </w:rPr>
        <w:t>EGFR</w:t>
      </w:r>
      <w:r w:rsidRPr="00136FBE">
        <w:rPr>
          <w:rFonts w:ascii="仿宋" w:eastAsia="仿宋" w:hAnsi="仿宋" w:cs="仿宋" w:hint="eastAsia"/>
          <w:sz w:val="32"/>
          <w:szCs w:val="32"/>
        </w:rPr>
        <w:t>基因突变患者，优先使用阿法替尼。</w:t>
      </w:r>
    </w:p>
    <w:p w14:paraId="7B1FD12A"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推荐剂量为</w:t>
      </w:r>
      <w:r w:rsidRPr="00136FBE">
        <w:rPr>
          <w:rFonts w:ascii="仿宋" w:eastAsia="仿宋" w:hAnsi="仿宋" w:cs="仿宋"/>
          <w:sz w:val="32"/>
          <w:szCs w:val="32"/>
        </w:rPr>
        <w:t>40mg</w:t>
      </w:r>
      <w:r w:rsidRPr="00136FBE">
        <w:rPr>
          <w:rFonts w:ascii="仿宋" w:eastAsia="仿宋" w:hAnsi="仿宋" w:cs="仿宋" w:hint="eastAsia"/>
          <w:sz w:val="32"/>
          <w:szCs w:val="32"/>
        </w:rPr>
        <w:t>，每日一次，可根据患者耐受性进行剂量调整，剂量调整方案见表</w:t>
      </w:r>
      <w:r w:rsidRPr="00136FBE">
        <w:rPr>
          <w:rFonts w:ascii="仿宋" w:eastAsia="仿宋" w:hAnsi="仿宋" w:cs="仿宋"/>
          <w:sz w:val="32"/>
          <w:szCs w:val="32"/>
        </w:rPr>
        <w:t>2</w:t>
      </w:r>
      <w:r w:rsidRPr="00136FBE">
        <w:rPr>
          <w:rFonts w:ascii="仿宋" w:eastAsia="仿宋" w:hAnsi="仿宋" w:cs="仿宋" w:hint="eastAsia"/>
          <w:sz w:val="32"/>
          <w:szCs w:val="32"/>
        </w:rPr>
        <w:t>。</w:t>
      </w:r>
    </w:p>
    <w:p w14:paraId="0EA83145" w14:textId="77777777" w:rsidR="004B2B1D" w:rsidRPr="00136FBE" w:rsidRDefault="004B2B1D" w:rsidP="004B2B1D">
      <w:pPr>
        <w:spacing w:line="360" w:lineRule="auto"/>
        <w:ind w:firstLineChars="200" w:firstLine="422"/>
        <w:jc w:val="center"/>
        <w:rPr>
          <w:rFonts w:ascii="仿宋" w:eastAsia="仿宋" w:hAnsi="仿宋" w:cs="Times New Roman"/>
          <w:b/>
        </w:rPr>
      </w:pPr>
      <w:r w:rsidRPr="00136FBE">
        <w:rPr>
          <w:rFonts w:ascii="仿宋" w:eastAsia="仿宋" w:hAnsi="仿宋" w:cs="仿宋" w:hint="eastAsia"/>
          <w:b/>
        </w:rPr>
        <w:t>表</w:t>
      </w:r>
      <w:r w:rsidRPr="00136FBE">
        <w:rPr>
          <w:rFonts w:ascii="仿宋" w:eastAsia="仿宋" w:hAnsi="仿宋" w:cs="仿宋"/>
          <w:b/>
        </w:rPr>
        <w:t xml:space="preserve">2  </w:t>
      </w:r>
      <w:r w:rsidRPr="00136FBE">
        <w:rPr>
          <w:rFonts w:ascii="仿宋" w:eastAsia="仿宋" w:hAnsi="仿宋" w:cs="仿宋" w:hint="eastAsia"/>
          <w:b/>
        </w:rPr>
        <w:t>阿法替尼推荐剂量调整方案</w:t>
      </w: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438"/>
        <w:gridCol w:w="2438"/>
      </w:tblGrid>
      <w:tr w:rsidR="004B2B1D" w:rsidRPr="00136FBE" w14:paraId="271D6DD1" w14:textId="77777777" w:rsidTr="00935E5D">
        <w:trPr>
          <w:jc w:val="center"/>
        </w:trPr>
        <w:tc>
          <w:tcPr>
            <w:tcW w:w="3260" w:type="dxa"/>
          </w:tcPr>
          <w:p w14:paraId="6576E507" w14:textId="77777777" w:rsidR="004B2B1D" w:rsidRPr="00136FBE" w:rsidRDefault="004B2B1D" w:rsidP="00D8058D">
            <w:pPr>
              <w:tabs>
                <w:tab w:val="left" w:pos="567"/>
              </w:tabs>
              <w:snapToGrid w:val="0"/>
              <w:spacing w:beforeLines="50" w:before="156" w:afterLines="50" w:after="156" w:line="360" w:lineRule="auto"/>
              <w:jc w:val="center"/>
              <w:rPr>
                <w:rFonts w:ascii="仿宋" w:eastAsia="仿宋" w:hAnsi="仿宋" w:cs="仿宋"/>
                <w:b/>
                <w:bCs/>
              </w:rPr>
            </w:pPr>
            <w:proofErr w:type="spellStart"/>
            <w:r w:rsidRPr="00136FBE">
              <w:rPr>
                <w:rFonts w:ascii="仿宋" w:eastAsia="仿宋" w:hAnsi="仿宋" w:cs="仿宋"/>
                <w:b/>
                <w:bCs/>
              </w:rPr>
              <w:t>CTCAE</w:t>
            </w:r>
            <w:r w:rsidR="00B8291D" w:rsidRPr="00136FBE">
              <w:rPr>
                <w:rFonts w:ascii="仿宋" w:eastAsia="仿宋" w:hAnsi="仿宋" w:cs="仿宋"/>
                <w:sz w:val="15"/>
                <w:szCs w:val="15"/>
                <w:vertAlign w:val="superscript"/>
              </w:rPr>
              <w:t>a</w:t>
            </w:r>
            <w:proofErr w:type="spellEnd"/>
            <w:r w:rsidRPr="00136FBE">
              <w:rPr>
                <w:rFonts w:ascii="仿宋" w:eastAsia="仿宋" w:hAnsi="仿宋" w:cs="仿宋" w:hint="eastAsia"/>
                <w:b/>
                <w:bCs/>
              </w:rPr>
              <w:t>（4.0版）</w:t>
            </w:r>
          </w:p>
          <w:p w14:paraId="1D3D29E4" w14:textId="77777777" w:rsidR="004B2B1D" w:rsidRPr="00136FBE" w:rsidRDefault="004B2B1D" w:rsidP="004F03F7">
            <w:pPr>
              <w:tabs>
                <w:tab w:val="left" w:pos="567"/>
              </w:tabs>
              <w:snapToGrid w:val="0"/>
              <w:spacing w:beforeLines="50" w:before="156" w:afterLines="50" w:after="156" w:line="360" w:lineRule="auto"/>
              <w:jc w:val="center"/>
              <w:rPr>
                <w:rFonts w:ascii="仿宋" w:eastAsia="仿宋" w:hAnsi="仿宋" w:cs="Times New Roman"/>
                <w:b/>
                <w:bCs/>
              </w:rPr>
            </w:pPr>
            <w:r w:rsidRPr="00136FBE">
              <w:rPr>
                <w:rFonts w:ascii="仿宋" w:eastAsia="仿宋" w:hAnsi="仿宋" w:cs="仿宋" w:hint="eastAsia"/>
                <w:b/>
                <w:bCs/>
              </w:rPr>
              <w:lastRenderedPageBreak/>
              <w:t>药物相关不良事件</w:t>
            </w:r>
          </w:p>
        </w:tc>
        <w:tc>
          <w:tcPr>
            <w:tcW w:w="4876" w:type="dxa"/>
            <w:gridSpan w:val="2"/>
          </w:tcPr>
          <w:p w14:paraId="4E7CDC54" w14:textId="77777777" w:rsidR="004B2B1D" w:rsidRPr="00136FBE" w:rsidRDefault="004B2B1D" w:rsidP="004F03F7">
            <w:pPr>
              <w:tabs>
                <w:tab w:val="left" w:pos="567"/>
              </w:tabs>
              <w:snapToGrid w:val="0"/>
              <w:spacing w:beforeLines="50" w:before="156" w:afterLines="50" w:after="156" w:line="360" w:lineRule="auto"/>
              <w:jc w:val="center"/>
              <w:rPr>
                <w:rFonts w:ascii="仿宋" w:eastAsia="仿宋" w:hAnsi="仿宋" w:cs="Times New Roman"/>
                <w:b/>
                <w:bCs/>
              </w:rPr>
            </w:pPr>
            <w:r w:rsidRPr="00136FBE">
              <w:rPr>
                <w:rFonts w:ascii="仿宋" w:eastAsia="仿宋" w:hAnsi="仿宋" w:cs="仿宋" w:hint="eastAsia"/>
                <w:b/>
                <w:bCs/>
              </w:rPr>
              <w:lastRenderedPageBreak/>
              <w:t>阿法替尼的建议给药量</w:t>
            </w:r>
          </w:p>
        </w:tc>
      </w:tr>
      <w:tr w:rsidR="004B2B1D" w:rsidRPr="00136FBE" w14:paraId="28B956F8" w14:textId="77777777" w:rsidTr="00935E5D">
        <w:trPr>
          <w:jc w:val="center"/>
        </w:trPr>
        <w:tc>
          <w:tcPr>
            <w:tcW w:w="3260" w:type="dxa"/>
          </w:tcPr>
          <w:p w14:paraId="2F0AA299" w14:textId="77777777" w:rsidR="004B2B1D" w:rsidRPr="00136FBE" w:rsidRDefault="004B2B1D" w:rsidP="00D8058D">
            <w:pPr>
              <w:tabs>
                <w:tab w:val="left" w:pos="567"/>
              </w:tabs>
              <w:snapToGrid w:val="0"/>
              <w:spacing w:beforeLines="50" w:before="156" w:afterLines="50" w:after="156" w:line="360" w:lineRule="auto"/>
              <w:rPr>
                <w:rFonts w:ascii="仿宋" w:eastAsia="仿宋" w:hAnsi="仿宋" w:cs="Times New Roman"/>
              </w:rPr>
            </w:pPr>
            <w:r w:rsidRPr="00136FBE">
              <w:rPr>
                <w:rFonts w:ascii="仿宋" w:eastAsia="仿宋" w:hAnsi="仿宋" w:cs="仿宋"/>
              </w:rPr>
              <w:t>1～2级</w:t>
            </w:r>
          </w:p>
        </w:tc>
        <w:tc>
          <w:tcPr>
            <w:tcW w:w="2438" w:type="dxa"/>
          </w:tcPr>
          <w:p w14:paraId="460C9FD9" w14:textId="77777777" w:rsidR="004B2B1D" w:rsidRPr="00136FBE" w:rsidRDefault="004B2B1D" w:rsidP="004F03F7">
            <w:pPr>
              <w:tabs>
                <w:tab w:val="left" w:pos="567"/>
              </w:tabs>
              <w:snapToGrid w:val="0"/>
              <w:spacing w:beforeLines="50" w:before="156" w:afterLines="50" w:after="156" w:line="360" w:lineRule="auto"/>
              <w:rPr>
                <w:rFonts w:ascii="仿宋" w:eastAsia="仿宋" w:hAnsi="仿宋" w:cs="Times New Roman"/>
              </w:rPr>
            </w:pPr>
            <w:r w:rsidRPr="00136FBE">
              <w:rPr>
                <w:rFonts w:ascii="仿宋" w:eastAsia="仿宋" w:hAnsi="仿宋" w:cs="仿宋" w:hint="eastAsia"/>
              </w:rPr>
              <w:t>不中断</w:t>
            </w:r>
            <w:r w:rsidRPr="00136FBE">
              <w:rPr>
                <w:rFonts w:ascii="仿宋" w:eastAsia="仿宋" w:hAnsi="仿宋" w:cs="仿宋"/>
                <w:vertAlign w:val="superscript"/>
              </w:rPr>
              <w:t>b</w:t>
            </w:r>
          </w:p>
        </w:tc>
        <w:tc>
          <w:tcPr>
            <w:tcW w:w="2438" w:type="dxa"/>
          </w:tcPr>
          <w:p w14:paraId="6D5D209F" w14:textId="77777777" w:rsidR="004B2B1D" w:rsidRPr="00136FBE" w:rsidRDefault="004B2B1D" w:rsidP="004F03F7">
            <w:pPr>
              <w:tabs>
                <w:tab w:val="left" w:pos="567"/>
              </w:tabs>
              <w:snapToGrid w:val="0"/>
              <w:spacing w:beforeLines="50" w:before="156" w:afterLines="50" w:after="156" w:line="360" w:lineRule="auto"/>
              <w:rPr>
                <w:rFonts w:ascii="仿宋" w:eastAsia="仿宋" w:hAnsi="仿宋" w:cs="Times New Roman"/>
              </w:rPr>
            </w:pPr>
            <w:r w:rsidRPr="00136FBE">
              <w:rPr>
                <w:rFonts w:ascii="仿宋" w:eastAsia="仿宋" w:hAnsi="仿宋" w:cs="仿宋" w:hint="eastAsia"/>
              </w:rPr>
              <w:t>不调整剂量</w:t>
            </w:r>
          </w:p>
        </w:tc>
      </w:tr>
      <w:tr w:rsidR="004B2B1D" w:rsidRPr="00136FBE" w14:paraId="1A9EC88D" w14:textId="77777777" w:rsidTr="00935E5D">
        <w:trPr>
          <w:trHeight w:val="70"/>
          <w:jc w:val="center"/>
        </w:trPr>
        <w:tc>
          <w:tcPr>
            <w:tcW w:w="3260" w:type="dxa"/>
          </w:tcPr>
          <w:p w14:paraId="694A2E73" w14:textId="77777777" w:rsidR="004B2B1D" w:rsidRPr="00136FBE" w:rsidRDefault="004B2B1D" w:rsidP="00D8058D">
            <w:pPr>
              <w:tabs>
                <w:tab w:val="left" w:pos="567"/>
              </w:tabs>
              <w:snapToGrid w:val="0"/>
              <w:spacing w:beforeLines="50" w:before="156" w:afterLines="50" w:after="156" w:line="360" w:lineRule="auto"/>
              <w:rPr>
                <w:rFonts w:ascii="仿宋" w:eastAsia="仿宋" w:hAnsi="仿宋" w:cs="Times New Roman"/>
              </w:rPr>
            </w:pPr>
            <w:r w:rsidRPr="00136FBE">
              <w:rPr>
                <w:rFonts w:ascii="仿宋" w:eastAsia="仿宋" w:hAnsi="仿宋" w:cs="仿宋"/>
              </w:rPr>
              <w:t>2</w:t>
            </w:r>
            <w:r w:rsidRPr="00136FBE">
              <w:rPr>
                <w:rFonts w:ascii="仿宋" w:eastAsia="仿宋" w:hAnsi="仿宋" w:cs="仿宋" w:hint="eastAsia"/>
              </w:rPr>
              <w:t>级（延长</w:t>
            </w:r>
            <w:r w:rsidRPr="00136FBE">
              <w:rPr>
                <w:rFonts w:ascii="仿宋" w:eastAsia="仿宋" w:hAnsi="仿宋" w:cs="仿宋"/>
                <w:vertAlign w:val="superscript"/>
              </w:rPr>
              <w:t>c</w:t>
            </w:r>
            <w:r w:rsidRPr="00136FBE">
              <w:rPr>
                <w:rFonts w:ascii="仿宋" w:eastAsia="仿宋" w:hAnsi="仿宋" w:cs="仿宋" w:hint="eastAsia"/>
              </w:rPr>
              <w:t>或不耐受）或≥</w:t>
            </w:r>
            <w:r w:rsidRPr="00136FBE">
              <w:rPr>
                <w:rFonts w:ascii="仿宋" w:eastAsia="仿宋" w:hAnsi="仿宋" w:cs="仿宋"/>
              </w:rPr>
              <w:t>3</w:t>
            </w:r>
            <w:r w:rsidRPr="00136FBE">
              <w:rPr>
                <w:rFonts w:ascii="仿宋" w:eastAsia="仿宋" w:hAnsi="仿宋" w:cs="仿宋" w:hint="eastAsia"/>
              </w:rPr>
              <w:t>级</w:t>
            </w:r>
          </w:p>
        </w:tc>
        <w:tc>
          <w:tcPr>
            <w:tcW w:w="2438" w:type="dxa"/>
          </w:tcPr>
          <w:p w14:paraId="5DE4E11F" w14:textId="77777777" w:rsidR="004B2B1D" w:rsidRPr="00136FBE" w:rsidRDefault="004B2B1D" w:rsidP="004F03F7">
            <w:pPr>
              <w:tabs>
                <w:tab w:val="left" w:pos="567"/>
              </w:tabs>
              <w:snapToGrid w:val="0"/>
              <w:spacing w:beforeLines="50" w:before="156" w:afterLines="50" w:after="156" w:line="360" w:lineRule="auto"/>
              <w:rPr>
                <w:rFonts w:ascii="仿宋" w:eastAsia="仿宋" w:hAnsi="仿宋" w:cs="Times New Roman"/>
              </w:rPr>
            </w:pPr>
            <w:r w:rsidRPr="00136FBE">
              <w:rPr>
                <w:rFonts w:ascii="仿宋" w:eastAsia="仿宋" w:hAnsi="仿宋" w:cs="仿宋" w:hint="eastAsia"/>
              </w:rPr>
              <w:t>中断直到恢复至</w:t>
            </w:r>
            <w:r w:rsidRPr="00136FBE">
              <w:rPr>
                <w:rFonts w:ascii="仿宋" w:eastAsia="仿宋" w:hAnsi="仿宋" w:cs="仿宋"/>
              </w:rPr>
              <w:t>0/1</w:t>
            </w:r>
            <w:r w:rsidRPr="00136FBE">
              <w:rPr>
                <w:rFonts w:ascii="仿宋" w:eastAsia="仿宋" w:hAnsi="仿宋" w:cs="仿宋" w:hint="eastAsia"/>
              </w:rPr>
              <w:t>级</w:t>
            </w:r>
            <w:r w:rsidRPr="00136FBE">
              <w:rPr>
                <w:rFonts w:ascii="仿宋" w:eastAsia="仿宋" w:hAnsi="仿宋" w:cs="仿宋"/>
                <w:vertAlign w:val="superscript"/>
              </w:rPr>
              <w:t>b</w:t>
            </w:r>
          </w:p>
        </w:tc>
        <w:tc>
          <w:tcPr>
            <w:tcW w:w="2438" w:type="dxa"/>
          </w:tcPr>
          <w:p w14:paraId="309D38F4" w14:textId="77777777" w:rsidR="004B2B1D" w:rsidRPr="00136FBE" w:rsidRDefault="004B2B1D" w:rsidP="004F03F7">
            <w:pPr>
              <w:tabs>
                <w:tab w:val="left" w:pos="567"/>
              </w:tabs>
              <w:snapToGrid w:val="0"/>
              <w:spacing w:beforeLines="50" w:before="156" w:afterLines="50" w:after="156" w:line="360" w:lineRule="auto"/>
              <w:rPr>
                <w:rFonts w:ascii="仿宋" w:eastAsia="仿宋" w:hAnsi="仿宋" w:cs="Times New Roman"/>
              </w:rPr>
            </w:pPr>
            <w:r w:rsidRPr="00136FBE">
              <w:rPr>
                <w:rFonts w:ascii="仿宋" w:eastAsia="仿宋" w:hAnsi="仿宋" w:cs="仿宋" w:hint="eastAsia"/>
              </w:rPr>
              <w:t>以减量</w:t>
            </w:r>
            <w:r w:rsidRPr="00136FBE">
              <w:rPr>
                <w:rFonts w:ascii="仿宋" w:eastAsia="仿宋" w:hAnsi="仿宋" w:cs="仿宋"/>
              </w:rPr>
              <w:t>10mg</w:t>
            </w:r>
            <w:r w:rsidRPr="00136FBE">
              <w:rPr>
                <w:rFonts w:ascii="仿宋" w:eastAsia="仿宋" w:hAnsi="仿宋" w:cs="仿宋" w:hint="eastAsia"/>
              </w:rPr>
              <w:t>递减继续</w:t>
            </w:r>
            <w:r w:rsidRPr="00136FBE">
              <w:rPr>
                <w:rFonts w:ascii="仿宋" w:eastAsia="仿宋" w:hAnsi="仿宋" w:cs="仿宋"/>
                <w:vertAlign w:val="superscript"/>
              </w:rPr>
              <w:t>d</w:t>
            </w:r>
          </w:p>
        </w:tc>
      </w:tr>
    </w:tbl>
    <w:p w14:paraId="58808FE1" w14:textId="77777777" w:rsidR="004B2B1D" w:rsidRPr="00136FBE" w:rsidRDefault="004B2B1D" w:rsidP="00D8058D">
      <w:pPr>
        <w:tabs>
          <w:tab w:val="left" w:pos="1930"/>
        </w:tabs>
        <w:snapToGrid w:val="0"/>
        <w:spacing w:beforeLines="50" w:before="156" w:afterLines="50" w:after="156" w:line="360" w:lineRule="auto"/>
        <w:ind w:firstLineChars="200" w:firstLine="300"/>
        <w:rPr>
          <w:rFonts w:ascii="仿宋" w:eastAsia="仿宋" w:hAnsi="仿宋" w:cs="Times New Roman"/>
          <w:sz w:val="15"/>
          <w:szCs w:val="15"/>
          <w:vertAlign w:val="superscript"/>
        </w:rPr>
      </w:pPr>
      <w:r w:rsidRPr="00136FBE">
        <w:rPr>
          <w:rFonts w:ascii="仿宋" w:eastAsia="仿宋" w:hAnsi="仿宋" w:cs="仿宋"/>
          <w:sz w:val="15"/>
          <w:szCs w:val="15"/>
          <w:vertAlign w:val="superscript"/>
        </w:rPr>
        <w:t>a</w:t>
      </w:r>
      <w:r w:rsidRPr="00136FBE">
        <w:rPr>
          <w:rFonts w:ascii="仿宋" w:eastAsia="仿宋" w:hAnsi="仿宋" w:cs="仿宋" w:hint="eastAsia"/>
          <w:sz w:val="15"/>
          <w:szCs w:val="15"/>
        </w:rPr>
        <w:t>美国国立癌症研究所（</w:t>
      </w:r>
      <w:r w:rsidRPr="00136FBE">
        <w:rPr>
          <w:rFonts w:ascii="仿宋" w:eastAsia="仿宋" w:hAnsi="仿宋" w:cs="仿宋"/>
          <w:sz w:val="15"/>
          <w:szCs w:val="15"/>
        </w:rPr>
        <w:t>NCI</w:t>
      </w:r>
      <w:r w:rsidRPr="00136FBE">
        <w:rPr>
          <w:rFonts w:ascii="仿宋" w:eastAsia="仿宋" w:hAnsi="仿宋" w:cs="仿宋" w:hint="eastAsia"/>
          <w:sz w:val="15"/>
          <w:szCs w:val="15"/>
        </w:rPr>
        <w:t>）不良事件通用术语标准</w:t>
      </w:r>
      <w:r w:rsidRPr="00136FBE">
        <w:rPr>
          <w:rFonts w:ascii="仿宋" w:eastAsia="仿宋" w:hAnsi="仿宋" w:cs="仿宋"/>
          <w:sz w:val="15"/>
          <w:szCs w:val="15"/>
        </w:rPr>
        <w:t>3.0</w:t>
      </w:r>
      <w:r w:rsidRPr="00136FBE">
        <w:rPr>
          <w:rFonts w:ascii="仿宋" w:eastAsia="仿宋" w:hAnsi="仿宋" w:cs="仿宋" w:hint="eastAsia"/>
          <w:sz w:val="15"/>
          <w:szCs w:val="15"/>
        </w:rPr>
        <w:t>版。</w:t>
      </w:r>
    </w:p>
    <w:p w14:paraId="571C8F97" w14:textId="77777777" w:rsidR="004B2B1D" w:rsidRPr="00136FBE" w:rsidRDefault="004B2B1D" w:rsidP="004F03F7">
      <w:pPr>
        <w:widowControl/>
        <w:tabs>
          <w:tab w:val="left" w:pos="567"/>
        </w:tabs>
        <w:snapToGrid w:val="0"/>
        <w:spacing w:beforeLines="50" w:before="156" w:afterLines="50" w:after="156" w:line="360" w:lineRule="auto"/>
        <w:ind w:firstLineChars="200" w:firstLine="300"/>
        <w:jc w:val="left"/>
        <w:rPr>
          <w:rFonts w:ascii="仿宋" w:eastAsia="仿宋" w:hAnsi="仿宋" w:cs="Times New Roman"/>
          <w:kern w:val="0"/>
          <w:sz w:val="15"/>
          <w:szCs w:val="15"/>
          <w:lang w:val="en-GB"/>
        </w:rPr>
      </w:pPr>
      <w:r w:rsidRPr="00136FBE">
        <w:rPr>
          <w:rFonts w:ascii="仿宋" w:eastAsia="仿宋" w:hAnsi="仿宋" w:cs="仿宋"/>
          <w:kern w:val="0"/>
          <w:sz w:val="15"/>
          <w:szCs w:val="15"/>
          <w:vertAlign w:val="superscript"/>
          <w:lang w:val="en-GB"/>
        </w:rPr>
        <w:t>b</w:t>
      </w:r>
      <w:r w:rsidRPr="00136FBE">
        <w:rPr>
          <w:rFonts w:ascii="仿宋" w:eastAsia="仿宋" w:hAnsi="仿宋" w:cs="仿宋" w:hint="eastAsia"/>
          <w:kern w:val="0"/>
          <w:sz w:val="15"/>
          <w:szCs w:val="15"/>
          <w:lang w:val="en-GB"/>
        </w:rPr>
        <w:t>发生腹泻时，应立即使用抗腹泻药物（如洛哌丁胺），并且对于持续腹泻的情况应继续用药直到腹泻停止。</w:t>
      </w:r>
    </w:p>
    <w:p w14:paraId="7DBD806C" w14:textId="77777777" w:rsidR="004B2B1D" w:rsidRPr="00136FBE" w:rsidRDefault="004B2B1D" w:rsidP="004F03F7">
      <w:pPr>
        <w:snapToGrid w:val="0"/>
        <w:spacing w:beforeLines="50" w:before="156" w:afterLines="50" w:after="156" w:line="360" w:lineRule="auto"/>
        <w:ind w:firstLineChars="200" w:firstLine="300"/>
        <w:rPr>
          <w:rFonts w:ascii="仿宋" w:eastAsia="仿宋" w:hAnsi="仿宋" w:cs="Times New Roman"/>
          <w:sz w:val="15"/>
          <w:szCs w:val="15"/>
        </w:rPr>
      </w:pPr>
      <w:r w:rsidRPr="00136FBE">
        <w:rPr>
          <w:rFonts w:ascii="仿宋" w:eastAsia="仿宋" w:hAnsi="仿宋" w:cs="仿宋"/>
          <w:sz w:val="15"/>
          <w:szCs w:val="15"/>
          <w:vertAlign w:val="superscript"/>
        </w:rPr>
        <w:t>c</w:t>
      </w:r>
      <w:r w:rsidRPr="00136FBE">
        <w:rPr>
          <w:rFonts w:ascii="仿宋" w:eastAsia="仿宋" w:hAnsi="仿宋" w:cs="仿宋" w:hint="eastAsia"/>
          <w:sz w:val="15"/>
          <w:szCs w:val="15"/>
        </w:rPr>
        <w:t>腹泻＞</w:t>
      </w:r>
      <w:r w:rsidRPr="00136FBE">
        <w:rPr>
          <w:rFonts w:ascii="仿宋" w:eastAsia="仿宋" w:hAnsi="仿宋" w:cs="仿宋"/>
          <w:sz w:val="15"/>
          <w:szCs w:val="15"/>
        </w:rPr>
        <w:t>48</w:t>
      </w:r>
      <w:r w:rsidRPr="00136FBE">
        <w:rPr>
          <w:rFonts w:ascii="仿宋" w:eastAsia="仿宋" w:hAnsi="仿宋" w:cs="仿宋" w:hint="eastAsia"/>
          <w:sz w:val="15"/>
          <w:szCs w:val="15"/>
        </w:rPr>
        <w:t>小时和</w:t>
      </w:r>
      <w:r w:rsidRPr="00136FBE">
        <w:rPr>
          <w:rFonts w:ascii="仿宋" w:eastAsia="仿宋" w:hAnsi="仿宋" w:cs="仿宋"/>
          <w:sz w:val="15"/>
          <w:szCs w:val="15"/>
        </w:rPr>
        <w:t>/</w:t>
      </w:r>
      <w:r w:rsidRPr="00136FBE">
        <w:rPr>
          <w:rFonts w:ascii="仿宋" w:eastAsia="仿宋" w:hAnsi="仿宋" w:cs="仿宋" w:hint="eastAsia"/>
          <w:sz w:val="15"/>
          <w:szCs w:val="15"/>
        </w:rPr>
        <w:t>或皮疹＞</w:t>
      </w:r>
      <w:r w:rsidRPr="00136FBE">
        <w:rPr>
          <w:rFonts w:ascii="仿宋" w:eastAsia="仿宋" w:hAnsi="仿宋" w:cs="仿宋"/>
          <w:sz w:val="15"/>
          <w:szCs w:val="15"/>
        </w:rPr>
        <w:t>7</w:t>
      </w:r>
      <w:r w:rsidRPr="00136FBE">
        <w:rPr>
          <w:rFonts w:ascii="仿宋" w:eastAsia="仿宋" w:hAnsi="仿宋" w:cs="仿宋" w:hint="eastAsia"/>
          <w:sz w:val="15"/>
          <w:szCs w:val="15"/>
        </w:rPr>
        <w:t>天。</w:t>
      </w:r>
    </w:p>
    <w:p w14:paraId="69F4B701" w14:textId="77777777" w:rsidR="00935E5D" w:rsidRDefault="004B2B1D" w:rsidP="004F03F7">
      <w:pPr>
        <w:tabs>
          <w:tab w:val="left" w:pos="1930"/>
        </w:tabs>
        <w:snapToGrid w:val="0"/>
        <w:spacing w:beforeLines="50" w:before="156" w:afterLines="50" w:after="156" w:line="360" w:lineRule="auto"/>
        <w:ind w:firstLineChars="200" w:firstLine="300"/>
        <w:rPr>
          <w:rFonts w:ascii="仿宋" w:eastAsia="仿宋" w:hAnsi="仿宋" w:cs="Times New Roman"/>
          <w:sz w:val="15"/>
          <w:szCs w:val="15"/>
        </w:rPr>
      </w:pPr>
      <w:r w:rsidRPr="00136FBE">
        <w:rPr>
          <w:rFonts w:ascii="仿宋" w:eastAsia="仿宋" w:hAnsi="仿宋" w:cs="仿宋"/>
          <w:sz w:val="15"/>
          <w:szCs w:val="15"/>
          <w:vertAlign w:val="superscript"/>
        </w:rPr>
        <w:t>d</w:t>
      </w:r>
      <w:r w:rsidRPr="00136FBE">
        <w:rPr>
          <w:rFonts w:ascii="仿宋" w:eastAsia="仿宋" w:hAnsi="仿宋" w:cs="仿宋" w:hint="eastAsia"/>
          <w:sz w:val="15"/>
          <w:szCs w:val="15"/>
        </w:rPr>
        <w:t>如果患者不能耐受每天</w:t>
      </w:r>
      <w:r w:rsidRPr="00136FBE">
        <w:rPr>
          <w:rFonts w:ascii="仿宋" w:eastAsia="仿宋" w:hAnsi="仿宋" w:cs="仿宋"/>
          <w:sz w:val="15"/>
          <w:szCs w:val="15"/>
        </w:rPr>
        <w:t>20mg</w:t>
      </w:r>
      <w:r w:rsidRPr="00136FBE">
        <w:rPr>
          <w:rFonts w:ascii="仿宋" w:eastAsia="仿宋" w:hAnsi="仿宋" w:cs="仿宋" w:hint="eastAsia"/>
          <w:sz w:val="15"/>
          <w:szCs w:val="15"/>
        </w:rPr>
        <w:t>，应考虑永久停用本品。</w:t>
      </w:r>
    </w:p>
    <w:p w14:paraId="6C1D804C"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对于临床医生评价为耐受性差的患者，可使用</w:t>
      </w:r>
      <w:r w:rsidRPr="00136FBE">
        <w:rPr>
          <w:rFonts w:ascii="仿宋" w:eastAsia="仿宋" w:hAnsi="仿宋" w:cs="仿宋"/>
          <w:sz w:val="32"/>
          <w:szCs w:val="32"/>
        </w:rPr>
        <w:t>30mg</w:t>
      </w:r>
      <w:r w:rsidRPr="00136FBE">
        <w:rPr>
          <w:rFonts w:ascii="仿宋" w:eastAsia="仿宋" w:hAnsi="仿宋" w:cs="仿宋" w:hint="eastAsia"/>
          <w:sz w:val="32"/>
          <w:szCs w:val="32"/>
        </w:rPr>
        <w:t>作为推荐剂量。</w:t>
      </w:r>
    </w:p>
    <w:p w14:paraId="42CFC2C5"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6.</w:t>
      </w:r>
      <w:r w:rsidRPr="00136FBE">
        <w:rPr>
          <w:rFonts w:ascii="仿宋" w:eastAsia="仿宋" w:hAnsi="仿宋" w:cs="仿宋" w:hint="eastAsia"/>
          <w:sz w:val="32"/>
          <w:szCs w:val="32"/>
        </w:rPr>
        <w:t>阿法替尼不应与食物同服，应当在进食后至少</w:t>
      </w:r>
      <w:r w:rsidRPr="00136FBE">
        <w:rPr>
          <w:rFonts w:ascii="仿宋" w:eastAsia="仿宋" w:hAnsi="仿宋" w:cs="仿宋"/>
          <w:sz w:val="32"/>
          <w:szCs w:val="32"/>
        </w:rPr>
        <w:t>3</w:t>
      </w:r>
      <w:r w:rsidRPr="00136FBE">
        <w:rPr>
          <w:rFonts w:ascii="仿宋" w:eastAsia="仿宋" w:hAnsi="仿宋" w:cs="仿宋" w:hint="eastAsia"/>
          <w:sz w:val="32"/>
          <w:szCs w:val="32"/>
        </w:rPr>
        <w:t>小时或进食前至少</w:t>
      </w:r>
      <w:r w:rsidRPr="00136FBE">
        <w:rPr>
          <w:rFonts w:ascii="仿宋" w:eastAsia="仿宋" w:hAnsi="仿宋" w:cs="仿宋"/>
          <w:sz w:val="32"/>
          <w:szCs w:val="32"/>
        </w:rPr>
        <w:t>1</w:t>
      </w:r>
      <w:r w:rsidRPr="00136FBE">
        <w:rPr>
          <w:rFonts w:ascii="仿宋" w:eastAsia="仿宋" w:hAnsi="仿宋" w:cs="仿宋" w:hint="eastAsia"/>
          <w:sz w:val="32"/>
          <w:szCs w:val="32"/>
        </w:rPr>
        <w:t>小时服用。</w:t>
      </w:r>
    </w:p>
    <w:p w14:paraId="376FCD6B"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7.</w:t>
      </w:r>
      <w:r w:rsidRPr="00136FBE">
        <w:rPr>
          <w:rFonts w:ascii="仿宋" w:eastAsia="仿宋" w:hAnsi="仿宋" w:cs="仿宋" w:hint="eastAsia"/>
          <w:sz w:val="32"/>
          <w:szCs w:val="32"/>
        </w:rPr>
        <w:t>用药期间必须注意腹泻、皮肤相关不良反应、间质性肺炎等不良事件。</w:t>
      </w:r>
    </w:p>
    <w:p w14:paraId="57285125"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8.</w:t>
      </w:r>
      <w:r w:rsidRPr="00136FBE">
        <w:rPr>
          <w:rFonts w:ascii="仿宋" w:eastAsia="仿宋" w:hAnsi="仿宋" w:cs="仿宋" w:hint="eastAsia"/>
          <w:sz w:val="32"/>
          <w:szCs w:val="32"/>
        </w:rPr>
        <w:t>如需要使用</w:t>
      </w:r>
      <w:r w:rsidRPr="00136FBE">
        <w:rPr>
          <w:rFonts w:ascii="仿宋" w:eastAsia="仿宋" w:hAnsi="仿宋" w:cs="仿宋"/>
          <w:sz w:val="32"/>
          <w:szCs w:val="32"/>
        </w:rPr>
        <w:t>P-糖蛋白</w:t>
      </w:r>
      <w:r w:rsidRPr="00136FBE">
        <w:rPr>
          <w:rFonts w:ascii="仿宋" w:eastAsia="仿宋" w:hAnsi="仿宋" w:cs="仿宋" w:hint="eastAsia"/>
          <w:sz w:val="32"/>
          <w:szCs w:val="32"/>
        </w:rPr>
        <w:t>（</w:t>
      </w:r>
      <w:r w:rsidRPr="00136FBE">
        <w:rPr>
          <w:rFonts w:ascii="仿宋" w:eastAsia="仿宋" w:hAnsi="仿宋" w:cs="仿宋"/>
          <w:sz w:val="32"/>
          <w:szCs w:val="32"/>
        </w:rPr>
        <w:t>P-</w:t>
      </w:r>
      <w:proofErr w:type="spellStart"/>
      <w:r w:rsidRPr="00136FBE">
        <w:rPr>
          <w:rFonts w:ascii="仿宋" w:eastAsia="仿宋" w:hAnsi="仿宋" w:cs="仿宋"/>
          <w:sz w:val="32"/>
          <w:szCs w:val="32"/>
        </w:rPr>
        <w:t>gp</w:t>
      </w:r>
      <w:proofErr w:type="spellEnd"/>
      <w:r w:rsidRPr="00136FBE">
        <w:rPr>
          <w:rFonts w:ascii="仿宋" w:eastAsia="仿宋" w:hAnsi="仿宋" w:cs="仿宋" w:hint="eastAsia"/>
          <w:sz w:val="32"/>
          <w:szCs w:val="32"/>
        </w:rPr>
        <w:t>）抑制剂，应采用交错剂量给药，尽可能延长与阿法替尼给药的间隔时间。P-</w:t>
      </w:r>
      <w:proofErr w:type="spellStart"/>
      <w:r w:rsidRPr="00136FBE">
        <w:rPr>
          <w:rFonts w:ascii="仿宋" w:eastAsia="仿宋" w:hAnsi="仿宋" w:cs="仿宋" w:hint="eastAsia"/>
          <w:sz w:val="32"/>
          <w:szCs w:val="32"/>
        </w:rPr>
        <w:t>gp</w:t>
      </w:r>
      <w:proofErr w:type="spellEnd"/>
      <w:r w:rsidRPr="00136FBE">
        <w:rPr>
          <w:rFonts w:ascii="仿宋" w:eastAsia="仿宋" w:hAnsi="仿宋" w:cs="仿宋" w:hint="eastAsia"/>
          <w:sz w:val="32"/>
          <w:szCs w:val="32"/>
        </w:rPr>
        <w:t>抑制剂应在阿法替尼给药后间隔6小时（P-</w:t>
      </w:r>
      <w:proofErr w:type="spellStart"/>
      <w:r w:rsidRPr="00136FBE">
        <w:rPr>
          <w:rFonts w:ascii="仿宋" w:eastAsia="仿宋" w:hAnsi="仿宋" w:cs="仿宋" w:hint="eastAsia"/>
          <w:sz w:val="32"/>
          <w:szCs w:val="32"/>
        </w:rPr>
        <w:t>gp</w:t>
      </w:r>
      <w:proofErr w:type="spellEnd"/>
      <w:r w:rsidRPr="00136FBE">
        <w:rPr>
          <w:rFonts w:ascii="仿宋" w:eastAsia="仿宋" w:hAnsi="仿宋" w:cs="仿宋" w:hint="eastAsia"/>
          <w:sz w:val="32"/>
          <w:szCs w:val="32"/>
        </w:rPr>
        <w:t>抑制剂每天两次给药）或12小时（P-</w:t>
      </w:r>
      <w:proofErr w:type="spellStart"/>
      <w:r w:rsidRPr="00136FBE">
        <w:rPr>
          <w:rFonts w:ascii="仿宋" w:eastAsia="仿宋" w:hAnsi="仿宋" w:cs="仿宋" w:hint="eastAsia"/>
          <w:sz w:val="32"/>
          <w:szCs w:val="32"/>
        </w:rPr>
        <w:t>gp</w:t>
      </w:r>
      <w:proofErr w:type="spellEnd"/>
      <w:r w:rsidRPr="00136FBE">
        <w:rPr>
          <w:rFonts w:ascii="仿宋" w:eastAsia="仿宋" w:hAnsi="仿宋" w:cs="仿宋" w:hint="eastAsia"/>
          <w:sz w:val="32"/>
          <w:szCs w:val="32"/>
        </w:rPr>
        <w:t>抑制剂每天一次给药）给药。</w:t>
      </w:r>
    </w:p>
    <w:p w14:paraId="40BDD906"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9</w:t>
      </w:r>
      <w:r w:rsidRPr="00136FBE">
        <w:rPr>
          <w:rFonts w:ascii="仿宋" w:eastAsia="仿宋" w:hAnsi="仿宋" w:cs="仿宋" w:hint="eastAsia"/>
          <w:sz w:val="32"/>
          <w:szCs w:val="32"/>
        </w:rPr>
        <w:t>.阿法替尼不通过CYP酶系代谢，体外试验研究显示与CYP抑制剂或诱导剂联用时，对阿法替尼的暴露量无明显影响。</w:t>
      </w:r>
    </w:p>
    <w:p w14:paraId="4E3B9A30"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10.本品含有乳糖，患有罕见遗传性半乳糖不耐症、乳糖酶缺乏症或葡萄糖-半乳糖吸收不良的患者不应服用此药品。</w:t>
      </w:r>
    </w:p>
    <w:p w14:paraId="5F970990" w14:textId="77777777" w:rsidR="004B2B1D" w:rsidRPr="00136FBE" w:rsidRDefault="004B2B1D" w:rsidP="004B2B1D">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lastRenderedPageBreak/>
        <w:t>五、达可替尼 Dacomitinib</w:t>
      </w:r>
    </w:p>
    <w:p w14:paraId="4056C941" w14:textId="77777777" w:rsidR="004B2B1D" w:rsidRPr="00136FBE" w:rsidRDefault="004B2B1D" w:rsidP="004B2B1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片剂：15mg</w:t>
      </w:r>
    </w:p>
    <w:p w14:paraId="5C73AAB0" w14:textId="77777777" w:rsidR="004B2B1D" w:rsidRPr="00136FBE" w:rsidRDefault="004B2B1D" w:rsidP="004B2B1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单药用于EGFR19外显子缺失突变或21外显子L858R置换突变的局部晚期或转移性NSCLC患者的一线治疗。</w:t>
      </w:r>
    </w:p>
    <w:p w14:paraId="5C68073D" w14:textId="77777777" w:rsidR="004B2B1D" w:rsidRPr="00136FBE" w:rsidRDefault="004B2B1D" w:rsidP="004B2B1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1DEA9F2E"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1.用药前必须明确有经国家药品监督管理局批准的EGFR基因检测方法检测到的EGFR19外显子缺失突变或21外显子L858R置换突变阳性的患者。</w:t>
      </w:r>
    </w:p>
    <w:p w14:paraId="4CE97064"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2.建议患者接受本药物治疗直到疾病进展或出现无法耐受的毒性。</w:t>
      </w:r>
    </w:p>
    <w:p w14:paraId="32898D83"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3.推荐剂量为45mg口服，每日一次，可与食物同服，也可不与食物同服。对于临床医生评价为耐受性差的年老体弱患者，起始剂量可从30mg口服、每日一次开始。</w:t>
      </w:r>
    </w:p>
    <w:p w14:paraId="6206A49E"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olor w:val="000000"/>
          <w:sz w:val="32"/>
          <w:szCs w:val="32"/>
        </w:rPr>
        <w:t>4</w:t>
      </w:r>
      <w:r w:rsidRPr="00136FBE">
        <w:rPr>
          <w:rFonts w:ascii="仿宋" w:eastAsia="仿宋" w:hAnsi="仿宋" w:hint="eastAsia"/>
          <w:color w:val="000000"/>
          <w:sz w:val="32"/>
          <w:szCs w:val="32"/>
        </w:rPr>
        <w:t>. 达可替尼常见不良反应为腹泻（87%）、皮疹（69%）、甲沟炎（64%）、口腔黏膜炎（45%）、皮肤干燥（30%）等。</w:t>
      </w:r>
      <w:r w:rsidRPr="00136FBE">
        <w:rPr>
          <w:rFonts w:ascii="仿宋" w:eastAsia="仿宋" w:hAnsi="仿宋" w:cs="仿宋" w:hint="eastAsia"/>
          <w:sz w:val="32"/>
          <w:szCs w:val="32"/>
        </w:rPr>
        <w:t>应特别关注间质性肺炎的发生。</w:t>
      </w:r>
    </w:p>
    <w:p w14:paraId="33E62CEC"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5</w:t>
      </w:r>
      <w:r w:rsidRPr="00136FBE">
        <w:rPr>
          <w:rFonts w:ascii="仿宋" w:eastAsia="仿宋" w:hAnsi="仿宋" w:hint="eastAsia"/>
          <w:color w:val="000000"/>
          <w:sz w:val="32"/>
          <w:szCs w:val="32"/>
        </w:rPr>
        <w:t>.如果出现不良反应，应根据患者的耐受性，以每次减量15mg的方式逐步降低本品的剂量：（1）首次减量至30mg，每日一次；（2）第二次减量至15mg，每日一次。如果患者不耐受15mg，每日一次的给药剂量，应该永久停用。在呼吸系统症状恶化且可能预示间质性肺炎（例如呼吸困难、咳嗽和发热）的患者中暂时停用本品并立即进行间质性肺炎的诊断。</w:t>
      </w:r>
      <w:r w:rsidRPr="00136FBE">
        <w:rPr>
          <w:rFonts w:ascii="仿宋" w:eastAsia="仿宋" w:hAnsi="仿宋" w:hint="eastAsia"/>
          <w:color w:val="000000"/>
          <w:sz w:val="32"/>
          <w:szCs w:val="32"/>
        </w:rPr>
        <w:lastRenderedPageBreak/>
        <w:t>如果确诊为任何级别的间质性肺炎，则永久停用本品。</w:t>
      </w:r>
    </w:p>
    <w:p w14:paraId="20562650"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6</w:t>
      </w:r>
      <w:r w:rsidRPr="00136FBE">
        <w:rPr>
          <w:rFonts w:ascii="仿宋" w:eastAsia="仿宋" w:hAnsi="仿宋" w:hint="eastAsia"/>
          <w:color w:val="000000"/>
          <w:sz w:val="32"/>
          <w:szCs w:val="32"/>
        </w:rPr>
        <w:t>.不建议对轻中度肾功能或肝功能损伤的患者调整剂量。尚未确定重度肾功能或肝功能损伤患者的本品推荐剂量。</w:t>
      </w:r>
    </w:p>
    <w:p w14:paraId="240896F8"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7.服用本品时，避免同时使用质子泵抑制剂。可使用局部作用的抗酸剂或H</w:t>
      </w:r>
      <w:r w:rsidRPr="00136FBE">
        <w:rPr>
          <w:rFonts w:ascii="仿宋" w:eastAsia="仿宋" w:hAnsi="仿宋" w:hint="eastAsia"/>
          <w:color w:val="000000"/>
          <w:sz w:val="32"/>
          <w:szCs w:val="32"/>
          <w:vertAlign w:val="subscript"/>
        </w:rPr>
        <w:t>2</w:t>
      </w:r>
      <w:r w:rsidRPr="00136FBE">
        <w:rPr>
          <w:rFonts w:ascii="仿宋" w:eastAsia="仿宋" w:hAnsi="仿宋" w:hint="eastAsia"/>
          <w:color w:val="000000"/>
          <w:sz w:val="32"/>
          <w:szCs w:val="32"/>
        </w:rPr>
        <w:t>受体拮抗剂代替质子泵抑制剂；必须临时服用H</w:t>
      </w:r>
      <w:r w:rsidRPr="00136FBE">
        <w:rPr>
          <w:rFonts w:ascii="仿宋" w:eastAsia="仿宋" w:hAnsi="仿宋" w:hint="eastAsia"/>
          <w:color w:val="000000"/>
          <w:sz w:val="32"/>
          <w:szCs w:val="32"/>
          <w:vertAlign w:val="subscript"/>
        </w:rPr>
        <w:t>2</w:t>
      </w:r>
      <w:r w:rsidRPr="00136FBE">
        <w:rPr>
          <w:rFonts w:ascii="仿宋" w:eastAsia="仿宋" w:hAnsi="仿宋" w:hint="eastAsia"/>
          <w:color w:val="000000"/>
          <w:sz w:val="32"/>
          <w:szCs w:val="32"/>
        </w:rPr>
        <w:t>受体拮抗剂的情况下，至少提前6小时或滞后10小时后给予本品。</w:t>
      </w:r>
    </w:p>
    <w:p w14:paraId="78945BA4"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8</w:t>
      </w:r>
      <w:r w:rsidRPr="00136FBE">
        <w:rPr>
          <w:rFonts w:ascii="仿宋" w:eastAsia="仿宋" w:hAnsi="仿宋" w:hint="eastAsia"/>
          <w:color w:val="000000"/>
          <w:sz w:val="32"/>
          <w:szCs w:val="32"/>
        </w:rPr>
        <w:t>.服用本品时，避免同时使用CYP2D6底物，因为CYP2D6底物浓度略微增加可能产生严重的或危及生命的毒性。</w:t>
      </w:r>
    </w:p>
    <w:p w14:paraId="6E8CA194" w14:textId="77777777" w:rsidR="004B2B1D" w:rsidRPr="00136FBE" w:rsidRDefault="004B2B1D" w:rsidP="004B2B1D">
      <w:pPr>
        <w:widowControl/>
        <w:autoSpaceDE w:val="0"/>
        <w:autoSpaceDN w:val="0"/>
        <w:adjustRightInd w:val="0"/>
        <w:spacing w:line="360" w:lineRule="auto"/>
        <w:ind w:firstLineChars="200" w:firstLine="640"/>
        <w:jc w:val="left"/>
        <w:rPr>
          <w:rFonts w:ascii="黑体" w:eastAsia="黑体" w:hAnsi="黑体" w:cs="Times New Roman"/>
          <w:color w:val="000000"/>
          <w:kern w:val="0"/>
          <w:sz w:val="32"/>
          <w:szCs w:val="32"/>
          <w:lang w:val="it-IT"/>
        </w:rPr>
      </w:pPr>
      <w:r w:rsidRPr="00136FBE">
        <w:rPr>
          <w:rFonts w:ascii="黑体" w:eastAsia="黑体" w:hAnsi="黑体" w:cs="黑体" w:hint="eastAsia"/>
          <w:sz w:val="32"/>
          <w:szCs w:val="32"/>
          <w:lang w:val="it-IT"/>
        </w:rPr>
        <w:t>六、</w:t>
      </w:r>
      <w:r w:rsidRPr="00136FBE">
        <w:rPr>
          <w:rFonts w:ascii="黑体" w:eastAsia="黑体" w:hAnsi="黑体" w:cs="黑体" w:hint="eastAsia"/>
          <w:sz w:val="32"/>
          <w:szCs w:val="32"/>
        </w:rPr>
        <w:t>奥希替尼O</w:t>
      </w:r>
      <w:r w:rsidRPr="00136FBE">
        <w:rPr>
          <w:rFonts w:ascii="黑体" w:eastAsia="黑体" w:hAnsi="黑体" w:cs="黑体"/>
          <w:sz w:val="32"/>
          <w:szCs w:val="32"/>
        </w:rPr>
        <w:t>simertinib</w:t>
      </w:r>
    </w:p>
    <w:p w14:paraId="241FA679"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40mg</w:t>
      </w:r>
      <w:r w:rsidRPr="00136FBE">
        <w:rPr>
          <w:rFonts w:ascii="仿宋" w:eastAsia="仿宋" w:hAnsi="仿宋" w:cs="仿宋" w:hint="eastAsia"/>
          <w:sz w:val="32"/>
          <w:szCs w:val="32"/>
        </w:rPr>
        <w:t>、</w:t>
      </w:r>
      <w:r w:rsidRPr="00136FBE">
        <w:rPr>
          <w:rFonts w:ascii="仿宋" w:eastAsia="仿宋" w:hAnsi="仿宋" w:cs="仿宋"/>
          <w:sz w:val="32"/>
          <w:szCs w:val="32"/>
        </w:rPr>
        <w:t>80mg</w:t>
      </w:r>
    </w:p>
    <w:p w14:paraId="6D424599" w14:textId="77777777" w:rsidR="004B2B1D" w:rsidRPr="00136FBE" w:rsidRDefault="004B2B1D" w:rsidP="004B2B1D">
      <w:pPr>
        <w:spacing w:line="360" w:lineRule="auto"/>
        <w:ind w:firstLineChars="200" w:firstLine="643"/>
        <w:rPr>
          <w:rFonts w:ascii="仿宋" w:eastAsia="仿宋" w:hAnsi="仿宋" w:cs="仿宋"/>
          <w:b/>
          <w:bCs/>
          <w:sz w:val="32"/>
          <w:szCs w:val="32"/>
        </w:rPr>
      </w:pPr>
      <w:r w:rsidRPr="00136FBE">
        <w:rPr>
          <w:rFonts w:ascii="仿宋" w:eastAsia="仿宋" w:hAnsi="仿宋" w:cs="仿宋" w:hint="eastAsia"/>
          <w:b/>
          <w:bCs/>
          <w:sz w:val="32"/>
          <w:szCs w:val="32"/>
        </w:rPr>
        <w:t>适应证：</w:t>
      </w:r>
    </w:p>
    <w:p w14:paraId="2274F007" w14:textId="77777777" w:rsidR="004B2B1D" w:rsidRPr="00136FBE" w:rsidRDefault="004B2B1D" w:rsidP="004B2B1D">
      <w:pPr>
        <w:spacing w:line="360" w:lineRule="auto"/>
        <w:ind w:firstLineChars="200" w:firstLine="640"/>
        <w:rPr>
          <w:rFonts w:ascii="仿宋" w:eastAsia="仿宋" w:hAnsi="仿宋" w:cs="仿宋"/>
          <w:bCs/>
          <w:sz w:val="32"/>
          <w:szCs w:val="32"/>
        </w:rPr>
      </w:pPr>
      <w:r w:rsidRPr="00136FBE">
        <w:rPr>
          <w:rFonts w:ascii="仿宋" w:eastAsia="仿宋" w:hAnsi="仿宋" w:cs="仿宋" w:hint="eastAsia"/>
          <w:bCs/>
          <w:sz w:val="32"/>
          <w:szCs w:val="32"/>
        </w:rPr>
        <w:t>1.具有</w:t>
      </w:r>
      <w:r w:rsidRPr="00136FBE">
        <w:rPr>
          <w:rFonts w:ascii="仿宋" w:eastAsia="仿宋" w:hAnsi="仿宋" w:hint="eastAsia"/>
          <w:color w:val="000000"/>
          <w:sz w:val="32"/>
          <w:szCs w:val="32"/>
        </w:rPr>
        <w:t>EGFR19外显子缺失突变或21外显子L858R置换突变</w:t>
      </w:r>
      <w:r w:rsidRPr="00136FBE">
        <w:rPr>
          <w:rFonts w:ascii="仿宋" w:eastAsia="仿宋" w:hAnsi="仿宋" w:cs="仿宋"/>
          <w:bCs/>
          <w:sz w:val="32"/>
          <w:szCs w:val="32"/>
        </w:rPr>
        <w:t>的局部晚期或转移性NSCLC成人患者的一线治疗。</w:t>
      </w:r>
    </w:p>
    <w:p w14:paraId="7B28F051"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2.既往经</w:t>
      </w:r>
      <w:r w:rsidRPr="00136FBE">
        <w:rPr>
          <w:rFonts w:ascii="仿宋" w:eastAsia="仿宋" w:hAnsi="仿宋" w:cs="仿宋"/>
          <w:sz w:val="32"/>
          <w:szCs w:val="32"/>
        </w:rPr>
        <w:t>EGFR-TKI</w:t>
      </w:r>
      <w:r w:rsidRPr="00136FBE">
        <w:rPr>
          <w:rFonts w:ascii="仿宋" w:eastAsia="仿宋" w:hAnsi="仿宋" w:cs="仿宋" w:hint="eastAsia"/>
          <w:sz w:val="32"/>
          <w:szCs w:val="32"/>
        </w:rPr>
        <w:t>治疗时或治疗后出现疾病进展，并且经检测确认存在</w:t>
      </w:r>
      <w:r w:rsidRPr="00136FBE">
        <w:rPr>
          <w:rFonts w:ascii="仿宋" w:eastAsia="仿宋" w:hAnsi="仿宋" w:cs="仿宋"/>
          <w:sz w:val="32"/>
          <w:szCs w:val="32"/>
        </w:rPr>
        <w:t>EGFR-T790M</w:t>
      </w:r>
      <w:r w:rsidRPr="00136FBE">
        <w:rPr>
          <w:rFonts w:ascii="仿宋" w:eastAsia="仿宋" w:hAnsi="仿宋" w:cs="仿宋" w:hint="eastAsia"/>
          <w:sz w:val="32"/>
          <w:szCs w:val="32"/>
        </w:rPr>
        <w:t>突变阳性</w:t>
      </w:r>
      <w:r w:rsidRPr="00136FBE">
        <w:rPr>
          <w:rFonts w:ascii="仿宋" w:eastAsia="仿宋" w:hAnsi="仿宋" w:cs="仿宋" w:hint="eastAsia"/>
          <w:w w:val="98"/>
          <w:sz w:val="32"/>
          <w:szCs w:val="32"/>
        </w:rPr>
        <w:t>的局部晚期或转移性</w:t>
      </w:r>
      <w:r w:rsidRPr="00136FBE">
        <w:rPr>
          <w:rFonts w:ascii="仿宋" w:eastAsia="仿宋" w:hAnsi="仿宋" w:cs="仿宋"/>
          <w:w w:val="98"/>
          <w:sz w:val="32"/>
          <w:szCs w:val="32"/>
        </w:rPr>
        <w:t>NSCLC</w:t>
      </w:r>
      <w:r w:rsidRPr="00136FBE">
        <w:rPr>
          <w:rFonts w:ascii="仿宋" w:eastAsia="仿宋" w:hAnsi="仿宋" w:cs="仿宋" w:hint="eastAsia"/>
          <w:w w:val="98"/>
          <w:sz w:val="32"/>
          <w:szCs w:val="32"/>
        </w:rPr>
        <w:t>成人患者的治疗。</w:t>
      </w:r>
    </w:p>
    <w:p w14:paraId="6C9840F8"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8015984"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一线用药前必须明确有经国家药品监督管理局批准的EGFR基因检测方法检测到的EGFR19外显子缺失突变或21外显子L858R置换突变阳性的患者。对于既往经EGFR-TKI治疗时或治疗后出现疾病进展的患者，用药前必须明确有经</w:t>
      </w:r>
      <w:r w:rsidRPr="00136FBE">
        <w:rPr>
          <w:rFonts w:ascii="仿宋" w:eastAsia="仿宋" w:hAnsi="仿宋" w:cs="仿宋" w:hint="eastAsia"/>
          <w:sz w:val="32"/>
          <w:szCs w:val="32"/>
        </w:rPr>
        <w:lastRenderedPageBreak/>
        <w:t>国家药品监督管理局批准的检测方法检测到</w:t>
      </w:r>
      <w:r w:rsidRPr="00136FBE">
        <w:rPr>
          <w:rFonts w:ascii="仿宋" w:eastAsia="仿宋" w:hAnsi="仿宋" w:cs="仿宋"/>
          <w:sz w:val="32"/>
          <w:szCs w:val="32"/>
        </w:rPr>
        <w:t>EGFR-T790M</w:t>
      </w:r>
      <w:r w:rsidRPr="00136FBE">
        <w:rPr>
          <w:rFonts w:ascii="仿宋" w:eastAsia="仿宋" w:hAnsi="仿宋" w:cs="仿宋" w:hint="eastAsia"/>
          <w:sz w:val="32"/>
          <w:szCs w:val="32"/>
        </w:rPr>
        <w:t>突变。</w:t>
      </w:r>
    </w:p>
    <w:p w14:paraId="56D3D453"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肿瘤组织和血液均可用于EGFR突变检测，但组织检测优先。</w:t>
      </w:r>
    </w:p>
    <w:p w14:paraId="178556E9"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3.</w:t>
      </w:r>
      <w:r w:rsidRPr="00136FBE">
        <w:rPr>
          <w:rFonts w:ascii="仿宋" w:eastAsia="仿宋" w:hAnsi="仿宋" w:cs="仿宋"/>
          <w:sz w:val="32"/>
          <w:szCs w:val="32"/>
        </w:rPr>
        <w:t>EGFR</w:t>
      </w:r>
      <w:r w:rsidRPr="00136FBE">
        <w:rPr>
          <w:rFonts w:ascii="仿宋" w:eastAsia="仿宋" w:hAnsi="仿宋" w:cs="仿宋" w:hint="eastAsia"/>
          <w:sz w:val="32"/>
          <w:szCs w:val="32"/>
        </w:rPr>
        <w:t>突变阳性的脑转移或脑膜转移患者推荐优先使用奥希替尼。</w:t>
      </w:r>
    </w:p>
    <w:p w14:paraId="7163EB8E"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w:t>
      </w:r>
      <w:r w:rsidRPr="00136FBE">
        <w:rPr>
          <w:rFonts w:ascii="仿宋" w:eastAsia="仿宋" w:hAnsi="仿宋" w:cs="仿宋"/>
          <w:sz w:val="32"/>
          <w:szCs w:val="32"/>
        </w:rPr>
        <w:t>.</w:t>
      </w:r>
      <w:r w:rsidRPr="00136FBE">
        <w:rPr>
          <w:rFonts w:ascii="仿宋" w:eastAsia="仿宋" w:hAnsi="仿宋" w:cs="仿宋" w:hint="eastAsia"/>
          <w:sz w:val="32"/>
          <w:szCs w:val="32"/>
        </w:rPr>
        <w:t>用药期间必须注意常见的皮肤反应和腹泻，</w:t>
      </w:r>
      <w:r w:rsidRPr="006D1F98">
        <w:rPr>
          <w:rFonts w:hint="eastAsia"/>
          <w:sz w:val="32"/>
          <w:szCs w:val="32"/>
        </w:rPr>
        <w:t>需注意</w:t>
      </w:r>
      <w:r w:rsidRPr="006D1F98">
        <w:rPr>
          <w:sz w:val="32"/>
          <w:szCs w:val="32"/>
        </w:rPr>
        <w:t>心电图</w:t>
      </w:r>
      <w:r w:rsidRPr="006D1F98">
        <w:rPr>
          <w:rFonts w:hint="eastAsia"/>
          <w:sz w:val="32"/>
          <w:szCs w:val="32"/>
        </w:rPr>
        <w:t>QTc</w:t>
      </w:r>
      <w:r w:rsidRPr="006D1F98">
        <w:rPr>
          <w:rFonts w:hint="eastAsia"/>
          <w:sz w:val="32"/>
          <w:szCs w:val="32"/>
        </w:rPr>
        <w:t>间期延长，</w:t>
      </w:r>
      <w:r w:rsidRPr="00136FBE">
        <w:rPr>
          <w:rFonts w:ascii="仿宋" w:eastAsia="仿宋" w:hAnsi="仿宋" w:cs="仿宋" w:hint="eastAsia"/>
          <w:sz w:val="32"/>
          <w:szCs w:val="32"/>
        </w:rPr>
        <w:t>应特别注意间质性肺炎的发生。</w:t>
      </w:r>
    </w:p>
    <w:p w14:paraId="2150884B"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5</w:t>
      </w:r>
      <w:r w:rsidRPr="00136FBE">
        <w:rPr>
          <w:rFonts w:ascii="仿宋" w:eastAsia="仿宋" w:hAnsi="仿宋" w:cs="仿宋"/>
          <w:sz w:val="32"/>
          <w:szCs w:val="32"/>
        </w:rPr>
        <w:t>.</w:t>
      </w:r>
      <w:r w:rsidRPr="00136FBE">
        <w:rPr>
          <w:rFonts w:ascii="仿宋" w:eastAsia="仿宋" w:hAnsi="仿宋" w:cs="仿宋" w:hint="eastAsia"/>
          <w:sz w:val="32"/>
          <w:szCs w:val="32"/>
        </w:rPr>
        <w:t>避免与</w:t>
      </w:r>
      <w:r w:rsidRPr="00136FBE">
        <w:rPr>
          <w:rFonts w:ascii="仿宋" w:eastAsia="仿宋" w:hAnsi="仿宋" w:cs="仿宋"/>
          <w:sz w:val="32"/>
          <w:szCs w:val="32"/>
        </w:rPr>
        <w:t>CYP3A4</w:t>
      </w:r>
      <w:r w:rsidRPr="00136FBE">
        <w:rPr>
          <w:rFonts w:ascii="仿宋" w:eastAsia="仿宋" w:hAnsi="仿宋" w:cs="仿宋" w:hint="eastAsia"/>
          <w:sz w:val="32"/>
          <w:szCs w:val="32"/>
        </w:rPr>
        <w:t>强诱导剂</w:t>
      </w:r>
      <w:r>
        <w:rPr>
          <w:rFonts w:ascii="仿宋" w:eastAsia="仿宋" w:hAnsi="仿宋" w:cs="仿宋" w:hint="eastAsia"/>
          <w:sz w:val="32"/>
          <w:szCs w:val="32"/>
        </w:rPr>
        <w:t>、</w:t>
      </w:r>
      <w:r w:rsidRPr="006D1F98">
        <w:rPr>
          <w:rFonts w:hint="eastAsia"/>
          <w:sz w:val="32"/>
          <w:szCs w:val="32"/>
        </w:rPr>
        <w:t>BCRP</w:t>
      </w:r>
      <w:r w:rsidRPr="006D1F98">
        <w:rPr>
          <w:rFonts w:hint="eastAsia"/>
          <w:sz w:val="32"/>
          <w:szCs w:val="32"/>
        </w:rPr>
        <w:t>底物</w:t>
      </w:r>
      <w:r>
        <w:rPr>
          <w:rFonts w:hint="eastAsia"/>
          <w:sz w:val="32"/>
          <w:szCs w:val="32"/>
        </w:rPr>
        <w:t>以及</w:t>
      </w:r>
      <w:r>
        <w:rPr>
          <w:rFonts w:hint="eastAsia"/>
          <w:sz w:val="32"/>
          <w:szCs w:val="32"/>
        </w:rPr>
        <w:t>P-</w:t>
      </w:r>
      <w:proofErr w:type="spellStart"/>
      <w:r>
        <w:rPr>
          <w:rFonts w:hint="eastAsia"/>
          <w:sz w:val="32"/>
          <w:szCs w:val="32"/>
        </w:rPr>
        <w:t>gp</w:t>
      </w:r>
      <w:proofErr w:type="spellEnd"/>
      <w:r>
        <w:rPr>
          <w:rFonts w:hint="eastAsia"/>
          <w:sz w:val="32"/>
          <w:szCs w:val="32"/>
        </w:rPr>
        <w:t>底物</w:t>
      </w:r>
      <w:r w:rsidRPr="00136FBE">
        <w:rPr>
          <w:rFonts w:ascii="仿宋" w:eastAsia="仿宋" w:hAnsi="仿宋" w:cs="仿宋" w:hint="eastAsia"/>
          <w:sz w:val="32"/>
          <w:szCs w:val="32"/>
        </w:rPr>
        <w:t>联合使用。</w:t>
      </w:r>
    </w:p>
    <w:p w14:paraId="298979B1" w14:textId="77777777" w:rsidR="004B2B1D" w:rsidRPr="00136FBE" w:rsidRDefault="004B2B1D" w:rsidP="004B2B1D">
      <w:pPr>
        <w:spacing w:line="360" w:lineRule="auto"/>
        <w:ind w:firstLineChars="200" w:firstLine="640"/>
        <w:rPr>
          <w:rFonts w:ascii="黑体" w:eastAsia="黑体" w:hAnsi="黑体" w:cs="Times New Roman"/>
          <w:sz w:val="32"/>
          <w:szCs w:val="32"/>
          <w:lang w:val="fr-FR"/>
        </w:rPr>
      </w:pPr>
      <w:r w:rsidRPr="00136FBE">
        <w:rPr>
          <w:rFonts w:ascii="黑体" w:eastAsia="黑体" w:hAnsi="黑体" w:cs="黑体" w:hint="eastAsia"/>
          <w:sz w:val="32"/>
          <w:szCs w:val="32"/>
          <w:lang w:val="fr-FR"/>
        </w:rPr>
        <w:t>七、</w:t>
      </w:r>
      <w:r w:rsidRPr="00136FBE">
        <w:rPr>
          <w:rFonts w:ascii="黑体" w:eastAsia="黑体" w:hAnsi="黑体" w:cs="黑体" w:hint="eastAsia"/>
          <w:sz w:val="32"/>
          <w:szCs w:val="32"/>
        </w:rPr>
        <w:t xml:space="preserve">克唑替尼 </w:t>
      </w:r>
      <w:proofErr w:type="spellStart"/>
      <w:r w:rsidRPr="00136FBE">
        <w:rPr>
          <w:rFonts w:ascii="黑体" w:eastAsia="黑体" w:hAnsi="黑体" w:cs="黑体" w:hint="eastAsia"/>
          <w:sz w:val="32"/>
          <w:szCs w:val="32"/>
        </w:rPr>
        <w:t>C</w:t>
      </w:r>
      <w:r w:rsidRPr="00136FBE">
        <w:rPr>
          <w:rFonts w:ascii="黑体" w:eastAsia="黑体" w:hAnsi="黑体" w:cs="黑体"/>
          <w:sz w:val="32"/>
          <w:szCs w:val="32"/>
        </w:rPr>
        <w:t>rizotinib</w:t>
      </w:r>
      <w:proofErr w:type="spellEnd"/>
    </w:p>
    <w:p w14:paraId="1A0E49FA"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胶囊：</w:t>
      </w:r>
      <w:r w:rsidRPr="00136FBE">
        <w:rPr>
          <w:rFonts w:ascii="仿宋" w:eastAsia="仿宋" w:hAnsi="仿宋" w:cs="仿宋"/>
          <w:sz w:val="32"/>
          <w:szCs w:val="32"/>
        </w:rPr>
        <w:t>200mg</w:t>
      </w:r>
      <w:r w:rsidRPr="00136FBE">
        <w:rPr>
          <w:rFonts w:ascii="仿宋" w:eastAsia="仿宋" w:hAnsi="仿宋" w:cs="仿宋" w:hint="eastAsia"/>
          <w:sz w:val="32"/>
          <w:szCs w:val="32"/>
        </w:rPr>
        <w:t>、</w:t>
      </w:r>
      <w:r w:rsidRPr="00136FBE">
        <w:rPr>
          <w:rFonts w:ascii="仿宋" w:eastAsia="仿宋" w:hAnsi="仿宋" w:cs="仿宋"/>
          <w:sz w:val="32"/>
          <w:szCs w:val="32"/>
        </w:rPr>
        <w:t>250mg</w:t>
      </w:r>
    </w:p>
    <w:p w14:paraId="3138CB05"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6AD1586E"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间变性淋巴瘤激酶（ALK）阳性的局部晚期或转移性</w:t>
      </w:r>
      <w:r w:rsidRPr="00136FBE">
        <w:rPr>
          <w:rFonts w:ascii="仿宋" w:eastAsia="仿宋" w:hAnsi="仿宋" w:cs="仿宋"/>
          <w:sz w:val="32"/>
          <w:szCs w:val="32"/>
        </w:rPr>
        <w:t>NSCLC</w:t>
      </w:r>
      <w:r w:rsidRPr="00136FBE">
        <w:rPr>
          <w:rFonts w:ascii="仿宋" w:eastAsia="仿宋" w:hAnsi="仿宋" w:cs="仿宋" w:hint="eastAsia"/>
          <w:sz w:val="32"/>
          <w:szCs w:val="32"/>
        </w:rPr>
        <w:t>患者的治疗。</w:t>
      </w:r>
    </w:p>
    <w:p w14:paraId="7C3A5716"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2.ROS1</w:t>
      </w:r>
      <w:r w:rsidRPr="00136FBE">
        <w:rPr>
          <w:rFonts w:ascii="仿宋" w:eastAsia="仿宋" w:hAnsi="仿宋" w:cs="仿宋" w:hint="eastAsia"/>
          <w:sz w:val="32"/>
          <w:szCs w:val="32"/>
        </w:rPr>
        <w:t>阳性的晚期</w:t>
      </w:r>
      <w:r w:rsidRPr="00136FBE">
        <w:rPr>
          <w:rFonts w:ascii="仿宋" w:eastAsia="仿宋" w:hAnsi="仿宋" w:cs="仿宋"/>
          <w:sz w:val="32"/>
          <w:szCs w:val="32"/>
        </w:rPr>
        <w:t>NSCLC</w:t>
      </w:r>
      <w:r w:rsidRPr="00136FBE">
        <w:rPr>
          <w:rFonts w:ascii="仿宋" w:eastAsia="仿宋" w:hAnsi="仿宋" w:cs="仿宋" w:hint="eastAsia"/>
          <w:sz w:val="32"/>
          <w:szCs w:val="32"/>
        </w:rPr>
        <w:t>患者的治疗。</w:t>
      </w:r>
    </w:p>
    <w:p w14:paraId="652BF32E"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621D2638"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用药前必须明确有经国家药品监督管理局批准的</w:t>
      </w:r>
      <w:r w:rsidRPr="00136FBE">
        <w:rPr>
          <w:rFonts w:ascii="仿宋" w:eastAsia="仿宋" w:hAnsi="仿宋" w:cs="仿宋"/>
          <w:sz w:val="32"/>
          <w:szCs w:val="32"/>
        </w:rPr>
        <w:t>ROS1</w:t>
      </w:r>
      <w:r w:rsidRPr="00136FBE">
        <w:rPr>
          <w:rFonts w:ascii="仿宋" w:eastAsia="仿宋" w:hAnsi="仿宋" w:cs="仿宋" w:hint="eastAsia"/>
          <w:sz w:val="32"/>
          <w:szCs w:val="32"/>
        </w:rPr>
        <w:t>或ALK检测方法检测到的</w:t>
      </w:r>
      <w:r w:rsidRPr="00136FBE">
        <w:rPr>
          <w:rFonts w:ascii="仿宋" w:eastAsia="仿宋" w:hAnsi="仿宋" w:cs="仿宋"/>
          <w:sz w:val="32"/>
          <w:szCs w:val="32"/>
        </w:rPr>
        <w:t>ROS1</w:t>
      </w:r>
      <w:r w:rsidRPr="00136FBE">
        <w:rPr>
          <w:rFonts w:ascii="仿宋" w:eastAsia="仿宋" w:hAnsi="仿宋" w:cs="仿宋" w:hint="eastAsia"/>
          <w:sz w:val="32"/>
          <w:szCs w:val="32"/>
        </w:rPr>
        <w:t>阳性或者ALK阳性。</w:t>
      </w:r>
    </w:p>
    <w:p w14:paraId="13500B83"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用药期间必须注意常见的肝功能异常和视觉异常，在治疗开始的最初两个月应每周检测一次，之后每月检测一次患者的肝功能，肝损伤患者应谨慎使用克唑替尼进行治疗。</w:t>
      </w:r>
    </w:p>
    <w:p w14:paraId="00D659EA"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lastRenderedPageBreak/>
        <w:t>3.</w:t>
      </w:r>
      <w:r w:rsidRPr="00136FBE">
        <w:rPr>
          <w:rFonts w:ascii="仿宋" w:eastAsia="仿宋" w:hAnsi="仿宋" w:cs="仿宋" w:hint="eastAsia"/>
          <w:sz w:val="32"/>
          <w:szCs w:val="32"/>
        </w:rPr>
        <w:t>如果出现</w:t>
      </w:r>
      <w:r w:rsidRPr="00136FBE">
        <w:rPr>
          <w:rFonts w:ascii="仿宋" w:eastAsia="仿宋" w:hAnsi="仿宋" w:cs="仿宋"/>
          <w:sz w:val="32"/>
          <w:szCs w:val="32"/>
        </w:rPr>
        <w:t>CTCAE</w:t>
      </w:r>
      <w:r w:rsidRPr="00136FBE">
        <w:rPr>
          <w:rFonts w:ascii="仿宋" w:eastAsia="仿宋" w:hAnsi="仿宋" w:cs="仿宋" w:hint="eastAsia"/>
          <w:sz w:val="32"/>
          <w:szCs w:val="32"/>
        </w:rPr>
        <w:t>（</w:t>
      </w:r>
      <w:r>
        <w:rPr>
          <w:rFonts w:ascii="仿宋" w:eastAsia="仿宋" w:hAnsi="仿宋" w:cs="仿宋" w:hint="eastAsia"/>
          <w:sz w:val="32"/>
          <w:szCs w:val="32"/>
        </w:rPr>
        <w:t>5</w:t>
      </w:r>
      <w:r w:rsidRPr="00136FBE">
        <w:rPr>
          <w:rFonts w:ascii="仿宋" w:eastAsia="仿宋" w:hAnsi="仿宋" w:cs="仿宋"/>
          <w:sz w:val="32"/>
          <w:szCs w:val="32"/>
        </w:rPr>
        <w:t>.0</w:t>
      </w:r>
      <w:r w:rsidRPr="00136FBE">
        <w:rPr>
          <w:rFonts w:ascii="仿宋" w:eastAsia="仿宋" w:hAnsi="仿宋" w:cs="仿宋" w:hint="eastAsia"/>
          <w:sz w:val="32"/>
          <w:szCs w:val="32"/>
        </w:rPr>
        <w:t>版）</w:t>
      </w:r>
      <w:r w:rsidRPr="00136FBE">
        <w:rPr>
          <w:rFonts w:ascii="仿宋" w:eastAsia="仿宋" w:hAnsi="仿宋" w:cs="仿宋"/>
          <w:sz w:val="32"/>
          <w:szCs w:val="32"/>
        </w:rPr>
        <w:t>3</w:t>
      </w:r>
      <w:r w:rsidRPr="00136FBE">
        <w:rPr>
          <w:rFonts w:ascii="仿宋" w:eastAsia="仿宋" w:hAnsi="仿宋" w:cs="仿宋" w:hint="eastAsia"/>
          <w:sz w:val="32"/>
          <w:szCs w:val="32"/>
        </w:rPr>
        <w:t>级或</w:t>
      </w:r>
      <w:r w:rsidRPr="00136FBE">
        <w:rPr>
          <w:rFonts w:ascii="仿宋" w:eastAsia="仿宋" w:hAnsi="仿宋" w:cs="仿宋"/>
          <w:sz w:val="32"/>
          <w:szCs w:val="32"/>
        </w:rPr>
        <w:t>4</w:t>
      </w:r>
      <w:r w:rsidRPr="00136FBE">
        <w:rPr>
          <w:rFonts w:ascii="仿宋" w:eastAsia="仿宋" w:hAnsi="仿宋" w:cs="仿宋" w:hint="eastAsia"/>
          <w:sz w:val="32"/>
          <w:szCs w:val="32"/>
        </w:rPr>
        <w:t>级的不良事件，需按以下方法减少剂量：（</w:t>
      </w:r>
      <w:r w:rsidRPr="00136FBE">
        <w:rPr>
          <w:rFonts w:ascii="仿宋" w:eastAsia="仿宋" w:hAnsi="仿宋" w:cs="仿宋"/>
          <w:sz w:val="32"/>
          <w:szCs w:val="32"/>
        </w:rPr>
        <w:t>1</w:t>
      </w:r>
      <w:r w:rsidRPr="00136FBE">
        <w:rPr>
          <w:rFonts w:ascii="仿宋" w:eastAsia="仿宋" w:hAnsi="仿宋" w:cs="仿宋" w:hint="eastAsia"/>
          <w:sz w:val="32"/>
          <w:szCs w:val="32"/>
        </w:rPr>
        <w:t>）第一次减少剂量：口服，</w:t>
      </w:r>
      <w:r w:rsidRPr="00136FBE">
        <w:rPr>
          <w:rFonts w:ascii="仿宋" w:eastAsia="仿宋" w:hAnsi="仿宋" w:cs="仿宋"/>
          <w:sz w:val="32"/>
          <w:szCs w:val="32"/>
        </w:rPr>
        <w:t>200mg</w:t>
      </w:r>
      <w:r w:rsidRPr="00136FBE">
        <w:rPr>
          <w:rFonts w:ascii="仿宋" w:eastAsia="仿宋" w:hAnsi="仿宋" w:cs="仿宋" w:hint="eastAsia"/>
          <w:sz w:val="32"/>
          <w:szCs w:val="32"/>
        </w:rPr>
        <w:t>，每日两次。（</w:t>
      </w:r>
      <w:r w:rsidRPr="00136FBE">
        <w:rPr>
          <w:rFonts w:ascii="仿宋" w:eastAsia="仿宋" w:hAnsi="仿宋" w:cs="仿宋"/>
          <w:sz w:val="32"/>
          <w:szCs w:val="32"/>
        </w:rPr>
        <w:t>2</w:t>
      </w:r>
      <w:r w:rsidRPr="00136FBE">
        <w:rPr>
          <w:rFonts w:ascii="仿宋" w:eastAsia="仿宋" w:hAnsi="仿宋" w:cs="仿宋" w:hint="eastAsia"/>
          <w:sz w:val="32"/>
          <w:szCs w:val="32"/>
        </w:rPr>
        <w:t>）第二次减少剂量：口服，</w:t>
      </w:r>
      <w:r w:rsidRPr="00136FBE">
        <w:rPr>
          <w:rFonts w:ascii="仿宋" w:eastAsia="仿宋" w:hAnsi="仿宋" w:cs="仿宋"/>
          <w:sz w:val="32"/>
          <w:szCs w:val="32"/>
        </w:rPr>
        <w:t>250mg</w:t>
      </w:r>
      <w:r w:rsidRPr="00136FBE">
        <w:rPr>
          <w:rFonts w:ascii="仿宋" w:eastAsia="仿宋" w:hAnsi="仿宋" w:cs="仿宋" w:hint="eastAsia"/>
          <w:sz w:val="32"/>
          <w:szCs w:val="32"/>
        </w:rPr>
        <w:t>，每日一次；如果每日一次口服</w:t>
      </w:r>
      <w:r w:rsidRPr="00136FBE">
        <w:rPr>
          <w:rFonts w:ascii="仿宋" w:eastAsia="仿宋" w:hAnsi="仿宋" w:cs="仿宋"/>
          <w:sz w:val="32"/>
          <w:szCs w:val="32"/>
        </w:rPr>
        <w:t>250mg</w:t>
      </w:r>
      <w:r w:rsidRPr="00136FBE">
        <w:rPr>
          <w:rFonts w:ascii="仿宋" w:eastAsia="仿宋" w:hAnsi="仿宋" w:cs="仿宋" w:hint="eastAsia"/>
          <w:sz w:val="32"/>
          <w:szCs w:val="32"/>
        </w:rPr>
        <w:t>克唑替尼胶囊仍无法耐受，则永久停服。</w:t>
      </w:r>
    </w:p>
    <w:p w14:paraId="3A4417C3"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25F31">
        <w:rPr>
          <w:rFonts w:ascii="仿宋" w:eastAsia="仿宋" w:hAnsi="仿宋" w:cs="仿宋" w:hint="eastAsia"/>
          <w:sz w:val="32"/>
          <w:szCs w:val="32"/>
        </w:rPr>
        <w:t>应避免合并使用CYP3A强抑制剂</w:t>
      </w:r>
      <w:r>
        <w:rPr>
          <w:rFonts w:ascii="仿宋" w:eastAsia="仿宋" w:hAnsi="仿宋" w:cs="仿宋" w:hint="eastAsia"/>
          <w:sz w:val="32"/>
          <w:szCs w:val="32"/>
        </w:rPr>
        <w:t>或</w:t>
      </w:r>
      <w:r w:rsidRPr="00125F31">
        <w:rPr>
          <w:rFonts w:ascii="仿宋" w:eastAsia="仿宋" w:hAnsi="仿宋" w:cs="仿宋" w:hint="eastAsia"/>
          <w:sz w:val="32"/>
          <w:szCs w:val="32"/>
        </w:rPr>
        <w:t>CYP3A强诱导剂，如果无法避免合并使用CYP3A强抑制剂，应减少克唑替尼的剂量</w:t>
      </w:r>
      <w:r>
        <w:rPr>
          <w:rFonts w:ascii="仿宋" w:eastAsia="仿宋" w:hAnsi="仿宋" w:cs="仿宋" w:hint="eastAsia"/>
          <w:sz w:val="32"/>
          <w:szCs w:val="32"/>
        </w:rPr>
        <w:t>。</w:t>
      </w:r>
      <w:r w:rsidRPr="00125F31">
        <w:rPr>
          <w:rFonts w:ascii="仿宋" w:eastAsia="仿宋" w:hAnsi="仿宋" w:cs="仿宋" w:hint="eastAsia"/>
          <w:sz w:val="32"/>
          <w:szCs w:val="32"/>
        </w:rPr>
        <w:t>应谨慎与中度CYP3A抑制剂合并用药。</w:t>
      </w:r>
    </w:p>
    <w:p w14:paraId="61505EB1" w14:textId="77777777" w:rsidR="004B2B1D" w:rsidRPr="00136FBE" w:rsidRDefault="004B2B1D" w:rsidP="004B2B1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sz w:val="32"/>
          <w:szCs w:val="32"/>
        </w:rPr>
        <w:t>5.</w:t>
      </w:r>
      <w:r w:rsidRPr="00136FBE">
        <w:rPr>
          <w:rFonts w:ascii="仿宋" w:eastAsia="仿宋" w:hAnsi="仿宋" w:cs="仿宋" w:hint="eastAsia"/>
          <w:sz w:val="32"/>
          <w:szCs w:val="32"/>
        </w:rPr>
        <w:t>用于</w:t>
      </w:r>
      <w:r w:rsidRPr="00136FBE">
        <w:rPr>
          <w:rFonts w:ascii="仿宋" w:eastAsia="仿宋" w:hAnsi="仿宋" w:cs="仿宋"/>
          <w:sz w:val="32"/>
          <w:szCs w:val="32"/>
        </w:rPr>
        <w:t>cMET14</w:t>
      </w:r>
      <w:r w:rsidRPr="00136FBE">
        <w:rPr>
          <w:rFonts w:ascii="仿宋" w:eastAsia="仿宋" w:hAnsi="仿宋" w:cs="仿宋" w:hint="eastAsia"/>
          <w:sz w:val="32"/>
          <w:szCs w:val="32"/>
        </w:rPr>
        <w:t>外显子跳跃突变的晚期</w:t>
      </w:r>
      <w:r w:rsidRPr="00136FBE">
        <w:rPr>
          <w:rFonts w:ascii="仿宋" w:eastAsia="仿宋" w:hAnsi="仿宋" w:cs="仿宋"/>
          <w:sz w:val="32"/>
          <w:szCs w:val="32"/>
        </w:rPr>
        <w:t>NSCLC</w:t>
      </w:r>
      <w:r w:rsidRPr="00136FBE">
        <w:rPr>
          <w:rFonts w:ascii="仿宋" w:eastAsia="仿宋" w:hAnsi="仿宋" w:cs="仿宋" w:hint="eastAsia"/>
          <w:sz w:val="32"/>
          <w:szCs w:val="32"/>
        </w:rPr>
        <w:t>患者。</w:t>
      </w:r>
    </w:p>
    <w:p w14:paraId="634DA336" w14:textId="77777777" w:rsidR="004B2B1D" w:rsidRPr="00136FBE" w:rsidRDefault="004B2B1D" w:rsidP="004B2B1D">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 xml:space="preserve">八、阿来替尼 </w:t>
      </w:r>
      <w:proofErr w:type="spellStart"/>
      <w:r w:rsidRPr="00136FBE">
        <w:rPr>
          <w:rFonts w:ascii="黑体" w:eastAsia="黑体" w:hAnsi="黑体" w:hint="eastAsia"/>
          <w:color w:val="000000"/>
          <w:sz w:val="32"/>
          <w:szCs w:val="32"/>
        </w:rPr>
        <w:t>A</w:t>
      </w:r>
      <w:r w:rsidRPr="00136FBE">
        <w:rPr>
          <w:rFonts w:ascii="黑体" w:eastAsia="黑体" w:hAnsi="黑体"/>
          <w:color w:val="000000"/>
          <w:sz w:val="32"/>
          <w:szCs w:val="32"/>
        </w:rPr>
        <w:t>lectinib</w:t>
      </w:r>
      <w:proofErr w:type="spellEnd"/>
    </w:p>
    <w:p w14:paraId="347B3293" w14:textId="77777777" w:rsidR="004B2B1D" w:rsidRPr="00136FBE" w:rsidRDefault="004B2B1D" w:rsidP="004B2B1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胶囊：150mg</w:t>
      </w:r>
    </w:p>
    <w:p w14:paraId="754FF0B7" w14:textId="77777777" w:rsidR="004B2B1D" w:rsidRPr="00136FBE" w:rsidRDefault="004B2B1D" w:rsidP="004B2B1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ALK阳性的局部晚期或转移性NSCLC患者的治疗。</w:t>
      </w:r>
    </w:p>
    <w:p w14:paraId="16D288FB" w14:textId="77777777" w:rsidR="004B2B1D" w:rsidRPr="00136FBE" w:rsidRDefault="004B2B1D" w:rsidP="004B2B1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25DDB943"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1.患者用药前必须获得经国家药品监督管理局批准的检测方法证实的ALK阳性结果。</w:t>
      </w:r>
    </w:p>
    <w:p w14:paraId="4618FC08"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2.建议患者接受本药物治疗直到疾病进展或出现无法耐受的毒性。</w:t>
      </w:r>
    </w:p>
    <w:p w14:paraId="47899DB1"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3.推荐剂量为600mg，每日两次</w:t>
      </w:r>
      <w:r w:rsidRPr="00136FBE">
        <w:rPr>
          <w:rFonts w:ascii="仿宋" w:eastAsia="仿宋" w:hAnsi="仿宋" w:hint="eastAsia"/>
          <w:color w:val="000000"/>
          <w:sz w:val="32"/>
          <w:szCs w:val="32"/>
        </w:rPr>
        <w:t>，</w:t>
      </w:r>
      <w:r w:rsidRPr="00136FBE">
        <w:rPr>
          <w:rFonts w:ascii="仿宋" w:eastAsia="仿宋" w:hAnsi="仿宋"/>
          <w:color w:val="000000"/>
          <w:sz w:val="32"/>
          <w:szCs w:val="32"/>
        </w:rPr>
        <w:t>随餐口服。如出现不良事件，应根据患者耐受性，以每次减量150mg的方式逐步降低本品的剂量：（1）首次减量：450mg，每日两次。（2）第二次减量：300mg，每日两次；如果患者不能耐受300mg</w:t>
      </w:r>
      <w:r w:rsidRPr="00136FBE">
        <w:rPr>
          <w:rFonts w:ascii="仿宋" w:eastAsia="仿宋" w:hAnsi="仿宋"/>
          <w:color w:val="000000"/>
          <w:sz w:val="32"/>
          <w:szCs w:val="32"/>
        </w:rPr>
        <w:lastRenderedPageBreak/>
        <w:t>每日两次的给药剂量，应该永久停用。</w:t>
      </w:r>
    </w:p>
    <w:p w14:paraId="05736087"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4</w:t>
      </w:r>
      <w:r w:rsidRPr="00136FBE">
        <w:rPr>
          <w:rFonts w:ascii="仿宋" w:eastAsia="仿宋" w:hAnsi="仿宋" w:hint="eastAsia"/>
          <w:color w:val="000000"/>
          <w:sz w:val="32"/>
          <w:szCs w:val="32"/>
        </w:rPr>
        <w:t>.基线时应监测肝功能，包括ALT、AST和总胆红素，在最初治疗的3个月内每两周监测一次，之后定期进行监测。</w:t>
      </w:r>
    </w:p>
    <w:p w14:paraId="364ACAA0"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5</w:t>
      </w:r>
      <w:r w:rsidRPr="00136FBE">
        <w:rPr>
          <w:rFonts w:ascii="仿宋" w:eastAsia="仿宋" w:hAnsi="仿宋" w:hint="eastAsia"/>
          <w:color w:val="000000"/>
          <w:sz w:val="32"/>
          <w:szCs w:val="32"/>
        </w:rPr>
        <w:t>.建议患者报告任何原因不明的肌痛、触痛或虚弱，评估肌酸磷酸激酶（CPK）水平，在第一个月治疗期间每两周评估一次，随后在临床上根据患者报告的症状按需进行评估。</w:t>
      </w:r>
    </w:p>
    <w:p w14:paraId="6E4C1CB6"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6</w:t>
      </w:r>
      <w:r w:rsidRPr="00136FBE">
        <w:rPr>
          <w:rFonts w:ascii="仿宋" w:eastAsia="仿宋" w:hAnsi="仿宋" w:hint="eastAsia"/>
          <w:color w:val="000000"/>
          <w:sz w:val="32"/>
          <w:szCs w:val="32"/>
        </w:rPr>
        <w:t>.确诊患有间质性肺病/非感染性肺炎的患者应立即中断本品治疗，如果没有发现其他间质性肺病/非感染性肺炎的潜在病因，则应永久停药。</w:t>
      </w:r>
    </w:p>
    <w:p w14:paraId="78F661FB"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7</w:t>
      </w:r>
      <w:r w:rsidRPr="00136FBE">
        <w:rPr>
          <w:rFonts w:ascii="仿宋" w:eastAsia="仿宋" w:hAnsi="仿宋" w:hint="eastAsia"/>
          <w:color w:val="000000"/>
          <w:sz w:val="32"/>
          <w:szCs w:val="32"/>
        </w:rPr>
        <w:t>.在服用阿来替尼时及治疗停止后至少7天内，应建议患者避免长时间阳光暴晒。此外，应建议患者使用防紫外线A（UVA）/紫外线B（UVB）的广谱防晒霜和润唇膏（SPF≥50），防止可能的晒伤。</w:t>
      </w:r>
    </w:p>
    <w:p w14:paraId="1F19E1BB"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应根据临床指征监测心率和血压。如果发生无症状心动过缓，则无需调整剂量；如果患者发生症状性心动过缓或危及生命的事件，应对合并用药中已知引发心动过缓的药物（如降压药）进行评估，并依据说明书调整剂量。</w:t>
      </w:r>
    </w:p>
    <w:p w14:paraId="3EF58D0A" w14:textId="77777777" w:rsidR="004B2B1D" w:rsidRPr="00136FBE" w:rsidRDefault="004B2B1D" w:rsidP="004B2B1D">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 xml:space="preserve">九、塞瑞替尼 </w:t>
      </w:r>
      <w:proofErr w:type="spellStart"/>
      <w:r w:rsidRPr="00136FBE">
        <w:rPr>
          <w:rFonts w:ascii="黑体" w:eastAsia="黑体" w:hAnsi="黑体" w:hint="eastAsia"/>
          <w:color w:val="000000"/>
          <w:sz w:val="32"/>
          <w:szCs w:val="32"/>
        </w:rPr>
        <w:t>Ceritinib</w:t>
      </w:r>
      <w:proofErr w:type="spellEnd"/>
    </w:p>
    <w:p w14:paraId="6D3084C2"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 xml:space="preserve">胶囊：150mg </w:t>
      </w:r>
    </w:p>
    <w:p w14:paraId="7961F54B"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 xml:space="preserve"> ALK阳性的局部晚期或转移性NSCLC患者的治疗。</w:t>
      </w:r>
    </w:p>
    <w:p w14:paraId="3E0C30F6"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74BF2ACD"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1.用药前必须明确有经国家药品监督管理局批准的间变性淋巴瘤激酶检测方法检测到的ALK阳性。</w:t>
      </w:r>
    </w:p>
    <w:p w14:paraId="64D9E7B7"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本品的推荐剂量为每日一次，每次450mg，每天在同一时间口服给药，药物应与食物同时服用。根据患者个体的安全性或耐受性，在治疗过程中可能需要暂时中断使用本品或下调剂量，应以150mg的下调幅度逐渐减少本品的日剂量。应注意早期识别药物不良反应并及早给予标准的支持性治疗措施。对于无法耐受每日随餐服用150mg剂量的患者，应停用本品。</w:t>
      </w:r>
    </w:p>
    <w:p w14:paraId="169B5164"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3.用药期间须注意胃肠道不良反应、肝毒性、间质性肺炎/非感染性肺炎、心律失常、高血糖等不良反应。</w:t>
      </w:r>
    </w:p>
    <w:p w14:paraId="5F8E311C"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4.本品治疗期间应避免联合使用强效CYP3A抑制剂。如果必须同时使用强效CYP3A抑制剂，则应将塞瑞替尼的剂量减少约三分之一，取整至最接近的150mg整数倍剂量。</w:t>
      </w:r>
    </w:p>
    <w:p w14:paraId="6CFED975"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5.如果本品与P-</w:t>
      </w:r>
      <w:proofErr w:type="spellStart"/>
      <w:r w:rsidRPr="00136FBE">
        <w:rPr>
          <w:rFonts w:ascii="仿宋" w:eastAsia="仿宋" w:hAnsi="仿宋" w:hint="eastAsia"/>
          <w:color w:val="000000"/>
          <w:sz w:val="32"/>
          <w:szCs w:val="32"/>
        </w:rPr>
        <w:t>gp</w:t>
      </w:r>
      <w:proofErr w:type="spellEnd"/>
      <w:r w:rsidRPr="00136FBE">
        <w:rPr>
          <w:rFonts w:ascii="仿宋" w:eastAsia="仿宋" w:hAnsi="仿宋" w:hint="eastAsia"/>
          <w:color w:val="000000"/>
          <w:sz w:val="32"/>
          <w:szCs w:val="32"/>
        </w:rPr>
        <w:t>抑制剂联合使用，可能导致本品浓度升高，注意监测不良反应。</w:t>
      </w:r>
    </w:p>
    <w:p w14:paraId="07E958FD"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vertAlign w:val="superscript"/>
        </w:rPr>
        <w:t>※</w:t>
      </w:r>
      <w:r w:rsidRPr="00136FBE">
        <w:rPr>
          <w:rFonts w:ascii="仿宋" w:eastAsia="仿宋" w:hAnsi="仿宋" w:hint="eastAsia"/>
          <w:color w:val="000000"/>
          <w:sz w:val="32"/>
          <w:szCs w:val="32"/>
        </w:rPr>
        <w:t>6.基于一项发表于JCO的Ⅱ期临床研究，在经化疗治疗后的ROS1重排的NSCLC患者可选择塞瑞替尼进行治疗。</w:t>
      </w:r>
    </w:p>
    <w:p w14:paraId="1E07A293"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十</w:t>
      </w:r>
      <w:r w:rsidRPr="00136FBE">
        <w:rPr>
          <w:rFonts w:ascii="仿宋" w:eastAsia="仿宋" w:hAnsi="仿宋" w:hint="eastAsia"/>
          <w:color w:val="000000"/>
          <w:sz w:val="32"/>
          <w:szCs w:val="32"/>
        </w:rPr>
        <w:t>、</w:t>
      </w:r>
      <w:r w:rsidRPr="00136FBE">
        <w:rPr>
          <w:rFonts w:ascii="黑体" w:eastAsia="黑体" w:hAnsi="黑体" w:hint="eastAsia"/>
          <w:color w:val="000000"/>
          <w:sz w:val="32"/>
          <w:szCs w:val="32"/>
        </w:rPr>
        <w:t xml:space="preserve">阿美替尼 </w:t>
      </w:r>
      <w:proofErr w:type="spellStart"/>
      <w:r w:rsidRPr="00136FBE">
        <w:rPr>
          <w:rFonts w:ascii="黑体" w:eastAsia="黑体" w:hAnsi="黑体" w:hint="eastAsia"/>
          <w:color w:val="000000"/>
          <w:sz w:val="32"/>
          <w:szCs w:val="32"/>
        </w:rPr>
        <w:t>Almonertinib</w:t>
      </w:r>
      <w:proofErr w:type="spellEnd"/>
    </w:p>
    <w:p w14:paraId="25F4B1E1"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片剂：55mg</w:t>
      </w:r>
    </w:p>
    <w:p w14:paraId="3758BB5D"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既往经EGFR-TKI治疗时或治疗后出现疾病进展，并且经检测确认存在EGFR-T790M突变阳性的局部晚期</w:t>
      </w:r>
      <w:r w:rsidRPr="00136FBE">
        <w:rPr>
          <w:rFonts w:ascii="仿宋" w:eastAsia="仿宋" w:hAnsi="仿宋" w:hint="eastAsia"/>
          <w:color w:val="000000"/>
          <w:sz w:val="32"/>
          <w:szCs w:val="32"/>
        </w:rPr>
        <w:lastRenderedPageBreak/>
        <w:t>或转移性NSCLC成人患者的治疗。</w:t>
      </w:r>
    </w:p>
    <w:p w14:paraId="6218A238"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66142A77"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1.阿美替尼推荐剂量为110mg，每天一次口服，空腹或餐后服用均可</w:t>
      </w:r>
      <w:r>
        <w:rPr>
          <w:rFonts w:ascii="仿宋" w:eastAsia="仿宋" w:hAnsi="仿宋" w:hint="eastAsia"/>
          <w:color w:val="000000"/>
          <w:sz w:val="32"/>
          <w:szCs w:val="32"/>
        </w:rPr>
        <w:t>，整片吞服，不要咀嚼或压碎</w:t>
      </w:r>
      <w:r w:rsidRPr="00136FBE">
        <w:rPr>
          <w:rFonts w:ascii="仿宋" w:eastAsia="仿宋" w:hAnsi="仿宋" w:hint="eastAsia"/>
          <w:color w:val="000000"/>
          <w:sz w:val="32"/>
          <w:szCs w:val="32"/>
        </w:rPr>
        <w:t>。对于无法整片吞咽药物和需经鼻胃管喂饲的患者，可将药片直接溶于不含碳酸盐的饮用水中完全分散后服用。</w:t>
      </w:r>
    </w:p>
    <w:p w14:paraId="2EADF531"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2.用药前必须明确有经国家药品监督管理局批准的检测方法检测到EGFR-T790M突变。肿瘤组织和血液均可用于EGFR突变检测，组织检测优先。</w:t>
      </w:r>
    </w:p>
    <w:p w14:paraId="62A42A19"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3.阿美替尼常见不良反应为皮疹（18%）、血肌酸磷酸激酶升高（17%）和瘙痒（12.7%）等，腹泻的发生率相对较低（6.7%）。推荐剂量下迄今无间质性肺炎的发生，但仍需在服药期间注意。</w:t>
      </w:r>
    </w:p>
    <w:p w14:paraId="4EEFDDFE"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4.避免与CYP3A4强诱导剂和强抑制剂联合使用</w:t>
      </w:r>
      <w:r>
        <w:rPr>
          <w:rFonts w:ascii="仿宋" w:eastAsia="仿宋" w:hAnsi="仿宋" w:hint="eastAsia"/>
          <w:color w:val="000000"/>
          <w:sz w:val="32"/>
          <w:szCs w:val="32"/>
        </w:rPr>
        <w:t>，</w:t>
      </w:r>
      <w:r w:rsidRPr="00801DE5">
        <w:rPr>
          <w:rFonts w:ascii="仿宋" w:eastAsia="仿宋" w:hAnsi="仿宋" w:hint="eastAsia"/>
          <w:color w:val="000000"/>
          <w:sz w:val="32"/>
          <w:szCs w:val="32"/>
        </w:rPr>
        <w:t>应慎用为</w:t>
      </w:r>
      <w:r>
        <w:rPr>
          <w:rFonts w:ascii="仿宋" w:eastAsia="仿宋" w:hAnsi="仿宋" w:hint="eastAsia"/>
          <w:color w:val="000000"/>
          <w:sz w:val="32"/>
          <w:szCs w:val="32"/>
        </w:rPr>
        <w:t>BCRP</w:t>
      </w:r>
      <w:r w:rsidRPr="00801DE5">
        <w:rPr>
          <w:rFonts w:ascii="仿宋" w:eastAsia="仿宋" w:hAnsi="仿宋" w:hint="eastAsia"/>
          <w:color w:val="000000"/>
          <w:sz w:val="32"/>
          <w:szCs w:val="32"/>
        </w:rPr>
        <w:t>和</w:t>
      </w:r>
      <w:r>
        <w:rPr>
          <w:rFonts w:ascii="仿宋" w:eastAsia="仿宋" w:hAnsi="仿宋" w:hint="eastAsia"/>
          <w:color w:val="000000"/>
          <w:sz w:val="32"/>
          <w:szCs w:val="32"/>
        </w:rPr>
        <w:t>P-</w:t>
      </w:r>
      <w:proofErr w:type="spellStart"/>
      <w:r>
        <w:rPr>
          <w:rFonts w:ascii="仿宋" w:eastAsia="仿宋" w:hAnsi="仿宋" w:hint="eastAsia"/>
          <w:color w:val="000000"/>
          <w:sz w:val="32"/>
          <w:szCs w:val="32"/>
        </w:rPr>
        <w:t>gp</w:t>
      </w:r>
      <w:proofErr w:type="spellEnd"/>
      <w:r w:rsidRPr="00801DE5">
        <w:rPr>
          <w:rFonts w:ascii="仿宋" w:eastAsia="仿宋" w:hAnsi="仿宋" w:hint="eastAsia"/>
          <w:color w:val="000000"/>
          <w:sz w:val="32"/>
          <w:szCs w:val="32"/>
        </w:rPr>
        <w:t>敏感底物的窄治疗窗药物</w:t>
      </w:r>
      <w:r w:rsidRPr="00136FBE">
        <w:rPr>
          <w:rFonts w:ascii="仿宋" w:eastAsia="仿宋" w:hAnsi="仿宋" w:hint="eastAsia"/>
          <w:color w:val="000000"/>
          <w:sz w:val="32"/>
          <w:szCs w:val="32"/>
        </w:rPr>
        <w:t>。避免与升高血肌酸磷酸激酶的药物（如他汀类药物）联合使用。</w:t>
      </w:r>
    </w:p>
    <w:p w14:paraId="63243C1A" w14:textId="77777777" w:rsidR="004B2B1D" w:rsidRPr="00136FBE" w:rsidRDefault="004B2B1D" w:rsidP="004B2B1D">
      <w:pPr>
        <w:spacing w:line="360" w:lineRule="auto"/>
        <w:ind w:firstLineChars="200" w:firstLine="640"/>
        <w:rPr>
          <w:rFonts w:ascii="黑体" w:eastAsia="黑体" w:hAnsi="黑体"/>
          <w:color w:val="000000"/>
          <w:sz w:val="32"/>
          <w:szCs w:val="32"/>
        </w:rPr>
      </w:pPr>
      <w:r w:rsidRPr="00136FBE">
        <w:rPr>
          <w:rFonts w:ascii="黑体" w:eastAsia="黑体" w:hAnsi="黑体" w:hint="eastAsia"/>
          <w:sz w:val="32"/>
          <w:szCs w:val="32"/>
          <w:lang w:val="en-GB"/>
        </w:rPr>
        <w:t>十一、</w:t>
      </w:r>
      <w:r w:rsidRPr="00136FBE">
        <w:rPr>
          <w:rFonts w:ascii="黑体" w:eastAsia="黑体" w:hAnsi="黑体" w:hint="eastAsia"/>
          <w:color w:val="000000"/>
          <w:sz w:val="32"/>
          <w:szCs w:val="32"/>
        </w:rPr>
        <w:t>贝伐珠单抗 B</w:t>
      </w:r>
      <w:r w:rsidRPr="00136FBE">
        <w:rPr>
          <w:rFonts w:ascii="黑体" w:eastAsia="黑体" w:hAnsi="黑体"/>
          <w:color w:val="000000"/>
          <w:sz w:val="32"/>
          <w:szCs w:val="32"/>
        </w:rPr>
        <w:t>evacizumab</w:t>
      </w:r>
    </w:p>
    <w:p w14:paraId="0022A1B1"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sz w:val="32"/>
          <w:szCs w:val="32"/>
        </w:rPr>
        <w:t>制剂与规格：</w:t>
      </w:r>
      <w:r w:rsidRPr="00136FBE">
        <w:rPr>
          <w:rFonts w:ascii="仿宋" w:eastAsia="仿宋" w:hAnsi="仿宋" w:hint="eastAsia"/>
          <w:sz w:val="32"/>
          <w:szCs w:val="32"/>
        </w:rPr>
        <w:t>注射液：100mg（4ml）/瓶</w:t>
      </w:r>
    </w:p>
    <w:p w14:paraId="4BA1BA86"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贝伐珠单抗联合以铂类为基础的化疗用于不可切除的晚期、转移性或复发性非鳞状细胞NSCLC患者的一线治疗。</w:t>
      </w:r>
    </w:p>
    <w:p w14:paraId="167D7B81"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66F7B70A"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1.贝伐珠单抗不适用于晚期肺鳞状细胞癌的治疗。</w:t>
      </w:r>
    </w:p>
    <w:p w14:paraId="4835D6CB"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2.有严重出血或者近期曾有咯血、肿瘤侵犯大血管的患者不应接受贝伐珠单抗治疗。</w:t>
      </w:r>
    </w:p>
    <w:p w14:paraId="547E139E"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3.贝伐珠单抗联合以铂类为基础的化疗最多6个周期，随后给予贝伐珠单抗单药</w:t>
      </w:r>
      <w:r>
        <w:rPr>
          <w:rFonts w:ascii="仿宋" w:eastAsia="仿宋" w:hAnsi="仿宋" w:hint="eastAsia"/>
          <w:color w:val="000000"/>
          <w:sz w:val="32"/>
          <w:szCs w:val="32"/>
        </w:rPr>
        <w:t>维持</w:t>
      </w:r>
      <w:r w:rsidRPr="00136FBE">
        <w:rPr>
          <w:rFonts w:ascii="仿宋" w:eastAsia="仿宋" w:hAnsi="仿宋" w:hint="eastAsia"/>
          <w:color w:val="000000"/>
          <w:sz w:val="32"/>
          <w:szCs w:val="32"/>
        </w:rPr>
        <w:t>治疗</w:t>
      </w:r>
      <w:r>
        <w:rPr>
          <w:rFonts w:ascii="仿宋" w:eastAsia="仿宋" w:hAnsi="仿宋" w:hint="eastAsia"/>
          <w:color w:val="000000"/>
          <w:sz w:val="32"/>
          <w:szCs w:val="32"/>
        </w:rPr>
        <w:t>或与可用于维持治疗的化疗药物如培美曲塞联合维持治疗</w:t>
      </w:r>
      <w:r w:rsidRPr="00136FBE">
        <w:rPr>
          <w:rFonts w:ascii="仿宋" w:eastAsia="仿宋" w:hAnsi="仿宋" w:hint="eastAsia"/>
          <w:color w:val="000000"/>
          <w:sz w:val="32"/>
          <w:szCs w:val="32"/>
        </w:rPr>
        <w:t>，直至疾病进展或出现不可耐受的毒性。</w:t>
      </w:r>
    </w:p>
    <w:p w14:paraId="03C3877E"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4.贝伐珠单抗推荐剂量为15mg/kg，每3周给药一次。也可以使用7.5mg/kg，每3周给药一次。</w:t>
      </w:r>
    </w:p>
    <w:p w14:paraId="7F31A03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5.出现以下情况，停止使用贝伐珠单抗：</w:t>
      </w:r>
      <w:r w:rsidRPr="00136FBE">
        <w:rPr>
          <w:rFonts w:ascii="仿宋" w:eastAsia="仿宋" w:hAnsi="仿宋" w:cs="宋体" w:hint="eastAsia"/>
          <w:color w:val="000000"/>
          <w:sz w:val="32"/>
          <w:szCs w:val="32"/>
        </w:rPr>
        <w:t>（1）</w:t>
      </w:r>
      <w:r w:rsidRPr="00136FBE">
        <w:rPr>
          <w:rFonts w:ascii="仿宋" w:eastAsia="仿宋" w:hAnsi="仿宋" w:hint="eastAsia"/>
          <w:color w:val="000000"/>
          <w:sz w:val="32"/>
          <w:szCs w:val="32"/>
        </w:rPr>
        <w:t>严重胃肠道不良反应（胃肠道穿孔、胃肠道瘘形成、腹腔脓肿），内脏瘘形成。</w:t>
      </w:r>
      <w:r w:rsidRPr="00136FBE">
        <w:rPr>
          <w:rFonts w:ascii="仿宋" w:eastAsia="仿宋" w:hAnsi="仿宋" w:cs="宋体" w:hint="eastAsia"/>
          <w:color w:val="000000"/>
          <w:sz w:val="32"/>
          <w:szCs w:val="32"/>
        </w:rPr>
        <w:t>（2）</w:t>
      </w:r>
      <w:r w:rsidRPr="00136FBE">
        <w:rPr>
          <w:rFonts w:ascii="仿宋" w:eastAsia="仿宋" w:hAnsi="仿宋" w:hint="eastAsia"/>
          <w:color w:val="000000"/>
          <w:sz w:val="32"/>
          <w:szCs w:val="32"/>
        </w:rPr>
        <w:t>需要干预治疗的伤口裂开以及伤口愈合并发症。</w:t>
      </w:r>
      <w:r w:rsidRPr="00136FBE">
        <w:rPr>
          <w:rFonts w:ascii="仿宋" w:eastAsia="仿宋" w:hAnsi="仿宋" w:cs="宋体" w:hint="eastAsia"/>
          <w:color w:val="000000"/>
          <w:sz w:val="32"/>
          <w:szCs w:val="32"/>
        </w:rPr>
        <w:t>（3）</w:t>
      </w:r>
      <w:r w:rsidRPr="00136FBE">
        <w:rPr>
          <w:rFonts w:ascii="仿宋" w:eastAsia="仿宋" w:hAnsi="仿宋" w:hint="eastAsia"/>
          <w:color w:val="000000"/>
          <w:sz w:val="32"/>
          <w:szCs w:val="32"/>
        </w:rPr>
        <w:t>重度出血（例如需要干预治疗）</w:t>
      </w:r>
      <w:r w:rsidRPr="00136FBE">
        <w:rPr>
          <w:rFonts w:ascii="仿宋" w:eastAsia="仿宋" w:hAnsi="仿宋" w:cs="宋体" w:hint="eastAsia"/>
          <w:color w:val="000000"/>
          <w:sz w:val="32"/>
          <w:szCs w:val="32"/>
        </w:rPr>
        <w:t>。（4）</w:t>
      </w:r>
      <w:r w:rsidRPr="00136FBE">
        <w:rPr>
          <w:rFonts w:ascii="仿宋" w:eastAsia="仿宋" w:hAnsi="仿宋" w:hint="eastAsia"/>
          <w:color w:val="000000"/>
          <w:sz w:val="32"/>
          <w:szCs w:val="32"/>
        </w:rPr>
        <w:t>重度动脉血栓事件。（5）危及生命（</w:t>
      </w:r>
      <w:r w:rsidRPr="00136FBE">
        <w:rPr>
          <w:rFonts w:ascii="仿宋" w:eastAsia="仿宋" w:hAnsi="仿宋"/>
          <w:color w:val="000000"/>
          <w:sz w:val="32"/>
          <w:szCs w:val="32"/>
        </w:rPr>
        <w:t>4</w:t>
      </w:r>
      <w:r w:rsidRPr="00136FBE">
        <w:rPr>
          <w:rFonts w:ascii="仿宋" w:eastAsia="仿宋" w:hAnsi="仿宋" w:hint="eastAsia"/>
          <w:color w:val="000000"/>
          <w:sz w:val="32"/>
          <w:szCs w:val="32"/>
        </w:rPr>
        <w:t>级）的静脉血栓栓塞事件，包括肺栓塞。（6）高血压危象或高血压脑病。（7）可逆性后部脑病综合征。（8）肾病综合征。</w:t>
      </w:r>
    </w:p>
    <w:p w14:paraId="2DDD88EC"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6.如果出现以下状况，需暂停使用贝伐珠单抗：（1）择期手术前</w:t>
      </w:r>
      <w:r w:rsidRPr="00136FBE">
        <w:rPr>
          <w:rFonts w:ascii="仿宋" w:eastAsia="仿宋" w:hAnsi="仿宋"/>
          <w:color w:val="000000"/>
          <w:sz w:val="32"/>
          <w:szCs w:val="32"/>
        </w:rPr>
        <w:t>4</w:t>
      </w:r>
      <w:r w:rsidRPr="00136FBE">
        <w:rPr>
          <w:rFonts w:ascii="仿宋" w:eastAsia="仿宋" w:hAnsi="仿宋" w:hint="eastAsia"/>
          <w:color w:val="000000"/>
          <w:sz w:val="32"/>
          <w:szCs w:val="32"/>
        </w:rPr>
        <w:t>～6周</w:t>
      </w:r>
      <w:r>
        <w:rPr>
          <w:rFonts w:ascii="仿宋" w:eastAsia="仿宋" w:hAnsi="仿宋" w:hint="eastAsia"/>
          <w:color w:val="000000"/>
          <w:sz w:val="32"/>
          <w:szCs w:val="32"/>
        </w:rPr>
        <w:t>，</w:t>
      </w:r>
      <w:r w:rsidRPr="00D77A4B">
        <w:rPr>
          <w:rFonts w:ascii="仿宋" w:eastAsia="仿宋" w:hAnsi="仿宋" w:hint="eastAsia"/>
          <w:color w:val="000000"/>
          <w:sz w:val="32"/>
          <w:szCs w:val="32"/>
        </w:rPr>
        <w:t>手术后至少28天</w:t>
      </w:r>
      <w:r>
        <w:rPr>
          <w:rFonts w:ascii="仿宋" w:eastAsia="仿宋" w:hAnsi="仿宋" w:hint="eastAsia"/>
          <w:color w:val="000000"/>
          <w:sz w:val="32"/>
          <w:szCs w:val="32"/>
        </w:rPr>
        <w:t>及伤口完全恢复</w:t>
      </w:r>
      <w:r w:rsidRPr="00D77A4B">
        <w:rPr>
          <w:rFonts w:ascii="仿宋" w:eastAsia="仿宋" w:hAnsi="仿宋" w:hint="eastAsia"/>
          <w:color w:val="000000"/>
          <w:sz w:val="32"/>
          <w:szCs w:val="32"/>
        </w:rPr>
        <w:t>之前</w:t>
      </w:r>
      <w:r>
        <w:rPr>
          <w:rFonts w:ascii="仿宋" w:eastAsia="仿宋" w:hAnsi="仿宋" w:hint="eastAsia"/>
          <w:color w:val="000000"/>
          <w:sz w:val="32"/>
          <w:szCs w:val="32"/>
        </w:rPr>
        <w:t>。</w:t>
      </w:r>
      <w:r w:rsidRPr="00136FBE">
        <w:rPr>
          <w:rFonts w:ascii="仿宋" w:eastAsia="仿宋" w:hAnsi="仿宋" w:hint="eastAsia"/>
          <w:color w:val="000000"/>
          <w:sz w:val="32"/>
          <w:szCs w:val="32"/>
        </w:rPr>
        <w:t>（2）药物控制不良的重度高血压。（3）中度到重度的蛋白尿需要进一步评估。（4）重度输液反应。</w:t>
      </w:r>
    </w:p>
    <w:p w14:paraId="26DA9F47"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vertAlign w:val="superscript"/>
        </w:rPr>
        <w:t>※</w:t>
      </w:r>
      <w:r w:rsidRPr="00136FBE">
        <w:rPr>
          <w:rFonts w:ascii="仿宋" w:eastAsia="仿宋" w:hAnsi="仿宋" w:hint="eastAsia"/>
          <w:color w:val="000000"/>
          <w:sz w:val="32"/>
          <w:szCs w:val="32"/>
        </w:rPr>
        <w:t>7.在欧盟，贝伐珠单抗联合厄洛替尼获批用于EGFR基因具有敏感突变的、不可手术切除的晚期、转移性或复发性</w:t>
      </w:r>
      <w:r w:rsidRPr="00136FBE">
        <w:rPr>
          <w:rFonts w:ascii="仿宋" w:eastAsia="仿宋" w:hAnsi="仿宋" w:hint="eastAsia"/>
          <w:color w:val="000000"/>
          <w:sz w:val="32"/>
          <w:szCs w:val="32"/>
        </w:rPr>
        <w:lastRenderedPageBreak/>
        <w:t>非鳞状NSCLC患者的一线治疗，目前国内尚未获批此适应证，可在与患者充分沟通的情况下使用。</w:t>
      </w:r>
    </w:p>
    <w:p w14:paraId="2C1D1C98" w14:textId="77777777" w:rsidR="004B2B1D" w:rsidRPr="00136FBE" w:rsidRDefault="004B2B1D" w:rsidP="004B2B1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十二、重组人血管内皮抑制素 E</w:t>
      </w:r>
      <w:r w:rsidRPr="00136FBE">
        <w:rPr>
          <w:rFonts w:ascii="黑体" w:eastAsia="黑体" w:hAnsi="黑体" w:cs="黑体"/>
          <w:sz w:val="32"/>
          <w:szCs w:val="32"/>
        </w:rPr>
        <w:t>ndostatin</w:t>
      </w:r>
    </w:p>
    <w:p w14:paraId="73DEB6BA"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针剂：</w:t>
      </w:r>
      <w:r w:rsidRPr="00136FBE">
        <w:rPr>
          <w:rFonts w:ascii="仿宋" w:eastAsia="仿宋" w:hAnsi="仿宋" w:cs="仿宋"/>
          <w:sz w:val="32"/>
          <w:szCs w:val="32"/>
        </w:rPr>
        <w:t>15mg</w:t>
      </w:r>
      <w:r w:rsidRPr="00136FBE">
        <w:rPr>
          <w:rFonts w:ascii="仿宋" w:eastAsia="仿宋" w:hAnsi="仿宋" w:cs="仿宋" w:hint="eastAsia"/>
          <w:sz w:val="32"/>
          <w:szCs w:val="32"/>
        </w:rPr>
        <w:t>（</w:t>
      </w:r>
      <w:r w:rsidRPr="00136FBE">
        <w:rPr>
          <w:rFonts w:ascii="仿宋" w:eastAsia="仿宋" w:hAnsi="仿宋" w:cs="仿宋"/>
          <w:sz w:val="32"/>
          <w:szCs w:val="32"/>
        </w:rPr>
        <w:t>3ml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4214F0A9" w14:textId="77777777" w:rsidR="004B2B1D" w:rsidRPr="00136FBE" w:rsidRDefault="004B2B1D" w:rsidP="004B2B1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本品联合</w:t>
      </w:r>
      <w:r w:rsidRPr="00D16347">
        <w:rPr>
          <w:rFonts w:ascii="仿宋" w:eastAsia="仿宋" w:hAnsi="仿宋" w:cs="仿宋" w:hint="eastAsia"/>
          <w:sz w:val="32"/>
          <w:szCs w:val="32"/>
        </w:rPr>
        <w:t>长春瑞滨/顺铂</w:t>
      </w:r>
      <w:r>
        <w:rPr>
          <w:rFonts w:ascii="仿宋" w:eastAsia="仿宋" w:hAnsi="仿宋" w:cs="仿宋" w:hint="eastAsia"/>
          <w:sz w:val="32"/>
          <w:szCs w:val="32"/>
        </w:rPr>
        <w:t>（</w:t>
      </w:r>
      <w:r w:rsidRPr="00136FBE">
        <w:rPr>
          <w:rFonts w:ascii="仿宋" w:eastAsia="仿宋" w:hAnsi="仿宋" w:cs="仿宋"/>
          <w:sz w:val="32"/>
          <w:szCs w:val="32"/>
        </w:rPr>
        <w:t>NP</w:t>
      </w:r>
      <w:r>
        <w:rPr>
          <w:rFonts w:ascii="仿宋" w:eastAsia="仿宋" w:hAnsi="仿宋" w:cs="仿宋" w:hint="eastAsia"/>
          <w:sz w:val="32"/>
          <w:szCs w:val="32"/>
        </w:rPr>
        <w:t>）</w:t>
      </w:r>
      <w:r w:rsidRPr="00136FBE">
        <w:rPr>
          <w:rFonts w:ascii="仿宋" w:eastAsia="仿宋" w:hAnsi="仿宋" w:cs="仿宋" w:hint="eastAsia"/>
          <w:sz w:val="32"/>
          <w:szCs w:val="32"/>
        </w:rPr>
        <w:t>化疗方案用于治疗初治或复治的Ⅲ/Ⅳ期</w:t>
      </w:r>
      <w:r w:rsidRPr="00136FBE">
        <w:rPr>
          <w:rFonts w:ascii="仿宋" w:eastAsia="仿宋" w:hAnsi="仿宋" w:cs="仿宋"/>
          <w:sz w:val="32"/>
          <w:szCs w:val="32"/>
        </w:rPr>
        <w:t>NSCLC</w:t>
      </w:r>
      <w:r w:rsidRPr="00136FBE">
        <w:rPr>
          <w:rFonts w:ascii="仿宋" w:eastAsia="仿宋" w:hAnsi="仿宋" w:cs="仿宋" w:hint="eastAsia"/>
          <w:sz w:val="32"/>
          <w:szCs w:val="32"/>
        </w:rPr>
        <w:t>患者。</w:t>
      </w:r>
    </w:p>
    <w:p w14:paraId="38615D3C"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0A429879"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1.重组人血管内皮抑制素与NP方案联合至4个周期，然后采用本品进行维持治疗。本品适用于初治或复治的Ⅲ/Ⅳ期</w:t>
      </w:r>
      <w:r w:rsidRPr="00136FBE">
        <w:rPr>
          <w:rFonts w:ascii="仿宋" w:eastAsia="仿宋" w:hAnsi="仿宋" w:cs="仿宋"/>
          <w:sz w:val="32"/>
          <w:szCs w:val="32"/>
        </w:rPr>
        <w:t>NSCLC</w:t>
      </w:r>
      <w:r w:rsidRPr="00136FBE">
        <w:rPr>
          <w:rFonts w:ascii="仿宋" w:eastAsia="仿宋" w:hAnsi="仿宋" w:cs="仿宋" w:hint="eastAsia"/>
          <w:sz w:val="32"/>
          <w:szCs w:val="32"/>
        </w:rPr>
        <w:t>患者。</w:t>
      </w:r>
    </w:p>
    <w:p w14:paraId="37E00CFC"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2.如果出现以下状况，需暂停使用重组人血管内皮抑制素：（1）出现相关心脏毒性反应时，如≥3度或≤2度且毒性反应持续存在。（2）≥3度皮肤过敏反应。</w:t>
      </w:r>
    </w:p>
    <w:p w14:paraId="295EEDC6"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3.重组人血管内皮抑制素主要相关不良事件发生率：基于IV期研究结果，发生率分别为：心律失常（0.7%）、心功能下降（0.2%）、出血（0.4%）、过敏反应（0.2%）。</w:t>
      </w:r>
    </w:p>
    <w:p w14:paraId="39D490AF"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4</w:t>
      </w:r>
      <w:r w:rsidRPr="00136FBE">
        <w:rPr>
          <w:rFonts w:ascii="仿宋" w:eastAsia="仿宋" w:hAnsi="仿宋" w:cs="仿宋"/>
          <w:sz w:val="32"/>
          <w:szCs w:val="32"/>
        </w:rPr>
        <w:t>.</w:t>
      </w:r>
      <w:r w:rsidRPr="00136FBE">
        <w:rPr>
          <w:rFonts w:ascii="仿宋" w:eastAsia="仿宋" w:hAnsi="仿宋" w:cs="仿宋" w:hint="eastAsia"/>
          <w:sz w:val="32"/>
          <w:szCs w:val="32"/>
        </w:rPr>
        <w:t>过敏体质或对蛋白类生物制品有过敏史者慎用。</w:t>
      </w:r>
    </w:p>
    <w:p w14:paraId="2ABF558E"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5</w:t>
      </w:r>
      <w:r w:rsidRPr="00136FBE">
        <w:rPr>
          <w:rFonts w:ascii="仿宋" w:eastAsia="仿宋" w:hAnsi="仿宋" w:cs="仿宋"/>
          <w:sz w:val="32"/>
          <w:szCs w:val="32"/>
        </w:rPr>
        <w:t>.</w:t>
      </w:r>
      <w:r w:rsidRPr="00136FBE">
        <w:rPr>
          <w:rFonts w:ascii="仿宋" w:eastAsia="仿宋" w:hAnsi="仿宋" w:cs="仿宋" w:hint="eastAsia"/>
          <w:sz w:val="32"/>
          <w:szCs w:val="32"/>
        </w:rPr>
        <w:t>有严重心脏病或病史者慎用，本品临床使用过程中应定期检测心电图。</w:t>
      </w:r>
    </w:p>
    <w:p w14:paraId="0941E31C" w14:textId="77777777" w:rsidR="004B2B1D" w:rsidRPr="00136FBE" w:rsidRDefault="004B2B1D" w:rsidP="004B2B1D">
      <w:pPr>
        <w:spacing w:line="360" w:lineRule="auto"/>
        <w:ind w:firstLineChars="200" w:firstLine="640"/>
        <w:rPr>
          <w:rFonts w:ascii="黑体" w:eastAsia="黑体" w:hAnsi="黑体" w:cs="Times New Roman"/>
          <w:sz w:val="32"/>
          <w:szCs w:val="32"/>
          <w:lang w:val="de-DE"/>
        </w:rPr>
      </w:pPr>
      <w:r w:rsidRPr="00136FBE">
        <w:rPr>
          <w:rFonts w:ascii="黑体" w:eastAsia="黑体" w:hAnsi="黑体" w:cs="黑体" w:hint="eastAsia"/>
          <w:sz w:val="32"/>
          <w:szCs w:val="32"/>
          <w:lang w:val="de-DE"/>
        </w:rPr>
        <w:t>十三、</w:t>
      </w:r>
      <w:r w:rsidRPr="00136FBE">
        <w:rPr>
          <w:rFonts w:ascii="黑体" w:eastAsia="黑体" w:hAnsi="黑体" w:cs="黑体" w:hint="eastAsia"/>
          <w:sz w:val="32"/>
          <w:szCs w:val="32"/>
        </w:rPr>
        <w:t xml:space="preserve">安罗替尼 </w:t>
      </w:r>
      <w:proofErr w:type="spellStart"/>
      <w:r w:rsidRPr="00136FBE">
        <w:rPr>
          <w:rFonts w:ascii="黑体" w:eastAsia="黑体" w:hAnsi="黑体" w:cs="黑体" w:hint="eastAsia"/>
          <w:sz w:val="32"/>
          <w:szCs w:val="32"/>
        </w:rPr>
        <w:t>A</w:t>
      </w:r>
      <w:r w:rsidRPr="00136FBE">
        <w:rPr>
          <w:rFonts w:ascii="黑体" w:eastAsia="黑体" w:hAnsi="黑体" w:cs="黑体"/>
          <w:sz w:val="32"/>
          <w:szCs w:val="32"/>
        </w:rPr>
        <w:t>nlotinib</w:t>
      </w:r>
      <w:proofErr w:type="spellEnd"/>
    </w:p>
    <w:p w14:paraId="3FB25754"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胶囊：</w:t>
      </w:r>
      <w:r w:rsidRPr="00136FBE">
        <w:rPr>
          <w:rFonts w:ascii="仿宋" w:eastAsia="仿宋" w:hAnsi="仿宋" w:cs="仿宋"/>
          <w:sz w:val="32"/>
          <w:szCs w:val="32"/>
        </w:rPr>
        <w:t>8mg</w:t>
      </w:r>
      <w:r w:rsidRPr="00136FBE">
        <w:rPr>
          <w:rFonts w:ascii="仿宋" w:eastAsia="仿宋" w:hAnsi="仿宋" w:cs="仿宋" w:hint="eastAsia"/>
          <w:sz w:val="32"/>
          <w:szCs w:val="32"/>
        </w:rPr>
        <w:t>、</w:t>
      </w:r>
      <w:r w:rsidRPr="00136FBE">
        <w:rPr>
          <w:rFonts w:ascii="仿宋" w:eastAsia="仿宋" w:hAnsi="仿宋" w:cs="仿宋"/>
          <w:sz w:val="32"/>
          <w:szCs w:val="32"/>
        </w:rPr>
        <w:t>10mg</w:t>
      </w:r>
      <w:r w:rsidRPr="00136FBE">
        <w:rPr>
          <w:rFonts w:ascii="仿宋" w:eastAsia="仿宋" w:hAnsi="仿宋" w:cs="仿宋" w:hint="eastAsia"/>
          <w:sz w:val="32"/>
          <w:szCs w:val="32"/>
        </w:rPr>
        <w:t>、</w:t>
      </w:r>
      <w:r w:rsidRPr="00136FBE">
        <w:rPr>
          <w:rFonts w:ascii="仿宋" w:eastAsia="仿宋" w:hAnsi="仿宋" w:cs="仿宋"/>
          <w:sz w:val="32"/>
          <w:szCs w:val="32"/>
        </w:rPr>
        <w:t xml:space="preserve">12mg </w:t>
      </w:r>
    </w:p>
    <w:p w14:paraId="37CD0729" w14:textId="77777777" w:rsidR="004B2B1D" w:rsidRPr="00136FBE" w:rsidRDefault="004B2B1D" w:rsidP="004B2B1D">
      <w:pPr>
        <w:spacing w:line="360" w:lineRule="auto"/>
        <w:ind w:firstLineChars="200" w:firstLine="643"/>
        <w:rPr>
          <w:rFonts w:ascii="仿宋" w:eastAsia="仿宋" w:hAnsi="仿宋" w:cs="仿宋"/>
          <w:b/>
          <w:bCs/>
          <w:sz w:val="32"/>
          <w:szCs w:val="32"/>
        </w:rPr>
      </w:pPr>
      <w:r w:rsidRPr="00136FBE">
        <w:rPr>
          <w:rFonts w:ascii="仿宋" w:eastAsia="仿宋" w:hAnsi="仿宋" w:cs="仿宋" w:hint="eastAsia"/>
          <w:b/>
          <w:bCs/>
          <w:sz w:val="32"/>
          <w:szCs w:val="32"/>
        </w:rPr>
        <w:t>适应证：</w:t>
      </w:r>
    </w:p>
    <w:p w14:paraId="4F987AF9" w14:textId="77777777" w:rsidR="004B2B1D" w:rsidRPr="00136FBE" w:rsidRDefault="004B2B1D" w:rsidP="004B2B1D">
      <w:pPr>
        <w:tabs>
          <w:tab w:val="left" w:pos="709"/>
          <w:tab w:val="left" w:pos="851"/>
        </w:tabs>
        <w:spacing w:line="360" w:lineRule="auto"/>
        <w:ind w:firstLineChars="200" w:firstLine="640"/>
        <w:jc w:val="left"/>
        <w:rPr>
          <w:rFonts w:ascii="仿宋" w:eastAsia="仿宋" w:hAnsi="仿宋" w:cs="Times New Roman"/>
          <w:sz w:val="32"/>
          <w:szCs w:val="32"/>
        </w:rPr>
      </w:pPr>
      <w:r w:rsidRPr="00136FBE">
        <w:rPr>
          <w:rFonts w:ascii="仿宋" w:eastAsia="仿宋" w:hAnsi="仿宋" w:cs="仿宋" w:hint="eastAsia"/>
          <w:sz w:val="32"/>
          <w:szCs w:val="32"/>
        </w:rPr>
        <w:lastRenderedPageBreak/>
        <w:t>1.本品单药适用于既往至少接受过</w:t>
      </w:r>
      <w:r w:rsidRPr="00136FBE">
        <w:rPr>
          <w:rFonts w:ascii="仿宋" w:eastAsia="仿宋" w:hAnsi="仿宋" w:cs="仿宋"/>
          <w:sz w:val="32"/>
          <w:szCs w:val="32"/>
        </w:rPr>
        <w:t>2</w:t>
      </w:r>
      <w:r w:rsidRPr="00136FBE">
        <w:rPr>
          <w:rFonts w:ascii="仿宋" w:eastAsia="仿宋" w:hAnsi="仿宋" w:cs="仿宋" w:hint="eastAsia"/>
          <w:sz w:val="32"/>
          <w:szCs w:val="32"/>
        </w:rPr>
        <w:t>种系统化疗后出现进展或复发的局部晚期或转移性</w:t>
      </w:r>
      <w:r w:rsidRPr="00136FBE">
        <w:rPr>
          <w:rFonts w:ascii="仿宋" w:eastAsia="仿宋" w:hAnsi="仿宋" w:cs="仿宋"/>
          <w:sz w:val="32"/>
          <w:szCs w:val="32"/>
        </w:rPr>
        <w:t>NSCLC</w:t>
      </w:r>
      <w:r w:rsidRPr="00136FBE">
        <w:rPr>
          <w:rFonts w:ascii="仿宋" w:eastAsia="仿宋" w:hAnsi="仿宋" w:cs="仿宋" w:hint="eastAsia"/>
          <w:sz w:val="32"/>
          <w:szCs w:val="32"/>
        </w:rPr>
        <w:t>患者的治疗。对于存在</w:t>
      </w:r>
      <w:r w:rsidRPr="00136FBE">
        <w:rPr>
          <w:rFonts w:ascii="仿宋" w:eastAsia="仿宋" w:hAnsi="仿宋" w:cs="仿宋"/>
          <w:sz w:val="32"/>
          <w:szCs w:val="32"/>
        </w:rPr>
        <w:t>EGFR</w:t>
      </w:r>
      <w:r w:rsidRPr="00136FBE">
        <w:rPr>
          <w:rFonts w:ascii="仿宋" w:eastAsia="仿宋" w:hAnsi="仿宋" w:cs="仿宋" w:hint="eastAsia"/>
          <w:sz w:val="32"/>
          <w:szCs w:val="32"/>
        </w:rPr>
        <w:t>基因突变或ALK阳性的患者，在开始本品治疗前应接受相应的靶向药物治疗后进展、且至少接受过</w:t>
      </w:r>
      <w:r w:rsidRPr="00136FBE">
        <w:rPr>
          <w:rFonts w:ascii="仿宋" w:eastAsia="仿宋" w:hAnsi="仿宋" w:cs="仿宋"/>
          <w:sz w:val="32"/>
          <w:szCs w:val="32"/>
        </w:rPr>
        <w:t>2</w:t>
      </w:r>
      <w:r w:rsidRPr="00136FBE">
        <w:rPr>
          <w:rFonts w:ascii="仿宋" w:eastAsia="仿宋" w:hAnsi="仿宋" w:cs="仿宋" w:hint="eastAsia"/>
          <w:sz w:val="32"/>
          <w:szCs w:val="32"/>
        </w:rPr>
        <w:t>种系统化疗后出现进展或复发。</w:t>
      </w:r>
    </w:p>
    <w:p w14:paraId="27B27C73" w14:textId="77777777" w:rsidR="004B2B1D" w:rsidRPr="00136FBE" w:rsidRDefault="004B2B1D" w:rsidP="004B2B1D">
      <w:pPr>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2.本品单药适用于既往至少接受过2种化疗方案治疗后进展或复发的小细胞肺癌患者的治疗。</w:t>
      </w:r>
    </w:p>
    <w:p w14:paraId="055D0107"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5BFD1453"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使用安罗替尼前无需进行基因检测，但对于存在</w:t>
      </w:r>
      <w:r w:rsidRPr="00136FBE">
        <w:rPr>
          <w:rFonts w:ascii="仿宋" w:eastAsia="仿宋" w:hAnsi="仿宋" w:cs="仿宋"/>
          <w:sz w:val="32"/>
          <w:szCs w:val="32"/>
        </w:rPr>
        <w:t>EGFR</w:t>
      </w:r>
      <w:r w:rsidRPr="00136FBE">
        <w:rPr>
          <w:rFonts w:ascii="仿宋" w:eastAsia="仿宋" w:hAnsi="仿宋" w:cs="仿宋" w:hint="eastAsia"/>
          <w:sz w:val="32"/>
          <w:szCs w:val="32"/>
        </w:rPr>
        <w:t>基因突变或ALK融合阳性的患者，在开始安罗替尼治疗前应接受相应的标准靶向药物治疗后进展、且至少接受过</w:t>
      </w:r>
      <w:r w:rsidRPr="00136FBE">
        <w:rPr>
          <w:rFonts w:ascii="仿宋" w:eastAsia="仿宋" w:hAnsi="仿宋" w:cs="仿宋"/>
          <w:sz w:val="32"/>
          <w:szCs w:val="32"/>
        </w:rPr>
        <w:t>2</w:t>
      </w:r>
      <w:r w:rsidRPr="00136FBE">
        <w:rPr>
          <w:rFonts w:ascii="仿宋" w:eastAsia="仿宋" w:hAnsi="仿宋" w:cs="仿宋" w:hint="eastAsia"/>
          <w:sz w:val="32"/>
          <w:szCs w:val="32"/>
        </w:rPr>
        <w:t>种系统化疗后出现进展或复发。</w:t>
      </w:r>
    </w:p>
    <w:p w14:paraId="1701A97E"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中央型肺鳞状细胞癌或具有大咯血风险的患者、重度肝肾功能损伤的患者禁用。</w:t>
      </w:r>
    </w:p>
    <w:p w14:paraId="35D00B7C"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安罗替尼有增加发生出血事件和发生血栓</w:t>
      </w:r>
      <w:r w:rsidRPr="00136FBE">
        <w:rPr>
          <w:rFonts w:ascii="仿宋" w:eastAsia="仿宋" w:hAnsi="仿宋" w:cs="仿宋"/>
          <w:sz w:val="32"/>
          <w:szCs w:val="32"/>
        </w:rPr>
        <w:t>/</w:t>
      </w:r>
      <w:r w:rsidRPr="00136FBE">
        <w:rPr>
          <w:rFonts w:ascii="仿宋" w:eastAsia="仿宋" w:hAnsi="仿宋" w:cs="仿宋" w:hint="eastAsia"/>
          <w:sz w:val="32"/>
          <w:szCs w:val="32"/>
        </w:rPr>
        <w:t>栓塞事件的风险，因此，具有出血风险、凝血功能异常的患者、具有血栓</w:t>
      </w:r>
      <w:r w:rsidRPr="00136FBE">
        <w:rPr>
          <w:rFonts w:ascii="仿宋" w:eastAsia="仿宋" w:hAnsi="仿宋" w:cs="仿宋"/>
          <w:sz w:val="32"/>
          <w:szCs w:val="32"/>
        </w:rPr>
        <w:t>/</w:t>
      </w:r>
      <w:r w:rsidRPr="00136FBE">
        <w:rPr>
          <w:rFonts w:ascii="仿宋" w:eastAsia="仿宋" w:hAnsi="仿宋" w:cs="仿宋" w:hint="eastAsia"/>
          <w:sz w:val="32"/>
          <w:szCs w:val="32"/>
        </w:rPr>
        <w:t>卒中病史的患者以及服用抗凝药物及相关疾病的患者应慎用。</w:t>
      </w:r>
    </w:p>
    <w:p w14:paraId="09555D2E"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老年患者（</w:t>
      </w:r>
      <w:r w:rsidRPr="00136FBE">
        <w:rPr>
          <w:rFonts w:ascii="仿宋" w:eastAsia="仿宋" w:hAnsi="仿宋" w:cs="仿宋"/>
          <w:sz w:val="32"/>
          <w:szCs w:val="32"/>
        </w:rPr>
        <w:t>≥65岁</w:t>
      </w:r>
      <w:r w:rsidRPr="00136FBE">
        <w:rPr>
          <w:rFonts w:ascii="仿宋" w:eastAsia="仿宋" w:hAnsi="仿宋" w:cs="仿宋" w:hint="eastAsia"/>
          <w:sz w:val="32"/>
          <w:szCs w:val="32"/>
        </w:rPr>
        <w:t>）使用安罗替尼时，无需调整用药剂量。</w:t>
      </w:r>
    </w:p>
    <w:p w14:paraId="2AE46BFA"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用药期间应密切关注高血压的发生，常规降压药物可有效控制患者血压。</w:t>
      </w:r>
    </w:p>
    <w:p w14:paraId="180F2D7D"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lastRenderedPageBreak/>
        <w:t>6.</w:t>
      </w:r>
      <w:r w:rsidRPr="00136FBE">
        <w:rPr>
          <w:rFonts w:ascii="仿宋" w:eastAsia="仿宋" w:hAnsi="仿宋" w:cs="仿宋" w:hint="eastAsia"/>
          <w:sz w:val="32"/>
          <w:szCs w:val="32"/>
        </w:rPr>
        <w:t>避免与</w:t>
      </w:r>
      <w:r w:rsidRPr="00136FBE">
        <w:rPr>
          <w:rFonts w:ascii="仿宋" w:eastAsia="仿宋" w:hAnsi="仿宋" w:cs="仿宋"/>
          <w:sz w:val="32"/>
          <w:szCs w:val="32"/>
        </w:rPr>
        <w:t>CYP1A2</w:t>
      </w:r>
      <w:r w:rsidRPr="00136FBE">
        <w:rPr>
          <w:rFonts w:ascii="仿宋" w:eastAsia="仿宋" w:hAnsi="仿宋" w:cs="仿宋" w:hint="eastAsia"/>
          <w:sz w:val="32"/>
          <w:szCs w:val="32"/>
        </w:rPr>
        <w:t>和</w:t>
      </w:r>
      <w:r w:rsidRPr="00136FBE">
        <w:rPr>
          <w:rFonts w:ascii="仿宋" w:eastAsia="仿宋" w:hAnsi="仿宋" w:cs="仿宋"/>
          <w:sz w:val="32"/>
          <w:szCs w:val="32"/>
        </w:rPr>
        <w:t>CYP3A4</w:t>
      </w:r>
      <w:r w:rsidRPr="00136FBE">
        <w:rPr>
          <w:rFonts w:ascii="仿宋" w:eastAsia="仿宋" w:hAnsi="仿宋" w:cs="仿宋" w:hint="eastAsia"/>
          <w:sz w:val="32"/>
          <w:szCs w:val="32"/>
        </w:rPr>
        <w:t>的强抑制剂和强诱导剂联用。</w:t>
      </w:r>
    </w:p>
    <w:p w14:paraId="1950DBD2" w14:textId="77777777" w:rsidR="004B2B1D" w:rsidRPr="00136FBE" w:rsidRDefault="004B2B1D" w:rsidP="004B2B1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十四、纳武利尤单抗 N</w:t>
      </w:r>
      <w:r w:rsidRPr="00136FBE">
        <w:rPr>
          <w:rFonts w:ascii="黑体" w:eastAsia="黑体" w:hAnsi="黑体" w:cs="黑体"/>
          <w:sz w:val="32"/>
          <w:szCs w:val="32"/>
        </w:rPr>
        <w:t>ivolumab</w:t>
      </w:r>
    </w:p>
    <w:p w14:paraId="4E0DBEBC" w14:textId="77777777" w:rsidR="004B2B1D" w:rsidRPr="00136FBE" w:rsidRDefault="004B2B1D" w:rsidP="004B2B1D">
      <w:pPr>
        <w:spacing w:line="360" w:lineRule="auto"/>
        <w:ind w:firstLineChars="200" w:firstLine="613"/>
        <w:rPr>
          <w:rFonts w:ascii="仿宋" w:eastAsia="仿宋" w:hAnsi="仿宋" w:cs="Times New Roman"/>
          <w:b/>
          <w:bCs/>
          <w:w w:val="95"/>
          <w:sz w:val="32"/>
          <w:szCs w:val="32"/>
          <w:lang w:val="it-IT"/>
        </w:rPr>
      </w:pPr>
      <w:r w:rsidRPr="00136FBE">
        <w:rPr>
          <w:rFonts w:ascii="仿宋" w:eastAsia="仿宋" w:hAnsi="仿宋" w:cs="仿宋" w:hint="eastAsia"/>
          <w:b/>
          <w:bCs/>
          <w:w w:val="95"/>
          <w:sz w:val="32"/>
          <w:szCs w:val="32"/>
        </w:rPr>
        <w:t>制剂与规格</w:t>
      </w:r>
      <w:r w:rsidRPr="00136FBE">
        <w:rPr>
          <w:rFonts w:ascii="仿宋" w:eastAsia="仿宋" w:hAnsi="仿宋" w:cs="仿宋" w:hint="eastAsia"/>
          <w:w w:val="95"/>
          <w:sz w:val="32"/>
          <w:szCs w:val="32"/>
          <w:lang w:val="it-IT"/>
        </w:rPr>
        <w:t>：注射液：</w:t>
      </w:r>
      <w:r w:rsidRPr="00136FBE">
        <w:rPr>
          <w:rFonts w:ascii="仿宋" w:eastAsia="仿宋" w:hAnsi="仿宋" w:cs="仿宋"/>
          <w:w w:val="95"/>
          <w:sz w:val="32"/>
          <w:szCs w:val="32"/>
          <w:lang w:val="it-IT"/>
        </w:rPr>
        <w:t>40mg</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4ml</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w:t>
      </w:r>
      <w:r w:rsidRPr="00136FBE">
        <w:rPr>
          <w:rFonts w:ascii="仿宋" w:eastAsia="仿宋" w:hAnsi="仿宋" w:cs="仿宋" w:hint="eastAsia"/>
          <w:w w:val="95"/>
          <w:sz w:val="32"/>
          <w:szCs w:val="32"/>
          <w:lang w:val="it-IT"/>
        </w:rPr>
        <w:t>瓶、</w:t>
      </w:r>
      <w:r w:rsidRPr="00136FBE">
        <w:rPr>
          <w:rFonts w:ascii="仿宋" w:eastAsia="仿宋" w:hAnsi="仿宋" w:cs="仿宋"/>
          <w:w w:val="95"/>
          <w:sz w:val="32"/>
          <w:szCs w:val="32"/>
          <w:lang w:val="it-IT"/>
        </w:rPr>
        <w:t>100mg</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10ml</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w:t>
      </w:r>
      <w:r w:rsidRPr="00136FBE">
        <w:rPr>
          <w:rFonts w:ascii="仿宋" w:eastAsia="仿宋" w:hAnsi="仿宋" w:cs="仿宋" w:hint="eastAsia"/>
          <w:w w:val="95"/>
          <w:sz w:val="32"/>
          <w:szCs w:val="32"/>
          <w:lang w:val="it-IT"/>
        </w:rPr>
        <w:t>瓶</w:t>
      </w:r>
    </w:p>
    <w:p w14:paraId="005B1C06" w14:textId="77777777" w:rsidR="004B2B1D" w:rsidRPr="00136FBE" w:rsidRDefault="004B2B1D" w:rsidP="004B2B1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：本品单药适用于既往接受过含铂方案化疗后疾</w:t>
      </w:r>
      <w:r w:rsidRPr="00136FBE">
        <w:rPr>
          <w:rFonts w:ascii="仿宋" w:eastAsia="仿宋" w:hAnsi="仿宋" w:cs="仿宋" w:hint="eastAsia"/>
          <w:w w:val="98"/>
          <w:sz w:val="32"/>
          <w:szCs w:val="32"/>
        </w:rPr>
        <w:t>病进展或不可耐受的局部晚期或转移性</w:t>
      </w:r>
      <w:r w:rsidRPr="00136FBE">
        <w:rPr>
          <w:rFonts w:ascii="仿宋" w:eastAsia="仿宋" w:hAnsi="仿宋" w:cs="仿宋"/>
          <w:w w:val="98"/>
          <w:sz w:val="32"/>
          <w:szCs w:val="32"/>
        </w:rPr>
        <w:t>NSCLC</w:t>
      </w:r>
      <w:r w:rsidRPr="00136FBE">
        <w:rPr>
          <w:rFonts w:ascii="仿宋" w:eastAsia="仿宋" w:hAnsi="仿宋" w:cs="仿宋" w:hint="eastAsia"/>
          <w:sz w:val="32"/>
          <w:szCs w:val="32"/>
        </w:rPr>
        <w:t>成人患者的二线治疗，需排除</w:t>
      </w:r>
      <w:r w:rsidRPr="00136FBE">
        <w:rPr>
          <w:rFonts w:ascii="仿宋" w:eastAsia="仿宋" w:hAnsi="仿宋" w:cs="仿宋"/>
          <w:sz w:val="32"/>
          <w:szCs w:val="32"/>
        </w:rPr>
        <w:t>EGFR</w:t>
      </w:r>
      <w:r w:rsidRPr="00136FBE">
        <w:rPr>
          <w:rFonts w:ascii="仿宋" w:eastAsia="仿宋" w:hAnsi="仿宋" w:cs="仿宋" w:hint="eastAsia"/>
          <w:sz w:val="32"/>
          <w:szCs w:val="32"/>
        </w:rPr>
        <w:t>基因突变和ALK融合的患者。</w:t>
      </w:r>
    </w:p>
    <w:p w14:paraId="424ED0F8" w14:textId="77777777" w:rsidR="004B2B1D" w:rsidRPr="00136FBE" w:rsidRDefault="004B2B1D" w:rsidP="004B2B1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64B39C2D"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局部晚期或转移性</w:t>
      </w:r>
      <w:r w:rsidRPr="00136FBE">
        <w:rPr>
          <w:rFonts w:ascii="仿宋" w:eastAsia="仿宋" w:hAnsi="仿宋" w:cs="仿宋"/>
          <w:sz w:val="32"/>
          <w:szCs w:val="32"/>
        </w:rPr>
        <w:t>NSCLC</w:t>
      </w:r>
      <w:r w:rsidRPr="00136FBE">
        <w:rPr>
          <w:rFonts w:ascii="仿宋" w:eastAsia="仿宋" w:hAnsi="仿宋" w:cs="仿宋" w:hint="eastAsia"/>
          <w:sz w:val="32"/>
          <w:szCs w:val="32"/>
        </w:rPr>
        <w:t>成人患者，既往接受过含铂方案化疗后疾病进展或不可耐受。</w:t>
      </w:r>
    </w:p>
    <w:p w14:paraId="597B49A8"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患者必须为</w:t>
      </w:r>
      <w:r w:rsidRPr="00136FBE">
        <w:rPr>
          <w:rFonts w:ascii="仿宋" w:eastAsia="仿宋" w:hAnsi="仿宋" w:cs="仿宋"/>
          <w:sz w:val="32"/>
          <w:szCs w:val="32"/>
        </w:rPr>
        <w:t>EGFR</w:t>
      </w:r>
      <w:r w:rsidRPr="00136FBE">
        <w:rPr>
          <w:rFonts w:ascii="仿宋" w:eastAsia="仿宋" w:hAnsi="仿宋" w:cs="仿宋" w:hint="eastAsia"/>
          <w:sz w:val="32"/>
          <w:szCs w:val="32"/>
        </w:rPr>
        <w:t>阴性和ALK阴性。</w:t>
      </w:r>
    </w:p>
    <w:p w14:paraId="69C58DAB"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只要观察到临床获益，应继续纳武利尤单抗治疗，直至患者不能耐受，有可能观察到非典型反应（例如最初几个月内肿瘤暂时增大或出现新的小病灶，随后肿瘤缩小）。如果患者临床症状稳定或持续减轻，即使有疾病进展的初步证据，基于总体临床获益的判断，可考虑继续应用本品治疗，直至证实疾病进展。</w:t>
      </w:r>
    </w:p>
    <w:p w14:paraId="5AD8B894" w14:textId="77777777" w:rsidR="004B2B1D" w:rsidRPr="00136FBE" w:rsidRDefault="004B2B1D" w:rsidP="004B2B1D">
      <w:pPr>
        <w:spacing w:line="360" w:lineRule="auto"/>
        <w:ind w:firstLineChars="200" w:firstLine="640"/>
        <w:rPr>
          <w:rFonts w:ascii="仿宋" w:eastAsia="仿宋" w:hAnsi="仿宋" w:cs="Times New Roman"/>
          <w:color w:val="FF0000"/>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纳武利尤单抗在中国基于</w:t>
      </w:r>
      <w:proofErr w:type="spellStart"/>
      <w:r w:rsidRPr="00136FBE">
        <w:rPr>
          <w:rFonts w:ascii="仿宋" w:eastAsia="仿宋" w:hAnsi="仿宋" w:cs="仿宋"/>
          <w:sz w:val="32"/>
          <w:szCs w:val="32"/>
        </w:rPr>
        <w:t>CheckMate</w:t>
      </w:r>
      <w:proofErr w:type="spellEnd"/>
      <w:r w:rsidRPr="00136FBE">
        <w:rPr>
          <w:rFonts w:ascii="仿宋" w:eastAsia="仿宋" w:hAnsi="仿宋" w:cs="仿宋"/>
          <w:sz w:val="32"/>
          <w:szCs w:val="32"/>
        </w:rPr>
        <w:t xml:space="preserve"> 078</w:t>
      </w:r>
      <w:r w:rsidRPr="00136FBE">
        <w:rPr>
          <w:rFonts w:ascii="仿宋" w:eastAsia="仿宋" w:hAnsi="仿宋" w:cs="仿宋" w:hint="eastAsia"/>
          <w:sz w:val="32"/>
          <w:szCs w:val="32"/>
        </w:rPr>
        <w:t>研究，获批的剂量是</w:t>
      </w:r>
      <w:r w:rsidRPr="00136FBE">
        <w:rPr>
          <w:rFonts w:ascii="仿宋" w:eastAsia="仿宋" w:hAnsi="仿宋" w:cs="仿宋"/>
          <w:sz w:val="32"/>
          <w:szCs w:val="32"/>
        </w:rPr>
        <w:t>3mg/kg</w:t>
      </w:r>
      <w:r w:rsidRPr="00136FBE">
        <w:rPr>
          <w:rFonts w:ascii="仿宋" w:eastAsia="仿宋" w:hAnsi="仿宋" w:cs="仿宋" w:hint="eastAsia"/>
          <w:sz w:val="32"/>
          <w:szCs w:val="32"/>
        </w:rPr>
        <w:t>，每</w:t>
      </w:r>
      <w:r w:rsidRPr="00136FBE">
        <w:rPr>
          <w:rFonts w:ascii="仿宋" w:eastAsia="仿宋" w:hAnsi="仿宋" w:cs="仿宋"/>
          <w:sz w:val="32"/>
          <w:szCs w:val="32"/>
        </w:rPr>
        <w:t>2</w:t>
      </w:r>
      <w:r w:rsidRPr="00136FBE">
        <w:rPr>
          <w:rFonts w:ascii="仿宋" w:eastAsia="仿宋" w:hAnsi="仿宋" w:cs="仿宋" w:hint="eastAsia"/>
          <w:sz w:val="32"/>
          <w:szCs w:val="32"/>
        </w:rPr>
        <w:t>周一次，</w:t>
      </w:r>
      <w:r w:rsidRPr="00136FBE">
        <w:rPr>
          <w:rFonts w:ascii="仿宋" w:eastAsia="仿宋" w:hAnsi="仿宋" w:cs="仿宋"/>
          <w:sz w:val="32"/>
          <w:szCs w:val="32"/>
        </w:rPr>
        <w:t>60</w:t>
      </w:r>
      <w:r w:rsidRPr="00136FBE">
        <w:rPr>
          <w:rFonts w:ascii="仿宋" w:eastAsia="仿宋" w:hAnsi="仿宋" w:cs="仿宋" w:hint="eastAsia"/>
          <w:sz w:val="32"/>
          <w:szCs w:val="32"/>
        </w:rPr>
        <w:t>分钟输注。在欧美，基于</w:t>
      </w:r>
      <w:r w:rsidRPr="00136FBE">
        <w:rPr>
          <w:rFonts w:ascii="仿宋" w:eastAsia="仿宋" w:hAnsi="仿宋" w:cs="仿宋"/>
          <w:sz w:val="32"/>
          <w:szCs w:val="32"/>
        </w:rPr>
        <w:t>PPK</w:t>
      </w:r>
      <w:r w:rsidRPr="00136FBE">
        <w:rPr>
          <w:rFonts w:ascii="仿宋" w:eastAsia="仿宋" w:hAnsi="仿宋" w:cs="仿宋" w:hint="eastAsia"/>
          <w:sz w:val="32"/>
          <w:szCs w:val="32"/>
        </w:rPr>
        <w:t>研究，纳武利尤单抗已经获批固定剂量，</w:t>
      </w:r>
      <w:r w:rsidRPr="00136FBE">
        <w:rPr>
          <w:rFonts w:ascii="仿宋" w:eastAsia="仿宋" w:hAnsi="仿宋" w:cs="仿宋"/>
          <w:sz w:val="32"/>
          <w:szCs w:val="32"/>
        </w:rPr>
        <w:t>480mg</w:t>
      </w:r>
      <w:r w:rsidRPr="00136FBE">
        <w:rPr>
          <w:rFonts w:ascii="仿宋" w:eastAsia="仿宋" w:hAnsi="仿宋" w:cs="仿宋" w:hint="eastAsia"/>
          <w:sz w:val="32"/>
          <w:szCs w:val="32"/>
        </w:rPr>
        <w:t>、每</w:t>
      </w:r>
      <w:r w:rsidRPr="00136FBE">
        <w:rPr>
          <w:rFonts w:ascii="仿宋" w:eastAsia="仿宋" w:hAnsi="仿宋" w:cs="仿宋"/>
          <w:sz w:val="32"/>
          <w:szCs w:val="32"/>
        </w:rPr>
        <w:t>4</w:t>
      </w:r>
      <w:r w:rsidRPr="00136FBE">
        <w:rPr>
          <w:rFonts w:ascii="仿宋" w:eastAsia="仿宋" w:hAnsi="仿宋" w:cs="仿宋" w:hint="eastAsia"/>
          <w:sz w:val="32"/>
          <w:szCs w:val="32"/>
        </w:rPr>
        <w:t>周一次或者</w:t>
      </w:r>
      <w:r w:rsidRPr="00136FBE">
        <w:rPr>
          <w:rFonts w:ascii="仿宋" w:eastAsia="仿宋" w:hAnsi="仿宋" w:cs="仿宋"/>
          <w:sz w:val="32"/>
          <w:szCs w:val="32"/>
        </w:rPr>
        <w:t>240mg</w:t>
      </w:r>
      <w:r w:rsidRPr="00136FBE">
        <w:rPr>
          <w:rFonts w:ascii="仿宋" w:eastAsia="仿宋" w:hAnsi="仿宋" w:cs="仿宋" w:hint="eastAsia"/>
          <w:sz w:val="32"/>
          <w:szCs w:val="32"/>
        </w:rPr>
        <w:t>、每</w:t>
      </w:r>
      <w:r w:rsidRPr="00136FBE">
        <w:rPr>
          <w:rFonts w:ascii="仿宋" w:eastAsia="仿宋" w:hAnsi="仿宋" w:cs="仿宋"/>
          <w:sz w:val="32"/>
          <w:szCs w:val="32"/>
        </w:rPr>
        <w:t>2</w:t>
      </w:r>
      <w:r w:rsidRPr="00136FBE">
        <w:rPr>
          <w:rFonts w:ascii="仿宋" w:eastAsia="仿宋" w:hAnsi="仿宋" w:cs="仿宋" w:hint="eastAsia"/>
          <w:sz w:val="32"/>
          <w:szCs w:val="32"/>
        </w:rPr>
        <w:t>周一次，</w:t>
      </w:r>
      <w:r w:rsidRPr="00136FBE">
        <w:rPr>
          <w:rFonts w:ascii="仿宋" w:eastAsia="仿宋" w:hAnsi="仿宋" w:cs="仿宋"/>
          <w:sz w:val="32"/>
          <w:szCs w:val="32"/>
        </w:rPr>
        <w:t>30</w:t>
      </w:r>
      <w:r w:rsidRPr="00136FBE">
        <w:rPr>
          <w:rFonts w:ascii="仿宋" w:eastAsia="仿宋" w:hAnsi="仿宋" w:cs="仿宋" w:hint="eastAsia"/>
          <w:sz w:val="32"/>
          <w:szCs w:val="32"/>
        </w:rPr>
        <w:t>分钟输注。</w:t>
      </w:r>
    </w:p>
    <w:p w14:paraId="472DEF57"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根据个体患者的安全性和耐受性，可暂停给药或停药。</w:t>
      </w:r>
      <w:r w:rsidRPr="00136FBE">
        <w:rPr>
          <w:rFonts w:ascii="仿宋" w:eastAsia="仿宋" w:hAnsi="仿宋" w:cs="仿宋" w:hint="eastAsia"/>
          <w:sz w:val="32"/>
          <w:szCs w:val="32"/>
        </w:rPr>
        <w:lastRenderedPageBreak/>
        <w:t>不建议增加或减少剂量。</w:t>
      </w:r>
    </w:p>
    <w:p w14:paraId="4843B3D2"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6.</w:t>
      </w:r>
      <w:r w:rsidRPr="00136FBE">
        <w:rPr>
          <w:rFonts w:ascii="仿宋" w:eastAsia="仿宋" w:hAnsi="仿宋" w:cs="仿宋" w:hint="eastAsia"/>
          <w:sz w:val="32"/>
          <w:szCs w:val="32"/>
        </w:rPr>
        <w:t>发生</w:t>
      </w:r>
      <w:r w:rsidRPr="00136FBE">
        <w:rPr>
          <w:rFonts w:ascii="仿宋" w:eastAsia="仿宋" w:hAnsi="仿宋" w:cs="仿宋"/>
          <w:sz w:val="32"/>
          <w:szCs w:val="32"/>
        </w:rPr>
        <w:t>4</w:t>
      </w:r>
      <w:r w:rsidRPr="00136FBE">
        <w:rPr>
          <w:rFonts w:ascii="仿宋" w:eastAsia="仿宋" w:hAnsi="仿宋" w:cs="仿宋" w:hint="eastAsia"/>
          <w:sz w:val="32"/>
          <w:szCs w:val="32"/>
        </w:rPr>
        <w:t>级或复发性</w:t>
      </w:r>
      <w:r w:rsidRPr="00136FBE">
        <w:rPr>
          <w:rFonts w:ascii="仿宋" w:eastAsia="仿宋" w:hAnsi="仿宋" w:cs="仿宋"/>
          <w:sz w:val="32"/>
          <w:szCs w:val="32"/>
        </w:rPr>
        <w:t>3</w:t>
      </w:r>
      <w:r w:rsidRPr="00136FBE">
        <w:rPr>
          <w:rFonts w:ascii="仿宋" w:eastAsia="仿宋" w:hAnsi="仿宋" w:cs="仿宋" w:hint="eastAsia"/>
          <w:sz w:val="32"/>
          <w:szCs w:val="32"/>
        </w:rPr>
        <w:t>级不良反应，虽然进行治疗调整但仍持续存在</w:t>
      </w:r>
      <w:r w:rsidRPr="00136FBE">
        <w:rPr>
          <w:rFonts w:ascii="仿宋" w:eastAsia="仿宋" w:hAnsi="仿宋" w:cs="仿宋"/>
          <w:sz w:val="32"/>
          <w:szCs w:val="32"/>
        </w:rPr>
        <w:t>2</w:t>
      </w:r>
      <w:r w:rsidRPr="00136FBE">
        <w:rPr>
          <w:rFonts w:ascii="仿宋" w:eastAsia="仿宋" w:hAnsi="仿宋" w:cs="仿宋" w:hint="eastAsia"/>
          <w:sz w:val="32"/>
          <w:szCs w:val="32"/>
        </w:rPr>
        <w:t>级或</w:t>
      </w:r>
      <w:r w:rsidRPr="00136FBE">
        <w:rPr>
          <w:rFonts w:ascii="仿宋" w:eastAsia="仿宋" w:hAnsi="仿宋" w:cs="仿宋"/>
          <w:sz w:val="32"/>
          <w:szCs w:val="32"/>
        </w:rPr>
        <w:t>3</w:t>
      </w:r>
      <w:r w:rsidRPr="00136FBE">
        <w:rPr>
          <w:rFonts w:ascii="仿宋" w:eastAsia="仿宋" w:hAnsi="仿宋" w:cs="仿宋" w:hint="eastAsia"/>
          <w:sz w:val="32"/>
          <w:szCs w:val="32"/>
        </w:rPr>
        <w:t>级不良反应，应永久性停用纳武利尤单抗。</w:t>
      </w:r>
    </w:p>
    <w:p w14:paraId="6856699C"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7.</w:t>
      </w:r>
      <w:r w:rsidRPr="00136FBE">
        <w:rPr>
          <w:rFonts w:ascii="仿宋" w:eastAsia="仿宋" w:hAnsi="仿宋" w:cs="仿宋" w:hint="eastAsia"/>
          <w:sz w:val="32"/>
          <w:szCs w:val="32"/>
        </w:rPr>
        <w:t>老年患者（≥</w:t>
      </w:r>
      <w:r w:rsidRPr="00136FBE">
        <w:rPr>
          <w:rFonts w:ascii="仿宋" w:eastAsia="仿宋" w:hAnsi="仿宋" w:cs="仿宋"/>
          <w:sz w:val="32"/>
          <w:szCs w:val="32"/>
        </w:rPr>
        <w:t>65</w:t>
      </w:r>
      <w:r w:rsidRPr="00136FBE">
        <w:rPr>
          <w:rFonts w:ascii="仿宋" w:eastAsia="仿宋" w:hAnsi="仿宋" w:cs="仿宋" w:hint="eastAsia"/>
          <w:sz w:val="32"/>
          <w:szCs w:val="32"/>
        </w:rPr>
        <w:t>岁）无需调整剂量。</w:t>
      </w:r>
    </w:p>
    <w:p w14:paraId="561E7C35"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8.</w:t>
      </w:r>
      <w:r w:rsidRPr="00136FBE">
        <w:rPr>
          <w:rFonts w:ascii="仿宋" w:eastAsia="仿宋" w:hAnsi="仿宋" w:cs="仿宋" w:hint="eastAsia"/>
          <w:sz w:val="32"/>
          <w:szCs w:val="32"/>
        </w:rPr>
        <w:t>轻中度肾功能损伤患者无需调整剂量。重度肾功能损伤患者的数据有限。</w:t>
      </w:r>
    </w:p>
    <w:p w14:paraId="6A8FE4BA"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9.</w:t>
      </w:r>
      <w:r w:rsidRPr="00136FBE">
        <w:rPr>
          <w:rFonts w:ascii="仿宋" w:eastAsia="仿宋" w:hAnsi="仿宋" w:cs="仿宋" w:hint="eastAsia"/>
          <w:sz w:val="32"/>
          <w:szCs w:val="32"/>
        </w:rPr>
        <w:t>轻中度肝功能损伤患者无需调整剂量，没有对重度肝功能损伤患者进行本品的相关研究，重度（总胆红素、ALT或</w:t>
      </w:r>
      <w:r w:rsidRPr="00136FBE">
        <w:rPr>
          <w:rFonts w:ascii="仿宋" w:eastAsia="仿宋" w:hAnsi="仿宋" w:cs="仿宋"/>
          <w:sz w:val="32"/>
          <w:szCs w:val="32"/>
        </w:rPr>
        <w:t>AST</w:t>
      </w:r>
      <w:r w:rsidRPr="00136FBE">
        <w:rPr>
          <w:rFonts w:ascii="仿宋" w:eastAsia="仿宋" w:hAnsi="仿宋" w:cs="仿宋" w:hint="eastAsia"/>
          <w:sz w:val="32"/>
          <w:szCs w:val="32"/>
        </w:rPr>
        <w:t>＞</w:t>
      </w:r>
      <w:r w:rsidRPr="00136FBE">
        <w:rPr>
          <w:rFonts w:ascii="仿宋" w:eastAsia="仿宋" w:hAnsi="仿宋" w:cs="仿宋"/>
          <w:sz w:val="32"/>
          <w:szCs w:val="32"/>
        </w:rPr>
        <w:t>3</w:t>
      </w:r>
      <w:r w:rsidRPr="00136FBE">
        <w:rPr>
          <w:rFonts w:ascii="仿宋" w:eastAsia="仿宋" w:hAnsi="仿宋" w:cs="仿宋" w:hint="eastAsia"/>
          <w:sz w:val="32"/>
          <w:szCs w:val="32"/>
        </w:rPr>
        <w:t>倍正常值上限）肝功能损伤患者必须慎用本品。</w:t>
      </w:r>
    </w:p>
    <w:p w14:paraId="2D46ADDB"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10.</w:t>
      </w:r>
      <w:r w:rsidRPr="00136FBE">
        <w:rPr>
          <w:rFonts w:ascii="仿宋" w:eastAsia="仿宋" w:hAnsi="仿宋" w:cs="仿宋" w:hint="eastAsia"/>
          <w:sz w:val="32"/>
          <w:szCs w:val="32"/>
        </w:rPr>
        <w:t>纳武利尤单抗可引起免疫相关性不良反应。因为不良反应可能在纳武利尤单抗治疗期间或纳武利尤单抗治疗停止后的任何时间发生，应持续进行患者监测（至少至末次给药后</w:t>
      </w:r>
      <w:r w:rsidRPr="00136FBE">
        <w:rPr>
          <w:rFonts w:ascii="仿宋" w:eastAsia="仿宋" w:hAnsi="仿宋" w:cs="仿宋"/>
          <w:sz w:val="32"/>
          <w:szCs w:val="32"/>
        </w:rPr>
        <w:t>5</w:t>
      </w:r>
      <w:r w:rsidRPr="00136FBE">
        <w:rPr>
          <w:rFonts w:ascii="仿宋" w:eastAsia="仿宋" w:hAnsi="仿宋" w:cs="仿宋" w:hint="eastAsia"/>
          <w:sz w:val="32"/>
          <w:szCs w:val="32"/>
        </w:rPr>
        <w:t>个月）。</w:t>
      </w:r>
    </w:p>
    <w:p w14:paraId="0B886ED2"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11.</w:t>
      </w:r>
      <w:r w:rsidRPr="00136FBE">
        <w:rPr>
          <w:rFonts w:ascii="仿宋" w:eastAsia="仿宋" w:hAnsi="仿宋" w:cs="仿宋" w:hint="eastAsia"/>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至少</w:t>
      </w:r>
      <w:r w:rsidRPr="00136FBE">
        <w:rPr>
          <w:rFonts w:ascii="仿宋" w:eastAsia="仿宋" w:hAnsi="仿宋" w:cs="仿宋"/>
          <w:sz w:val="32"/>
          <w:szCs w:val="32"/>
        </w:rPr>
        <w:t>1</w:t>
      </w:r>
      <w:r w:rsidRPr="00136FBE">
        <w:rPr>
          <w:rFonts w:ascii="仿宋" w:eastAsia="仿宋" w:hAnsi="仿宋" w:cs="仿宋" w:hint="eastAsia"/>
          <w:sz w:val="32"/>
          <w:szCs w:val="32"/>
        </w:rPr>
        <w:t>个月的时间逐渐减量至停药。快速减量可能引起不良反应恶化或复发。如果虽使用了糖皮质激素但仍恶化或无改善，则应增加非糖皮质激素性免疫抑制治疗。</w:t>
      </w:r>
    </w:p>
    <w:p w14:paraId="0C1033FA"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12.</w:t>
      </w:r>
      <w:r w:rsidRPr="00136FBE">
        <w:rPr>
          <w:rFonts w:ascii="仿宋" w:eastAsia="仿宋" w:hAnsi="仿宋" w:cs="仿宋" w:hint="eastAsia"/>
          <w:sz w:val="32"/>
          <w:szCs w:val="32"/>
        </w:rPr>
        <w:t>在患者接受免疫抑制剂量的糖皮质激素或其他免疫</w:t>
      </w:r>
      <w:r w:rsidRPr="00136FBE">
        <w:rPr>
          <w:rFonts w:ascii="仿宋" w:eastAsia="仿宋" w:hAnsi="仿宋" w:cs="仿宋" w:hint="eastAsia"/>
          <w:sz w:val="32"/>
          <w:szCs w:val="32"/>
        </w:rPr>
        <w:lastRenderedPageBreak/>
        <w:t>抑制治疗期间，不可重新使用纳武利尤单抗治疗。</w:t>
      </w:r>
    </w:p>
    <w:p w14:paraId="64A6AE72" w14:textId="77777777" w:rsidR="004B2B1D" w:rsidRPr="00136FBE" w:rsidRDefault="004B2B1D" w:rsidP="004B2B1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13.</w:t>
      </w:r>
      <w:r w:rsidRPr="00136FBE">
        <w:rPr>
          <w:rFonts w:ascii="仿宋" w:eastAsia="仿宋" w:hAnsi="仿宋" w:cs="仿宋" w:hint="eastAsia"/>
          <w:sz w:val="32"/>
          <w:szCs w:val="32"/>
        </w:rPr>
        <w:t>如果出现任何重度、复发的免疫相关性不良反应以及任何危及生命的免疫相关性不良反应，必须永久停止纳武利尤单抗治疗。</w:t>
      </w:r>
    </w:p>
    <w:p w14:paraId="697F4732"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14.</w:t>
      </w:r>
      <w:r w:rsidRPr="00136FBE">
        <w:rPr>
          <w:rFonts w:ascii="仿宋" w:eastAsia="仿宋" w:hAnsi="仿宋" w:cs="仿宋" w:hint="eastAsia"/>
          <w:sz w:val="32"/>
          <w:szCs w:val="32"/>
        </w:rPr>
        <w:t>纳武利尤单抗注射液每毫升含</w:t>
      </w:r>
      <w:r w:rsidRPr="00136FBE">
        <w:rPr>
          <w:rFonts w:ascii="仿宋" w:eastAsia="仿宋" w:hAnsi="仿宋" w:cs="仿宋"/>
          <w:sz w:val="32"/>
          <w:szCs w:val="32"/>
        </w:rPr>
        <w:t>0.1m</w:t>
      </w:r>
      <w:r w:rsidRPr="00136FBE">
        <w:rPr>
          <w:rFonts w:ascii="仿宋" w:eastAsia="仿宋" w:hAnsi="仿宋" w:cs="仿宋" w:hint="eastAsia"/>
          <w:sz w:val="32"/>
          <w:szCs w:val="32"/>
        </w:rPr>
        <w:t>mol（或</w:t>
      </w:r>
      <w:r w:rsidRPr="00136FBE">
        <w:rPr>
          <w:rFonts w:ascii="仿宋" w:eastAsia="仿宋" w:hAnsi="仿宋" w:cs="仿宋"/>
          <w:sz w:val="32"/>
          <w:szCs w:val="32"/>
        </w:rPr>
        <w:t>2.5mg</w:t>
      </w:r>
      <w:r w:rsidRPr="00136FBE">
        <w:rPr>
          <w:rFonts w:ascii="仿宋" w:eastAsia="仿宋" w:hAnsi="仿宋" w:cs="仿宋" w:hint="eastAsia"/>
          <w:sz w:val="32"/>
          <w:szCs w:val="32"/>
        </w:rPr>
        <w:t>）钠，在对控制钠摄入的患者进行治疗时应考虑这一因素。</w:t>
      </w:r>
    </w:p>
    <w:p w14:paraId="52DB25B3" w14:textId="77777777" w:rsidR="004B2B1D" w:rsidRPr="00136FBE" w:rsidRDefault="004B2B1D" w:rsidP="004B2B1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15.</w:t>
      </w:r>
      <w:r w:rsidRPr="00136FBE">
        <w:rPr>
          <w:rFonts w:ascii="仿宋" w:eastAsia="仿宋" w:hAnsi="仿宋" w:cs="仿宋" w:hint="eastAsia"/>
          <w:sz w:val="32"/>
          <w:szCs w:val="32"/>
        </w:rPr>
        <w:t>纳武利尤单抗是一种人单克隆抗体，因单克隆抗体不经CYP450或其他药物代谢酶代谢，因此，合并使用的药物对这些酶的抑制或诱导作用预期不会影响纳武利尤单抗的药代动力学性质。</w:t>
      </w:r>
    </w:p>
    <w:p w14:paraId="3C422A61" w14:textId="77777777" w:rsidR="004B2B1D" w:rsidRPr="00136FBE" w:rsidRDefault="004B2B1D" w:rsidP="004B2B1D">
      <w:pPr>
        <w:spacing w:line="360" w:lineRule="auto"/>
        <w:ind w:firstLineChars="200" w:firstLine="643"/>
        <w:rPr>
          <w:rFonts w:ascii="仿宋" w:eastAsia="仿宋" w:hAnsi="仿宋" w:cs="仿宋"/>
          <w:sz w:val="32"/>
          <w:szCs w:val="32"/>
        </w:rPr>
      </w:pPr>
      <w:r w:rsidRPr="00136FBE">
        <w:rPr>
          <w:rFonts w:ascii="仿宋" w:eastAsia="仿宋" w:hAnsi="仿宋" w:cs="仿宋" w:hint="eastAsia"/>
          <w:b/>
          <w:sz w:val="32"/>
          <w:szCs w:val="32"/>
          <w:vertAlign w:val="superscript"/>
        </w:rPr>
        <w:t>※</w:t>
      </w:r>
      <w:r w:rsidRPr="00136FBE">
        <w:rPr>
          <w:rFonts w:ascii="仿宋" w:eastAsia="仿宋" w:hAnsi="仿宋" w:cs="仿宋" w:hint="eastAsia"/>
          <w:sz w:val="32"/>
          <w:szCs w:val="32"/>
        </w:rPr>
        <w:t>16.在美国，纳武利尤单抗获批用于接受过含铂方案化疗以及至少一种其他疗法的小细胞肺癌，目前国内尚未获批此适应证，可在与患者充分沟通的情况下使用。用法为240mg固定剂量，每2周一次，30分钟输注。</w:t>
      </w:r>
    </w:p>
    <w:p w14:paraId="5160A9B9" w14:textId="77777777" w:rsidR="004B2B1D" w:rsidRPr="00136FBE" w:rsidRDefault="004B2B1D" w:rsidP="004B2B1D">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十五、帕博利珠单抗Pembrolizumab</w:t>
      </w:r>
    </w:p>
    <w:p w14:paraId="045BF9EC"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 xml:space="preserve">注射液：100mg（4ml）/瓶 </w:t>
      </w:r>
    </w:p>
    <w:p w14:paraId="578F92CC"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适应证：</w:t>
      </w:r>
    </w:p>
    <w:p w14:paraId="39FF8190"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1.帕博利珠单抗联合培美曲塞和铂类化疗药适用于EGFR基因突变阴性和ALK阴性的转移性非鳞状NSCLC的一线治疗。</w:t>
      </w:r>
    </w:p>
    <w:p w14:paraId="1A1A48E8"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2.帕博利珠单抗适用于由国家药品监督管理局批准的检测评估为PD-L1肿瘤比例分数（TPS）≥1%的EGFR基因突</w:t>
      </w:r>
      <w:r w:rsidRPr="00136FBE">
        <w:rPr>
          <w:rFonts w:ascii="仿宋" w:eastAsia="仿宋" w:hAnsi="仿宋" w:hint="eastAsia"/>
          <w:color w:val="000000"/>
          <w:sz w:val="32"/>
          <w:szCs w:val="32"/>
        </w:rPr>
        <w:lastRenderedPageBreak/>
        <w:t>变阴性和ALK阴性的局部晚期或转移性NSCLC一线单药治疗。</w:t>
      </w:r>
    </w:p>
    <w:p w14:paraId="7D6BACB7"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3.帕博利珠单抗联合卡铂和紫杉醇适用于转移性鳞状NSCLC患者的一线治疗。</w:t>
      </w:r>
    </w:p>
    <w:p w14:paraId="26CDF0C7"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459AC55B"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只要观察到临床获益，应继续使用帕博利珠单抗治疗至疾病进展或发生不可接受的毒性，有可能观察到非典型反应（例如，治疗最初几个月内肿瘤出现暂时增大或出现新的小病灶，随后肿瘤缩小）。如果患者临床症状稳定，即使有疾病进展的初步证据，但基于总体临床获益的判断，可考虑继续应用本品治疗，直至证实疾病进展。</w:t>
      </w:r>
    </w:p>
    <w:p w14:paraId="5D91FD56"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2.帕博利珠单抗经国家药品监督管理局获批的首个一线肺癌适应证是基于全球Ⅲ期临床研究KEYNOTE-189研究结果，在中国获批的肺癌适应证剂量是200mg固定剂量，通过静脉注射给药，每3周一次，每次持续至少30分钟。</w:t>
      </w:r>
    </w:p>
    <w:p w14:paraId="44B0BEC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14:paraId="4B94DA9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4.根据个体患者的安全性和耐受性，可能需要暂停给药或停药，不建议增加或减少剂量。</w:t>
      </w:r>
    </w:p>
    <w:p w14:paraId="2893F448"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5.发生4级或复发性3级不良反应，虽然进行治疗调整但仍持续存在2级或3级不良反应，应永久性停用帕博利珠</w:t>
      </w:r>
      <w:r w:rsidRPr="00136FBE">
        <w:rPr>
          <w:rFonts w:ascii="仿宋" w:eastAsia="仿宋" w:hAnsi="仿宋" w:hint="eastAsia"/>
          <w:color w:val="000000"/>
          <w:sz w:val="32"/>
          <w:szCs w:val="32"/>
        </w:rPr>
        <w:lastRenderedPageBreak/>
        <w:t>单抗。</w:t>
      </w:r>
    </w:p>
    <w:p w14:paraId="4F0F44EC"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6.老年患者（≥65岁）无需调整剂量。</w:t>
      </w:r>
    </w:p>
    <w:p w14:paraId="17D3F89D"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7.轻中度肾功能损伤患者无需调整剂量，重度肾功能损伤患者的数据有限。</w:t>
      </w:r>
    </w:p>
    <w:p w14:paraId="39F56192"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8.轻度肝功能损伤患者无需调整剂量，尚未在中重度肝功能损伤患者中进行本品的相关研究。</w:t>
      </w:r>
    </w:p>
    <w:p w14:paraId="15AD0345"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9.帕博利珠单抗可引起免疫相关性不良反应。因为不良反应可能在帕博利珠单抗治疗期间或帕博利珠单抗治疗停止后的任何时间发生，应持续进行患者监测（至少至末次给药后5个月）。</w:t>
      </w:r>
    </w:p>
    <w:p w14:paraId="296330C1"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10.对于疑似免疫相关性不良反应，应进行充分的评估以确认病因或排除其他病因。根据不良反应的严重程度，应暂时停用帕博利珠单抗，并应用糖皮质激素治疗。当免疫相关性不良反应改善至≤1级时，需至少一个月的时间逐步减少糖皮质激素的用量直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w:t>
      </w:r>
    </w:p>
    <w:p w14:paraId="5D5228EA"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11.在患者接受免疫抑制剂量的糖皮质激素或其他免疫抑制剂治疗期间，不可重新使用帕博利珠单抗治疗。</w:t>
      </w:r>
    </w:p>
    <w:p w14:paraId="33F879D1"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12.如果出现任何重度、复发的免疫相关性不良反应以及任何危及生命的免疫相关性不良反应，必须永久停止帕博利珠单抗治疗。</w:t>
      </w:r>
    </w:p>
    <w:p w14:paraId="5E66147A"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13.帕博利珠单抗是一种人单克隆抗体，因单克隆抗体不经CYP450或其他药物代谢酶代谢，因此，合并使用的药物对这些酶的抑制或诱导作用预期不会影响帕博利珠单抗的药代动力学性质。</w:t>
      </w:r>
    </w:p>
    <w:p w14:paraId="0D2C6616"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hint="eastAsia"/>
          <w:color w:val="000000"/>
          <w:sz w:val="32"/>
          <w:szCs w:val="32"/>
        </w:rPr>
        <w:t>14.美国FDA、欧盟EMA和日本PMDA批准帕博利珠单抗的适应证还包括：在排除EGFR或ALK阳性基础上，用于PD-L1表达≥1%的晚期NSCLC二线单药治疗。美国FDA批准帕博利珠单抗单药适用于经铂类为基础的化疗方案以及至少一种其他疗法治疗失败的晚期小细胞肺癌患者（即三线及三线以上的治疗）。美国FDA还批准帕博利珠单抗单药用于治疗成人和儿童不可切除或转移性MSI-H或错配修复缺陷的实体瘤以及肿瘤突变负荷高（TMB-H）的无法切除或转移性实体瘤（包括小细胞肺癌）。</w:t>
      </w:r>
      <w:r w:rsidRPr="00076654">
        <w:rPr>
          <w:rFonts w:ascii="仿宋" w:eastAsia="仿宋" w:hAnsi="仿宋" w:hint="eastAsia"/>
          <w:color w:val="000000"/>
          <w:sz w:val="32"/>
          <w:szCs w:val="32"/>
        </w:rPr>
        <w:t>美国</w:t>
      </w:r>
      <w:r>
        <w:rPr>
          <w:rFonts w:ascii="仿宋" w:eastAsia="仿宋" w:hAnsi="仿宋" w:hint="eastAsia"/>
          <w:color w:val="000000"/>
          <w:sz w:val="32"/>
          <w:szCs w:val="32"/>
        </w:rPr>
        <w:t>FDA</w:t>
      </w:r>
      <w:r w:rsidRPr="00076654">
        <w:rPr>
          <w:rFonts w:ascii="仿宋" w:eastAsia="仿宋" w:hAnsi="仿宋" w:hint="eastAsia"/>
          <w:color w:val="000000"/>
          <w:sz w:val="32"/>
          <w:szCs w:val="32"/>
        </w:rPr>
        <w:t>批准的用法</w:t>
      </w:r>
      <w:r>
        <w:rPr>
          <w:rFonts w:ascii="仿宋" w:eastAsia="仿宋" w:hAnsi="仿宋" w:hint="eastAsia"/>
          <w:color w:val="000000"/>
          <w:sz w:val="32"/>
          <w:szCs w:val="32"/>
        </w:rPr>
        <w:t>除每次200mg、每3周一次之外，</w:t>
      </w:r>
      <w:r w:rsidRPr="00076654">
        <w:rPr>
          <w:rFonts w:ascii="仿宋" w:eastAsia="仿宋" w:hAnsi="仿宋" w:hint="eastAsia"/>
          <w:color w:val="000000"/>
          <w:sz w:val="32"/>
          <w:szCs w:val="32"/>
        </w:rPr>
        <w:t>还包括每次400mg，每6周一次。</w:t>
      </w:r>
      <w:r w:rsidRPr="00136FBE">
        <w:rPr>
          <w:rFonts w:ascii="仿宋" w:eastAsia="仿宋" w:hAnsi="仿宋" w:hint="eastAsia"/>
          <w:color w:val="000000"/>
          <w:sz w:val="32"/>
          <w:szCs w:val="32"/>
        </w:rPr>
        <w:t>目前国内尚未获批这些适应证，可在与患者充分沟通的情况下、按照FDA批准的用法正确使用。</w:t>
      </w:r>
    </w:p>
    <w:p w14:paraId="7B5524B1" w14:textId="77777777" w:rsidR="004B2B1D" w:rsidRPr="00136FBE" w:rsidRDefault="004B2B1D" w:rsidP="004B2B1D">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十六、度伐利尤单抗 Durvalumab</w:t>
      </w:r>
    </w:p>
    <w:p w14:paraId="0C6D9E2E"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注射液：120mg（2.4ml）/瓶、500mg（10ml）/瓶</w:t>
      </w:r>
    </w:p>
    <w:p w14:paraId="6459F232"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lastRenderedPageBreak/>
        <w:t>适应证：</w:t>
      </w:r>
      <w:r w:rsidRPr="00136FBE">
        <w:rPr>
          <w:rFonts w:ascii="仿宋" w:eastAsia="仿宋" w:hAnsi="仿宋" w:hint="eastAsia"/>
          <w:color w:val="000000"/>
          <w:sz w:val="32"/>
          <w:szCs w:val="32"/>
        </w:rPr>
        <w:t>度伐利尤单抗适用于在接受铂类药物为基础的化疗同步放疗后未出现疾病进展的不可切除、Ⅲ期NSCLC患者的治疗。</w:t>
      </w:r>
    </w:p>
    <w:p w14:paraId="69AD5DCD"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3AF4620E"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1.度伐利尤单抗的使用方法是10mg/kg，静脉注射给药，每2周一次，每次输注需超过60分钟，直至出现疾病进展或不能耐受的毒性。最长使用不超过12个月。</w:t>
      </w:r>
    </w:p>
    <w:p w14:paraId="4C629218"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w:t>
      </w:r>
      <w:bookmarkStart w:id="0" w:name="_Hlk59364010"/>
      <w:r w:rsidRPr="00136FBE">
        <w:rPr>
          <w:rFonts w:ascii="仿宋" w:eastAsia="仿宋" w:hAnsi="仿宋" w:hint="eastAsia"/>
          <w:color w:val="000000"/>
          <w:sz w:val="32"/>
          <w:szCs w:val="32"/>
        </w:rPr>
        <w:t>对于疑似免疫相关性不良反应，应进行充分的评估以确认病因或排除其他病因。</w:t>
      </w:r>
      <w:bookmarkEnd w:id="0"/>
      <w:r w:rsidRPr="00136FBE">
        <w:rPr>
          <w:rFonts w:ascii="仿宋" w:eastAsia="仿宋" w:hAnsi="仿宋" w:hint="eastAsia"/>
          <w:color w:val="000000"/>
          <w:sz w:val="32"/>
          <w:szCs w:val="32"/>
        </w:rPr>
        <w:t>根据免疫相关性不良反应的类型和严重程度，暂停给药或永久停药，不建议增加或减少剂量。</w:t>
      </w:r>
    </w:p>
    <w:p w14:paraId="7C8B88D8"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尚未确立度伐利尤单抗在18岁以下儿童及青少年中的安全性和有效性。老年患者（≥65岁）、轻度肝功能损伤患者、轻度和中度肾功能损伤患者，均无需进行剂量调整。在中重度肝功能损伤患者、重度肾功能损伤患者中使用的安全性及有效性尚未建立，如经医师评估使用本品预期获益大于风险，需在医师指导下谨慎使用。</w:t>
      </w:r>
    </w:p>
    <w:p w14:paraId="100DB66A"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hint="eastAsia"/>
          <w:color w:val="000000"/>
          <w:sz w:val="32"/>
          <w:szCs w:val="32"/>
        </w:rPr>
        <w:t>4.美国FDA还批准了度伐利尤单抗联合依托泊苷/卡铂或顺铂用于广泛期小细胞肺癌的一线治疗，目前国内尚未获批此适应证，可在与患者充分沟通的情况下使用。用法为1500mg固定剂量，与依托泊苷/卡铂或顺铂联用时，应首先给予度伐利尤单抗，每3周一次；与化疗联用结束后每4周一次，单药维持至疾病进展。</w:t>
      </w:r>
    </w:p>
    <w:p w14:paraId="791BC25E" w14:textId="77777777" w:rsidR="004B2B1D" w:rsidRPr="00136FBE" w:rsidRDefault="004B2B1D" w:rsidP="004B2B1D">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lastRenderedPageBreak/>
        <w:t>十七、卡瑞利珠单抗</w:t>
      </w:r>
      <w:proofErr w:type="spellStart"/>
      <w:r w:rsidRPr="00136FBE">
        <w:rPr>
          <w:rFonts w:ascii="黑体" w:eastAsia="黑体" w:hAnsi="黑体" w:hint="eastAsia"/>
          <w:color w:val="000000"/>
          <w:sz w:val="32"/>
          <w:szCs w:val="32"/>
        </w:rPr>
        <w:t>Camrelizumab</w:t>
      </w:r>
      <w:proofErr w:type="spellEnd"/>
    </w:p>
    <w:p w14:paraId="38FC8364"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粉针剂：200mg/瓶</w:t>
      </w:r>
    </w:p>
    <w:p w14:paraId="4A4954E4"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卡瑞利珠单抗联合培美曲塞和卡铂适用于EGFR基因突变阴性和ALK阴性的、不可手术切除的局部晚期或转移性非鳞NSCLC的一线治疗。</w:t>
      </w:r>
    </w:p>
    <w:p w14:paraId="7A4A8631"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180AFE10"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1.用药前必须明确诊断为EGFR突变阴性和ALK阴性的非鳞NSCLC。</w:t>
      </w:r>
    </w:p>
    <w:p w14:paraId="78C173D1"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2.应该按照相关疾病指南，治疗前做基线评估，治疗期间定期监测治疗反应及毒性。</w:t>
      </w:r>
    </w:p>
    <w:p w14:paraId="3085081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3.本品采用静脉输注的方式给药，静脉输注的推荐剂量为200mg，每次持续30～60分钟，每3周给药一次，直至疾病进展或出现不可接受的毒性。</w:t>
      </w:r>
      <w:r w:rsidRPr="00CE5625">
        <w:rPr>
          <w:rFonts w:ascii="仿宋" w:eastAsia="仿宋" w:hAnsi="仿宋" w:hint="eastAsia"/>
          <w:color w:val="000000"/>
          <w:sz w:val="32"/>
          <w:szCs w:val="32"/>
        </w:rPr>
        <w:t>当卡瑞利珠单抗联合化疗给药时，应首先给予卡瑞利珠单抗静脉滴注，间隔至少</w:t>
      </w:r>
      <w:r>
        <w:rPr>
          <w:rFonts w:ascii="仿宋" w:eastAsia="仿宋" w:hAnsi="仿宋" w:hint="eastAsia"/>
          <w:color w:val="000000"/>
          <w:sz w:val="32"/>
          <w:szCs w:val="32"/>
        </w:rPr>
        <w:t>3</w:t>
      </w:r>
      <w:r w:rsidRPr="00CE5625">
        <w:rPr>
          <w:rFonts w:ascii="仿宋" w:eastAsia="仿宋" w:hAnsi="仿宋" w:hint="eastAsia"/>
          <w:color w:val="000000"/>
          <w:sz w:val="32"/>
          <w:szCs w:val="32"/>
        </w:rPr>
        <w:t>0分钟后再给予化疗。</w:t>
      </w:r>
    </w:p>
    <w:p w14:paraId="7A955604"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4.有可能观察到非典型反应。如果患者临床症状稳定或持续减轻，即使有疾病进展的初步证据，基于总体临床获益的判断，可考虑继续应用本品治疗，直至证实疾病进展。</w:t>
      </w:r>
    </w:p>
    <w:p w14:paraId="4E11BF9A"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5.如出现免疫相关性不良反应，根据个体患者的安全性和耐受性，可能需要暂停给药或永久停药。不建议增加或减少剂量。有关暂停给药和永久停药的指南，详见附表1所述。</w:t>
      </w:r>
    </w:p>
    <w:p w14:paraId="19F0635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6.目前本品尚无针对中重度肝功能损伤患者的研究数</w:t>
      </w:r>
      <w:r w:rsidRPr="00136FBE">
        <w:rPr>
          <w:rFonts w:ascii="仿宋" w:eastAsia="仿宋" w:hAnsi="仿宋" w:hint="eastAsia"/>
          <w:color w:val="000000"/>
          <w:sz w:val="32"/>
          <w:szCs w:val="32"/>
        </w:rPr>
        <w:lastRenderedPageBreak/>
        <w:t>据，中重度肝功能损伤患者不推荐使用。轻度肝功能损伤患者应在医师指导下慎用本品，如需使用，无需进行剂量调整。</w:t>
      </w:r>
    </w:p>
    <w:p w14:paraId="3620E09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7.目前本品尚无针对中重度肾功能损伤患者的研究数据，中重度肾功能损伤患者不推荐使用。轻度肾功能损伤患者应在医师指导下慎用本品，如需使用，无需进行剂量调整。</w:t>
      </w:r>
    </w:p>
    <w:p w14:paraId="2655F494"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8.本品尚无在18岁以下儿童及青少年中的安全性和有效性数据。</w:t>
      </w:r>
    </w:p>
    <w:p w14:paraId="4A9489D0"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9.本品在≥65岁的老年患者中应用数据有限，建议在医师的指导下慎用，如需使用，无需进行剂量调整。</w:t>
      </w:r>
    </w:p>
    <w:p w14:paraId="3F77C54F"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10.不建议在妊娠期间使用本品治疗。</w:t>
      </w:r>
    </w:p>
    <w:p w14:paraId="70D92BE2"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11.因可能干扰本品药效学活性，应避免在开始本品治疗前使用全身性糖皮质激素及其他免疫抑制剂。但是如果为了治疗免疫相关性不良反应，可在开始本品治疗后使用全身糖皮质激素及其他免疫抑制剂。</w:t>
      </w:r>
    </w:p>
    <w:p w14:paraId="5675622E"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w:t>
      </w:r>
      <w:r>
        <w:rPr>
          <w:rFonts w:ascii="仿宋" w:eastAsia="仿宋" w:hAnsi="仿宋"/>
          <w:color w:val="000000"/>
          <w:sz w:val="32"/>
          <w:szCs w:val="32"/>
        </w:rPr>
        <w:t>2</w:t>
      </w:r>
      <w:r w:rsidRPr="00136FBE">
        <w:rPr>
          <w:rFonts w:ascii="仿宋" w:eastAsia="仿宋" w:hAnsi="仿宋" w:hint="eastAsia"/>
          <w:color w:val="000000"/>
          <w:sz w:val="32"/>
          <w:szCs w:val="32"/>
        </w:rPr>
        <w:t>.反应性毛细血管增生症的处理：在接受本品治疗的患者中，共731例（74.1%）发生反应性毛细血管增生症。反应性毛细血管增生症，大多发生在体表皮肤，少数可见于口腔黏膜、鼻腔黏膜以及眼睑结膜。发生于皮肤的反应性毛细血管增生，初始多表现为体表鲜红色点状物，直径≤2mm，随着用药次数增加，病变范围可逐渐增大，多为结节状，也有斑片状，颜色鲜红或暗红，需观察临床症状和体征，可按照附表2分级标准和治疗建议进行处理。</w:t>
      </w:r>
    </w:p>
    <w:p w14:paraId="704459E5"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当患者出现该不良反应时，应避免抓挠或摩擦，易摩擦部位可用纱布保护以避免出血，同时应联系主管医师，获得恰当的处理建议。破溃出血者可采用局部压迫止血，或采取如激光或手术切除等局部治疗；并发感染者应给予抗感染治疗。反应性毛细血管增生症可能在皮肤以外的其他组织发生（包括内脏器官），必要时进行相应的医学检查，如大便潜血、内窥镜及影像学检查（具体相关内容详见《反应性毛细血管增生症信息收集及风险管理计划》）。</w:t>
      </w:r>
    </w:p>
    <w:p w14:paraId="0939A892" w14:textId="77777777" w:rsidR="004B2B1D" w:rsidRPr="00136FBE" w:rsidRDefault="004B2B1D" w:rsidP="004B2B1D">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十八、阿替利珠单抗 Atezolizumab</w:t>
      </w:r>
    </w:p>
    <w:p w14:paraId="04049E9E"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 xml:space="preserve">注射液：1200mg（20ml）/瓶 </w:t>
      </w:r>
    </w:p>
    <w:p w14:paraId="4045C201"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阿替利珠单抗与卡铂和依托泊苷联合用于广泛期小细胞肺癌患者的一线治疗。</w:t>
      </w:r>
    </w:p>
    <w:p w14:paraId="4F307974" w14:textId="77777777" w:rsidR="004B2B1D" w:rsidRPr="00136FBE" w:rsidRDefault="004B2B1D" w:rsidP="004B2B1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11B02FDC"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1.阿替利珠单抗的用法是固定剂量1200mg，通过静脉注射给药，诱导期联合卡铂和依托泊苷方案每3周一次，治疗4个周期后进入无化疗的维持期；首次给药至少持续60分钟，后续可至少30分钟。</w:t>
      </w:r>
    </w:p>
    <w:p w14:paraId="2F28C0CC"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患者可接受阿替利珠单抗治疗直至无临床获益或出现不可接受的毒性。如果患者临床症状稳定，即使有疾病进展的初步证据，但基于总体临床获益的判断，可考虑继续应用本品治疗。应对疾病进展后继续使用阿替利珠单抗 治疗的患者开展密切监测，4～8周内重复肿瘤疗效评估。</w:t>
      </w:r>
    </w:p>
    <w:p w14:paraId="49791C96"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3.对于疑似免疫相关性不良反应，应进行充分的评估     以确认病因或排除其他病因。根据免疫相关性不良反应的类型和严重程度，可能需要暂停给药或永久停药，不建议增加或减少剂量，详见</w:t>
      </w:r>
      <w:r w:rsidRPr="001D7BEA">
        <w:rPr>
          <w:rFonts w:ascii="仿宋" w:eastAsia="仿宋" w:hAnsi="仿宋" w:hint="eastAsia"/>
          <w:sz w:val="32"/>
          <w:szCs w:val="32"/>
        </w:rPr>
        <w:t>附表1</w:t>
      </w:r>
      <w:r w:rsidRPr="00136FBE">
        <w:rPr>
          <w:rFonts w:ascii="仿宋" w:eastAsia="仿宋" w:hAnsi="仿宋" w:hint="eastAsia"/>
          <w:color w:val="000000"/>
          <w:sz w:val="32"/>
          <w:szCs w:val="32"/>
        </w:rPr>
        <w:t>。</w:t>
      </w:r>
    </w:p>
    <w:p w14:paraId="464A9576"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在使用本品之前应尽量避免使用全身性糖皮质激素或其他免疫抑制剂，因为这些药物可能会影响本品的药效学活性及疗效。但在本品开始给药后，可使用全身性糖皮质激素或其他免疫抑制剂治疗免疫相关性不良反应。在患者接受免疫抑制剂量的糖皮质激素或其他免疫抑制剂治疗期间，不建议重新使用阿替利珠单抗治疗。</w:t>
      </w:r>
    </w:p>
    <w:p w14:paraId="3654AA15" w14:textId="77777777" w:rsidR="004B2B1D" w:rsidRPr="00136FBE" w:rsidRDefault="004B2B1D" w:rsidP="004B2B1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尚未确立阿替利珠单抗在18岁以下儿童和青少年患者中的安全性和有效性。老年患者（≥65岁）、轻度肝功能损伤患者、轻度和中度肾功能损伤患者，无需调整剂量。在中重度肝功能损伤患者、重度肾功能损伤患者中使用的安全性及有效性尚未建立，如经医师评估使用本品预期获益大于风险，需在医师指导下谨慎使用。</w:t>
      </w:r>
    </w:p>
    <w:p w14:paraId="690DB5C7" w14:textId="77777777" w:rsidR="004B2B1D" w:rsidRPr="00136FBE" w:rsidRDefault="004B2B1D" w:rsidP="004B2B1D">
      <w:pPr>
        <w:spacing w:line="360" w:lineRule="auto"/>
        <w:ind w:firstLineChars="200" w:firstLine="643"/>
        <w:rPr>
          <w:rFonts w:ascii="仿宋" w:eastAsia="仿宋" w:hAnsi="仿宋"/>
          <w:color w:val="000000"/>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hint="eastAsia"/>
          <w:color w:val="000000"/>
          <w:sz w:val="32"/>
          <w:szCs w:val="32"/>
        </w:rPr>
        <w:t>6.美国FDA批准阿替利珠单抗的适应证还包括：尿路上皮癌、NSCLC、三阴性乳腺癌。目前国内尚未获批这些适应证，可在与患者充分沟通的情况下、按照每个瘤肿批准的用法正确使用。</w:t>
      </w:r>
    </w:p>
    <w:p w14:paraId="4E037E71" w14:textId="77777777" w:rsidR="004B2B1D" w:rsidRPr="00136FBE" w:rsidRDefault="004B2B1D" w:rsidP="004B2B1D">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十九、依维</w:t>
      </w:r>
      <w:r w:rsidRPr="00136FBE">
        <w:rPr>
          <w:rFonts w:ascii="黑体" w:eastAsia="黑体" w:hAnsi="黑体" w:hint="eastAsia"/>
          <w:b/>
          <w:color w:val="000000"/>
          <w:sz w:val="32"/>
          <w:szCs w:val="32"/>
        </w:rPr>
        <w:t>莫司</w:t>
      </w:r>
      <w:proofErr w:type="spellStart"/>
      <w:r w:rsidRPr="00136FBE">
        <w:rPr>
          <w:rFonts w:ascii="黑体" w:eastAsia="黑体" w:hAnsi="黑体" w:hint="eastAsia"/>
          <w:color w:val="000000"/>
          <w:sz w:val="32"/>
          <w:szCs w:val="32"/>
        </w:rPr>
        <w:t>E</w:t>
      </w:r>
      <w:r w:rsidRPr="00136FBE">
        <w:rPr>
          <w:rFonts w:ascii="黑体" w:eastAsia="黑体" w:hAnsi="黑体"/>
          <w:color w:val="000000"/>
          <w:sz w:val="32"/>
          <w:szCs w:val="32"/>
        </w:rPr>
        <w:t>verolimus</w:t>
      </w:r>
      <w:proofErr w:type="spellEnd"/>
    </w:p>
    <w:p w14:paraId="77168525" w14:textId="77777777" w:rsidR="004B2B1D" w:rsidRPr="00136FBE" w:rsidRDefault="004B2B1D" w:rsidP="004B2B1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片剂：2.5mg、5mg、10mg</w:t>
      </w:r>
    </w:p>
    <w:p w14:paraId="35FEE350" w14:textId="77777777" w:rsidR="004B2B1D" w:rsidRPr="00136FBE" w:rsidRDefault="004B2B1D" w:rsidP="004B2B1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lastRenderedPageBreak/>
        <w:t>适应证：</w:t>
      </w:r>
      <w:r w:rsidRPr="00136FBE">
        <w:rPr>
          <w:rFonts w:ascii="仿宋" w:eastAsia="仿宋" w:hAnsi="仿宋" w:hint="eastAsia"/>
          <w:color w:val="000000"/>
          <w:sz w:val="32"/>
          <w:szCs w:val="32"/>
        </w:rPr>
        <w:t>无法手术切除的、局部晚期或转移性的、分化良好的、进展期非功能性胃肠道或肺源神经内分泌肿瘤成人患者。</w:t>
      </w:r>
    </w:p>
    <w:p w14:paraId="0E634C1B" w14:textId="77777777" w:rsidR="004B2B1D" w:rsidRPr="00136FBE" w:rsidRDefault="004B2B1D" w:rsidP="004B2B1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126B6BB2"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1.本品的推荐剂量为10mg每日一次口服给药，在每天同一时间服用。</w:t>
      </w:r>
    </w:p>
    <w:p w14:paraId="3E0F54DF"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用一杯水整片送服本品片剂，不应咀嚼或压碎。对于无法吞咽片剂的患者，用药前将本品片剂放入一杯水中（约30ml）轻轻搅拌至完全溶解（大约需要7分钟）后立即服用。用相同容量的水清洗水杯并将清洗液全部服用，以确保服用了完整剂量。</w:t>
      </w:r>
    </w:p>
    <w:p w14:paraId="6D37B43E"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3.只要存在临床获益就应持续治疗，或使用至出现不能耐受的毒性反应时。</w:t>
      </w:r>
    </w:p>
    <w:p w14:paraId="0D0AA86F"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4.在肾功能损伤患者中没有进行本品临床研究。预期肾功能损伤不会影响药物暴露，在肾功能损伤患者中不推荐调整依维莫司剂量。</w:t>
      </w:r>
    </w:p>
    <w:p w14:paraId="6CEC722E"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5</w:t>
      </w:r>
      <w:r w:rsidRPr="00136FBE">
        <w:rPr>
          <w:rFonts w:ascii="仿宋" w:eastAsia="仿宋" w:hAnsi="仿宋" w:hint="eastAsia"/>
          <w:color w:val="000000"/>
          <w:sz w:val="32"/>
          <w:szCs w:val="32"/>
        </w:rPr>
        <w:t>.本品具有免疫抑制性，在开始本品治疗前应彻底治疗已经存在的侵入性真菌感染。</w:t>
      </w:r>
    </w:p>
    <w:p w14:paraId="45E52FF8"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6</w:t>
      </w:r>
      <w:r w:rsidRPr="00136FBE">
        <w:rPr>
          <w:rFonts w:ascii="仿宋" w:eastAsia="仿宋" w:hAnsi="仿宋" w:hint="eastAsia"/>
          <w:color w:val="000000"/>
          <w:sz w:val="32"/>
          <w:szCs w:val="32"/>
        </w:rPr>
        <w:t>.对本品有效成份、其他雷帕霉素衍生物或本品中任何辅料过敏者禁用。在使用依维莫司和其他雷帕霉素衍生物患者中已观察到的过敏反应表现包括但不限于：过敏、呼吸困难、潮红、胸痛或血管性水肿（例如，伴或不伴呼吸功能不</w:t>
      </w:r>
      <w:r w:rsidRPr="00136FBE">
        <w:rPr>
          <w:rFonts w:ascii="仿宋" w:eastAsia="仿宋" w:hAnsi="仿宋" w:hint="eastAsia"/>
          <w:color w:val="000000"/>
          <w:sz w:val="32"/>
          <w:szCs w:val="32"/>
        </w:rPr>
        <w:lastRenderedPageBreak/>
        <w:t>全的气道或舌肿胀）。</w:t>
      </w:r>
    </w:p>
    <w:p w14:paraId="046E0E3F"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7</w:t>
      </w:r>
      <w:r w:rsidRPr="00136FBE">
        <w:rPr>
          <w:rFonts w:ascii="仿宋" w:eastAsia="仿宋" w:hAnsi="仿宋" w:hint="eastAsia"/>
          <w:color w:val="000000"/>
          <w:sz w:val="32"/>
          <w:szCs w:val="32"/>
        </w:rPr>
        <w:t>.口腔炎包括口腔溃疡和口腔黏膜炎。在临床试验中，发生率为44%～86%，4%～9%的患者报告了3级或4级口腔炎。口腔炎大部分在治疗的前8周内发生。如果发生口腔炎，建议使用局部治疗。</w:t>
      </w:r>
    </w:p>
    <w:p w14:paraId="0D252F80" w14:textId="77777777" w:rsidR="004B2B1D" w:rsidRPr="00136FBE" w:rsidRDefault="004B2B1D" w:rsidP="004B2B1D">
      <w:pPr>
        <w:ind w:firstLineChars="200" w:firstLine="640"/>
        <w:rPr>
          <w:rFonts w:ascii="仿宋" w:eastAsia="仿宋" w:hAnsi="仿宋"/>
          <w:color w:val="000000"/>
          <w:sz w:val="32"/>
          <w:szCs w:val="32"/>
        </w:rPr>
      </w:pPr>
      <w:r w:rsidRPr="00136FBE">
        <w:rPr>
          <w:rFonts w:ascii="仿宋" w:eastAsia="仿宋" w:hAnsi="仿宋"/>
          <w:color w:val="000000"/>
          <w:sz w:val="32"/>
          <w:szCs w:val="32"/>
        </w:rPr>
        <w:t>8</w:t>
      </w:r>
      <w:r w:rsidRPr="00136FBE">
        <w:rPr>
          <w:rFonts w:ascii="仿宋" w:eastAsia="仿宋" w:hAnsi="仿宋" w:hint="eastAsia"/>
          <w:color w:val="000000"/>
          <w:sz w:val="32"/>
          <w:szCs w:val="32"/>
        </w:rPr>
        <w:t>.避免</w:t>
      </w:r>
      <w:r w:rsidRPr="00136FBE">
        <w:rPr>
          <w:rFonts w:ascii="仿宋" w:eastAsia="仿宋" w:hAnsi="仿宋"/>
          <w:color w:val="000000"/>
          <w:sz w:val="32"/>
          <w:szCs w:val="32"/>
        </w:rPr>
        <w:t>联</w:t>
      </w:r>
      <w:r w:rsidRPr="00136FBE">
        <w:rPr>
          <w:rFonts w:ascii="仿宋" w:eastAsia="仿宋" w:hAnsi="仿宋" w:hint="eastAsia"/>
          <w:color w:val="000000"/>
          <w:sz w:val="32"/>
          <w:szCs w:val="32"/>
        </w:rPr>
        <w:t>用CYP3A4强效抑制剂和诱导剂以及P-</w:t>
      </w:r>
      <w:proofErr w:type="spellStart"/>
      <w:r w:rsidRPr="00136FBE">
        <w:rPr>
          <w:rFonts w:ascii="仿宋" w:eastAsia="仿宋" w:hAnsi="仿宋" w:hint="eastAsia"/>
          <w:color w:val="000000"/>
          <w:sz w:val="32"/>
          <w:szCs w:val="32"/>
        </w:rPr>
        <w:t>gp</w:t>
      </w:r>
      <w:proofErr w:type="spellEnd"/>
      <w:r w:rsidRPr="00136FBE">
        <w:rPr>
          <w:rFonts w:ascii="仿宋" w:eastAsia="仿宋" w:hAnsi="仿宋" w:hint="eastAsia"/>
          <w:color w:val="000000"/>
          <w:sz w:val="32"/>
          <w:szCs w:val="32"/>
        </w:rPr>
        <w:t>抑制剂。</w:t>
      </w:r>
    </w:p>
    <w:p w14:paraId="669C0635" w14:textId="77777777" w:rsidR="004B2B1D" w:rsidRDefault="004B2B1D">
      <w:pPr>
        <w:spacing w:line="360" w:lineRule="auto"/>
        <w:ind w:firstLineChars="200" w:firstLine="883"/>
        <w:jc w:val="center"/>
        <w:rPr>
          <w:rFonts w:ascii="宋体" w:hAnsi="宋体" w:cs="宋体"/>
          <w:b/>
          <w:bCs/>
          <w:sz w:val="44"/>
          <w:szCs w:val="44"/>
        </w:rPr>
      </w:pPr>
    </w:p>
    <w:p w14:paraId="0AA70EC0" w14:textId="77777777"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消化系统肿瘤用药</w:t>
      </w:r>
    </w:p>
    <w:p w14:paraId="45ED9A04" w14:textId="77777777" w:rsidR="00B23A40" w:rsidRPr="00136FBE" w:rsidRDefault="00B23A40">
      <w:pPr>
        <w:widowControl/>
        <w:spacing w:line="360" w:lineRule="auto"/>
        <w:ind w:firstLineChars="200" w:firstLine="643"/>
        <w:jc w:val="left"/>
        <w:rPr>
          <w:rFonts w:ascii="仿宋" w:eastAsia="仿宋" w:hAnsi="仿宋" w:cs="Times New Roman"/>
          <w:b/>
          <w:bCs/>
          <w:sz w:val="32"/>
          <w:szCs w:val="32"/>
        </w:rPr>
      </w:pPr>
    </w:p>
    <w:p w14:paraId="473A631E" w14:textId="77777777" w:rsidR="00B23A40" w:rsidRPr="00136FBE" w:rsidRDefault="00DD1A0D">
      <w:pPr>
        <w:spacing w:line="360" w:lineRule="auto"/>
        <w:ind w:firstLineChars="200" w:firstLine="640"/>
        <w:rPr>
          <w:rFonts w:ascii="黑体" w:eastAsia="黑体" w:hAnsi="黑体" w:cs="Times New Roman"/>
          <w:sz w:val="32"/>
          <w:szCs w:val="32"/>
          <w:lang w:val="it-IT"/>
        </w:rPr>
      </w:pPr>
      <w:r w:rsidRPr="00136FBE">
        <w:rPr>
          <w:rFonts w:ascii="黑体" w:eastAsia="黑体" w:hAnsi="黑体" w:cs="黑体" w:hint="eastAsia"/>
          <w:sz w:val="32"/>
          <w:szCs w:val="32"/>
          <w:lang w:val="it-IT"/>
        </w:rPr>
        <w:t>一、</w:t>
      </w:r>
      <w:r w:rsidRPr="00136FBE">
        <w:rPr>
          <w:rFonts w:ascii="黑体" w:eastAsia="黑体" w:hAnsi="黑体" w:cs="黑体" w:hint="eastAsia"/>
          <w:sz w:val="32"/>
          <w:szCs w:val="32"/>
        </w:rPr>
        <w:t xml:space="preserve">索拉非尼 </w:t>
      </w:r>
      <w:r w:rsidR="00F111D5" w:rsidRPr="00136FBE">
        <w:rPr>
          <w:rFonts w:ascii="黑体" w:eastAsia="黑体" w:hAnsi="黑体" w:cs="黑体" w:hint="eastAsia"/>
          <w:sz w:val="32"/>
          <w:szCs w:val="32"/>
        </w:rPr>
        <w:t>S</w:t>
      </w:r>
      <w:r w:rsidRPr="00136FBE">
        <w:rPr>
          <w:rFonts w:ascii="黑体" w:eastAsia="黑体" w:hAnsi="黑体" w:cs="黑体"/>
          <w:sz w:val="32"/>
          <w:szCs w:val="32"/>
        </w:rPr>
        <w:t>orafenib</w:t>
      </w:r>
    </w:p>
    <w:p w14:paraId="25F963AC"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006D3083" w:rsidRPr="00136FBE">
        <w:rPr>
          <w:rFonts w:ascii="仿宋" w:eastAsia="仿宋" w:hAnsi="仿宋" w:hint="eastAsia"/>
          <w:color w:val="000000"/>
          <w:sz w:val="32"/>
          <w:szCs w:val="32"/>
        </w:rPr>
        <w:t>200mg</w:t>
      </w:r>
    </w:p>
    <w:p w14:paraId="6B7174EE"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治疗无法手术或远处转移的肝细胞癌。</w:t>
      </w:r>
    </w:p>
    <w:p w14:paraId="7A9FB82E"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5C69C84D"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用药期间最常见的不良反应有腹泻、乏力、脱发、感染、手足皮肤反应、皮疹。</w:t>
      </w:r>
    </w:p>
    <w:p w14:paraId="61361B18"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推荐服用剂量为每次</w:t>
      </w:r>
      <w:r w:rsidRPr="00136FBE">
        <w:rPr>
          <w:rFonts w:ascii="仿宋" w:eastAsia="仿宋" w:hAnsi="仿宋" w:cs="仿宋"/>
          <w:sz w:val="32"/>
          <w:szCs w:val="32"/>
        </w:rPr>
        <w:t>0.4g</w:t>
      </w:r>
      <w:r w:rsidR="009B5E4D">
        <w:rPr>
          <w:rFonts w:ascii="仿宋" w:eastAsia="仿宋" w:hAnsi="仿宋" w:cs="仿宋" w:hint="eastAsia"/>
          <w:sz w:val="32"/>
          <w:szCs w:val="32"/>
        </w:rPr>
        <w:t>，</w:t>
      </w:r>
      <w:r w:rsidRPr="00136FBE">
        <w:rPr>
          <w:rFonts w:ascii="仿宋" w:eastAsia="仿宋" w:hAnsi="仿宋" w:cs="仿宋" w:hint="eastAsia"/>
          <w:sz w:val="32"/>
          <w:szCs w:val="32"/>
        </w:rPr>
        <w:t>每日两次，空腹或伴低脂、中脂饮食服用，</w:t>
      </w:r>
      <w:r w:rsidR="00047CD8" w:rsidRPr="00047CD8">
        <w:rPr>
          <w:rFonts w:ascii="仿宋" w:eastAsia="仿宋" w:hAnsi="仿宋" w:cs="仿宋" w:hint="eastAsia"/>
          <w:sz w:val="32"/>
          <w:szCs w:val="32"/>
        </w:rPr>
        <w:t>必须整片吞服，如果漏服或呕吐同一天内不得补服</w:t>
      </w:r>
      <w:r w:rsidR="00047CD8">
        <w:rPr>
          <w:rFonts w:ascii="仿宋" w:eastAsia="仿宋" w:hAnsi="仿宋" w:cs="仿宋" w:hint="eastAsia"/>
          <w:sz w:val="32"/>
          <w:szCs w:val="32"/>
        </w:rPr>
        <w:t>。</w:t>
      </w:r>
      <w:r w:rsidRPr="00136FBE">
        <w:rPr>
          <w:rFonts w:ascii="仿宋" w:eastAsia="仿宋" w:hAnsi="仿宋" w:cs="仿宋" w:hint="eastAsia"/>
          <w:sz w:val="32"/>
          <w:szCs w:val="32"/>
        </w:rPr>
        <w:t>对疑似不良反应的处理包括暂停或减少用量，如需减少剂量，索拉非尼的剂量减为每日一次，每次</w:t>
      </w:r>
      <w:r w:rsidRPr="00136FBE">
        <w:rPr>
          <w:rFonts w:ascii="仿宋" w:eastAsia="仿宋" w:hAnsi="仿宋" w:cs="仿宋"/>
          <w:sz w:val="32"/>
          <w:szCs w:val="32"/>
        </w:rPr>
        <w:t>0.4g</w:t>
      </w:r>
      <w:r w:rsidRPr="00136FBE">
        <w:rPr>
          <w:rFonts w:ascii="仿宋" w:eastAsia="仿宋" w:hAnsi="仿宋" w:cs="仿宋" w:hint="eastAsia"/>
          <w:sz w:val="32"/>
          <w:szCs w:val="32"/>
        </w:rPr>
        <w:t>，口服。</w:t>
      </w:r>
    </w:p>
    <w:p w14:paraId="73BA61D9"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与通过</w:t>
      </w:r>
      <w:r w:rsidRPr="00136FBE">
        <w:rPr>
          <w:rFonts w:ascii="仿宋" w:eastAsia="仿宋" w:hAnsi="仿宋" w:cs="仿宋"/>
          <w:sz w:val="32"/>
          <w:szCs w:val="32"/>
        </w:rPr>
        <w:t>UGT1A1</w:t>
      </w:r>
      <w:r w:rsidRPr="00136FBE">
        <w:rPr>
          <w:rFonts w:ascii="仿宋" w:eastAsia="仿宋" w:hAnsi="仿宋" w:cs="仿宋" w:hint="eastAsia"/>
          <w:sz w:val="32"/>
          <w:szCs w:val="32"/>
        </w:rPr>
        <w:t>途径代谢</w:t>
      </w:r>
      <w:r w:rsidRPr="00136FBE">
        <w:rPr>
          <w:rFonts w:ascii="仿宋" w:eastAsia="仿宋" w:hAnsi="仿宋" w:cs="仿宋"/>
          <w:sz w:val="32"/>
          <w:szCs w:val="32"/>
        </w:rPr>
        <w:t>/</w:t>
      </w:r>
      <w:r w:rsidRPr="00136FBE">
        <w:rPr>
          <w:rFonts w:ascii="仿宋" w:eastAsia="仿宋" w:hAnsi="仿宋" w:cs="仿宋" w:hint="eastAsia"/>
          <w:sz w:val="32"/>
          <w:szCs w:val="32"/>
        </w:rPr>
        <w:t>清除的药物（如伊立替康、多西他赛）联合应用时需谨慎。与华法林合用时应定期检测</w:t>
      </w:r>
      <w:r w:rsidRPr="00136FBE">
        <w:rPr>
          <w:rFonts w:ascii="仿宋" w:eastAsia="仿宋" w:hAnsi="仿宋" w:cs="仿宋"/>
          <w:sz w:val="32"/>
          <w:szCs w:val="32"/>
        </w:rPr>
        <w:lastRenderedPageBreak/>
        <w:t>INR</w:t>
      </w:r>
      <w:r w:rsidRPr="00136FBE">
        <w:rPr>
          <w:rFonts w:ascii="仿宋" w:eastAsia="仿宋" w:hAnsi="仿宋" w:cs="仿宋" w:hint="eastAsia"/>
          <w:sz w:val="32"/>
          <w:szCs w:val="32"/>
        </w:rPr>
        <w:t>值。</w:t>
      </w:r>
    </w:p>
    <w:p w14:paraId="5048C4E2"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目前缺乏在晚期肝细胞癌患者中索拉非尼与介入治疗如肝动脉栓塞化疗（</w:t>
      </w:r>
      <w:r w:rsidRPr="00136FBE">
        <w:rPr>
          <w:rFonts w:ascii="仿宋" w:eastAsia="仿宋" w:hAnsi="仿宋" w:cs="仿宋"/>
          <w:sz w:val="32"/>
          <w:szCs w:val="32"/>
        </w:rPr>
        <w:t>TACE</w:t>
      </w:r>
      <w:r w:rsidRPr="00136FBE">
        <w:rPr>
          <w:rFonts w:ascii="仿宋" w:eastAsia="仿宋" w:hAnsi="仿宋" w:cs="仿宋" w:hint="eastAsia"/>
          <w:sz w:val="32"/>
          <w:szCs w:val="32"/>
        </w:rPr>
        <w:t>）比较的随机对照临床研究数据，因此尚不能明确本品相对介入治疗的优劣，也不能明确对既往接受过介入治疗后患者使用索拉非尼是否有益。</w:t>
      </w:r>
    </w:p>
    <w:p w14:paraId="12B5E01B"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5.TACTICS</w:t>
      </w:r>
      <w:r w:rsidRPr="00136FBE">
        <w:rPr>
          <w:rFonts w:ascii="仿宋" w:eastAsia="仿宋" w:hAnsi="仿宋" w:cs="仿宋" w:hint="eastAsia"/>
          <w:sz w:val="32"/>
          <w:szCs w:val="32"/>
        </w:rPr>
        <w:t>研究（</w:t>
      </w:r>
      <w:r w:rsidRPr="00136FBE">
        <w:rPr>
          <w:rFonts w:ascii="仿宋" w:eastAsia="仿宋" w:hAnsi="仿宋" w:cs="仿宋"/>
          <w:sz w:val="32"/>
          <w:szCs w:val="32"/>
        </w:rPr>
        <w:t>NCT01217034</w:t>
      </w:r>
      <w:r w:rsidRPr="00136FBE">
        <w:rPr>
          <w:rFonts w:ascii="仿宋" w:eastAsia="仿宋" w:hAnsi="仿宋" w:cs="仿宋" w:hint="eastAsia"/>
          <w:sz w:val="32"/>
          <w:szCs w:val="32"/>
        </w:rPr>
        <w:t>）证实首次</w:t>
      </w:r>
      <w:r w:rsidRPr="00136FBE">
        <w:rPr>
          <w:rFonts w:ascii="仿宋" w:eastAsia="仿宋" w:hAnsi="仿宋" w:cs="仿宋"/>
          <w:sz w:val="32"/>
          <w:szCs w:val="32"/>
        </w:rPr>
        <w:t>TACE</w:t>
      </w:r>
      <w:r w:rsidRPr="00136FBE">
        <w:rPr>
          <w:rFonts w:ascii="仿宋" w:eastAsia="仿宋" w:hAnsi="仿宋" w:cs="仿宋" w:hint="eastAsia"/>
          <w:sz w:val="32"/>
          <w:szCs w:val="32"/>
        </w:rPr>
        <w:t>联合索拉非尼较索拉非尼组获益更佳。</w:t>
      </w:r>
    </w:p>
    <w:p w14:paraId="666322A7" w14:textId="77777777" w:rsidR="00B23A40" w:rsidRPr="00136FBE" w:rsidRDefault="00DD1A0D">
      <w:pPr>
        <w:widowControl/>
        <w:spacing w:line="360" w:lineRule="auto"/>
        <w:ind w:firstLineChars="200" w:firstLine="640"/>
        <w:jc w:val="left"/>
        <w:rPr>
          <w:rFonts w:ascii="黑体" w:eastAsia="黑体" w:hAnsi="黑体" w:cs="Times New Roman"/>
          <w:sz w:val="32"/>
          <w:szCs w:val="32"/>
        </w:rPr>
      </w:pPr>
      <w:r w:rsidRPr="00136FBE">
        <w:rPr>
          <w:rFonts w:ascii="黑体" w:eastAsia="黑体" w:hAnsi="黑体" w:cs="黑体" w:hint="eastAsia"/>
          <w:sz w:val="32"/>
          <w:szCs w:val="32"/>
        </w:rPr>
        <w:t xml:space="preserve">二、瑞戈非尼 </w:t>
      </w:r>
      <w:r w:rsidR="00F111D5" w:rsidRPr="00136FBE">
        <w:rPr>
          <w:rFonts w:ascii="黑体" w:eastAsia="黑体" w:hAnsi="黑体" w:cs="黑体" w:hint="eastAsia"/>
          <w:sz w:val="32"/>
          <w:szCs w:val="32"/>
        </w:rPr>
        <w:t>R</w:t>
      </w:r>
      <w:r w:rsidRPr="00136FBE">
        <w:rPr>
          <w:rFonts w:ascii="黑体" w:eastAsia="黑体" w:hAnsi="黑体" w:cs="黑体"/>
          <w:sz w:val="32"/>
          <w:szCs w:val="32"/>
        </w:rPr>
        <w:t>egorafenib</w:t>
      </w:r>
    </w:p>
    <w:p w14:paraId="04355F60"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 xml:space="preserve">40mg </w:t>
      </w:r>
    </w:p>
    <w:p w14:paraId="0E989F46"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p>
    <w:p w14:paraId="1022F92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既往接受过索拉非尼治疗的肝细胞癌患者。</w:t>
      </w:r>
    </w:p>
    <w:p w14:paraId="28BD13E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既往接受过伊马替尼及舒尼替尼治疗</w:t>
      </w:r>
      <w:r w:rsidRPr="00136FBE">
        <w:rPr>
          <w:rFonts w:ascii="仿宋" w:eastAsia="仿宋" w:hAnsi="仿宋" w:cs="仿宋" w:hint="eastAsia"/>
          <w:w w:val="98"/>
          <w:sz w:val="32"/>
          <w:szCs w:val="32"/>
        </w:rPr>
        <w:t>的局部晚期的、无法手术切除的或转移性胃肠间质瘤患者。</w:t>
      </w:r>
    </w:p>
    <w:p w14:paraId="78B14A6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既往接受过氟尿嘧啶、奥沙利铂和伊立替康为基础的化疗，以及既往接受过或不适合接受抗</w:t>
      </w:r>
      <w:r w:rsidRPr="00136FBE">
        <w:rPr>
          <w:rFonts w:ascii="仿宋" w:eastAsia="仿宋" w:hAnsi="仿宋" w:cs="仿宋"/>
          <w:sz w:val="32"/>
          <w:szCs w:val="32"/>
        </w:rPr>
        <w:t>VEGF</w:t>
      </w:r>
      <w:r w:rsidRPr="00136FBE">
        <w:rPr>
          <w:rFonts w:ascii="仿宋" w:eastAsia="仿宋" w:hAnsi="仿宋" w:cs="仿宋" w:hint="eastAsia"/>
          <w:sz w:val="32"/>
          <w:szCs w:val="32"/>
        </w:rPr>
        <w:t>治疗、抗</w:t>
      </w:r>
      <w:r w:rsidRPr="00136FBE">
        <w:rPr>
          <w:rFonts w:ascii="仿宋" w:eastAsia="仿宋" w:hAnsi="仿宋" w:cs="仿宋"/>
          <w:sz w:val="32"/>
          <w:szCs w:val="32"/>
        </w:rPr>
        <w:t>EGFR</w:t>
      </w:r>
      <w:r w:rsidRPr="00136FBE">
        <w:rPr>
          <w:rFonts w:ascii="仿宋" w:eastAsia="仿宋" w:hAnsi="仿宋" w:cs="仿宋" w:hint="eastAsia"/>
          <w:sz w:val="32"/>
          <w:szCs w:val="32"/>
        </w:rPr>
        <w:t>治疗（</w:t>
      </w:r>
      <w:r w:rsidRPr="00136FBE">
        <w:rPr>
          <w:rFonts w:ascii="仿宋" w:eastAsia="仿宋" w:hAnsi="仿宋" w:cs="仿宋"/>
          <w:sz w:val="32"/>
          <w:szCs w:val="32"/>
        </w:rPr>
        <w:t>RAS</w:t>
      </w:r>
      <w:r w:rsidRPr="00136FBE">
        <w:rPr>
          <w:rFonts w:ascii="仿宋" w:eastAsia="仿宋" w:hAnsi="仿宋" w:cs="仿宋" w:hint="eastAsia"/>
          <w:sz w:val="32"/>
          <w:szCs w:val="32"/>
        </w:rPr>
        <w:t>野生型）的转移性结直肠癌患者。</w:t>
      </w:r>
    </w:p>
    <w:p w14:paraId="447F2D53"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5DFAAB1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用药前无需进行基因检测。</w:t>
      </w:r>
    </w:p>
    <w:p w14:paraId="74822DFA"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药品说明书推荐剂量为</w:t>
      </w:r>
      <w:r w:rsidRPr="00136FBE">
        <w:rPr>
          <w:rFonts w:ascii="仿宋" w:eastAsia="仿宋" w:hAnsi="仿宋" w:cs="仿宋"/>
          <w:sz w:val="32"/>
          <w:szCs w:val="32"/>
        </w:rPr>
        <w:t>160mg</w:t>
      </w:r>
      <w:r w:rsidRPr="00136FBE">
        <w:rPr>
          <w:rFonts w:ascii="仿宋" w:eastAsia="仿宋" w:hAnsi="仿宋" w:cs="仿宋" w:hint="eastAsia"/>
          <w:sz w:val="32"/>
          <w:szCs w:val="32"/>
        </w:rPr>
        <w:t>口服，每日一次，建议与食物同服，用药</w:t>
      </w:r>
      <w:r w:rsidRPr="00136FBE">
        <w:rPr>
          <w:rFonts w:ascii="仿宋" w:eastAsia="仿宋" w:hAnsi="仿宋" w:cs="仿宋"/>
          <w:sz w:val="32"/>
          <w:szCs w:val="32"/>
        </w:rPr>
        <w:t>3</w:t>
      </w:r>
      <w:r w:rsidRPr="00136FBE">
        <w:rPr>
          <w:rFonts w:ascii="仿宋" w:eastAsia="仿宋" w:hAnsi="仿宋" w:cs="仿宋" w:hint="eastAsia"/>
          <w:sz w:val="32"/>
          <w:szCs w:val="32"/>
        </w:rPr>
        <w:t>周停药</w:t>
      </w:r>
      <w:r w:rsidRPr="00136FBE">
        <w:rPr>
          <w:rFonts w:ascii="仿宋" w:eastAsia="仿宋" w:hAnsi="仿宋" w:cs="仿宋"/>
          <w:sz w:val="32"/>
          <w:szCs w:val="32"/>
        </w:rPr>
        <w:t>1</w:t>
      </w:r>
      <w:r w:rsidRPr="00136FBE">
        <w:rPr>
          <w:rFonts w:ascii="仿宋" w:eastAsia="仿宋" w:hAnsi="仿宋" w:cs="仿宋" w:hint="eastAsia"/>
          <w:sz w:val="32"/>
          <w:szCs w:val="32"/>
        </w:rPr>
        <w:t>周。基于个人的安全及耐受性考虑，可能需要中</w:t>
      </w:r>
      <w:r w:rsidRPr="00136FBE">
        <w:rPr>
          <w:rFonts w:ascii="仿宋" w:eastAsia="仿宋" w:hAnsi="仿宋" w:cs="仿宋" w:hint="eastAsia"/>
          <w:w w:val="97"/>
          <w:sz w:val="32"/>
          <w:szCs w:val="32"/>
        </w:rPr>
        <w:t>断或降低剂量，也可以考虑采用</w:t>
      </w:r>
      <w:r w:rsidRPr="00136FBE">
        <w:rPr>
          <w:rFonts w:ascii="仿宋" w:eastAsia="仿宋" w:hAnsi="仿宋" w:cs="仿宋"/>
          <w:w w:val="97"/>
          <w:sz w:val="32"/>
          <w:szCs w:val="32"/>
        </w:rPr>
        <w:t>80</w:t>
      </w:r>
      <w:r w:rsidRPr="00136FBE">
        <w:rPr>
          <w:rFonts w:ascii="仿宋" w:eastAsia="仿宋" w:hAnsi="仿宋" w:cs="仿宋" w:hint="eastAsia"/>
          <w:w w:val="97"/>
          <w:sz w:val="32"/>
          <w:szCs w:val="32"/>
        </w:rPr>
        <w:t>～</w:t>
      </w:r>
      <w:r w:rsidRPr="00136FBE">
        <w:rPr>
          <w:rFonts w:ascii="仿宋" w:eastAsia="仿宋" w:hAnsi="仿宋" w:cs="仿宋"/>
          <w:w w:val="97"/>
          <w:sz w:val="32"/>
          <w:szCs w:val="32"/>
        </w:rPr>
        <w:t>120mg</w:t>
      </w:r>
      <w:r w:rsidRPr="00136FBE">
        <w:rPr>
          <w:rFonts w:ascii="仿宋" w:eastAsia="仿宋" w:hAnsi="仿宋" w:cs="仿宋" w:hint="eastAsia"/>
          <w:w w:val="97"/>
          <w:sz w:val="32"/>
          <w:szCs w:val="32"/>
        </w:rPr>
        <w:t>起始剂量逐渐递增。</w:t>
      </w:r>
      <w:r w:rsidR="00080074" w:rsidRPr="00047CD8">
        <w:rPr>
          <w:rFonts w:ascii="仿宋" w:eastAsia="仿宋" w:hAnsi="仿宋" w:cs="仿宋" w:hint="eastAsia"/>
          <w:sz w:val="32"/>
          <w:szCs w:val="32"/>
        </w:rPr>
        <w:t>必须整片吞服，如果漏服或呕吐同一天</w:t>
      </w:r>
      <w:r w:rsidR="00080074" w:rsidRPr="00047CD8">
        <w:rPr>
          <w:rFonts w:ascii="仿宋" w:eastAsia="仿宋" w:hAnsi="仿宋" w:cs="仿宋" w:hint="eastAsia"/>
          <w:sz w:val="32"/>
          <w:szCs w:val="32"/>
        </w:rPr>
        <w:lastRenderedPageBreak/>
        <w:t>内不得补服</w:t>
      </w:r>
      <w:r w:rsidR="00080074">
        <w:rPr>
          <w:rFonts w:ascii="仿宋" w:eastAsia="仿宋" w:hAnsi="仿宋" w:cs="仿宋" w:hint="eastAsia"/>
          <w:sz w:val="32"/>
          <w:szCs w:val="32"/>
        </w:rPr>
        <w:t>。</w:t>
      </w:r>
    </w:p>
    <w:p w14:paraId="412AB87F"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亚洲人群最常见不良反应为手足皮肤反应、肝功能异常（高胆红素血症、丙氨酸氨基转移酶升高、门冬氨酸氨基转移酶升高）和高血压</w:t>
      </w:r>
      <w:r w:rsidR="00985C52" w:rsidRPr="00136FBE">
        <w:rPr>
          <w:rFonts w:ascii="仿宋" w:eastAsia="仿宋" w:hAnsi="仿宋" w:cs="仿宋"/>
          <w:sz w:val="32"/>
          <w:szCs w:val="32"/>
        </w:rPr>
        <w:t>，</w:t>
      </w:r>
      <w:r w:rsidRPr="00136FBE">
        <w:rPr>
          <w:rFonts w:ascii="仿宋" w:eastAsia="仿宋" w:hAnsi="仿宋" w:cs="仿宋" w:hint="eastAsia"/>
          <w:sz w:val="32"/>
          <w:szCs w:val="32"/>
        </w:rPr>
        <w:t>同时</w:t>
      </w:r>
      <w:r w:rsidR="00985C52" w:rsidRPr="00136FBE">
        <w:rPr>
          <w:rFonts w:ascii="仿宋" w:eastAsia="仿宋" w:hAnsi="仿宋" w:cs="仿宋"/>
          <w:sz w:val="32"/>
          <w:szCs w:val="32"/>
        </w:rPr>
        <w:t>，</w:t>
      </w:r>
      <w:r w:rsidRPr="00136FBE">
        <w:rPr>
          <w:rFonts w:ascii="仿宋" w:eastAsia="仿宋" w:hAnsi="仿宋" w:cs="仿宋" w:hint="eastAsia"/>
          <w:sz w:val="32"/>
          <w:szCs w:val="32"/>
        </w:rPr>
        <w:t>还要注意疼痛、乏力、腹泻、食欲下降及进食减少等不良反应；最严重的不良反应为重度肝功能损伤、出血、胃肠道穿孔及感染；有血栓、栓塞病史者应谨慎使用。</w:t>
      </w:r>
    </w:p>
    <w:p w14:paraId="1EF4B08A"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对瑞戈非尼任一活性物质或辅料有超敏反应的患者禁用。</w:t>
      </w:r>
    </w:p>
    <w:p w14:paraId="2C254DCA"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003C119E" w:rsidRPr="003C119E">
        <w:rPr>
          <w:rFonts w:ascii="仿宋" w:eastAsia="仿宋" w:hAnsi="仿宋" w:cs="仿宋" w:hint="eastAsia"/>
          <w:sz w:val="32"/>
          <w:szCs w:val="32"/>
        </w:rPr>
        <w:t>避免联用CYP3A4强效抑制剂和诱导剂，联用伊立替康可能增加UGT1A1和UGT1A9底物的全身暴露量</w:t>
      </w:r>
      <w:r w:rsidRPr="00136FBE">
        <w:rPr>
          <w:rFonts w:ascii="仿宋" w:eastAsia="仿宋" w:hAnsi="仿宋" w:cs="仿宋" w:hint="eastAsia"/>
          <w:sz w:val="32"/>
          <w:szCs w:val="32"/>
        </w:rPr>
        <w:t>。</w:t>
      </w:r>
    </w:p>
    <w:p w14:paraId="2E2605F1" w14:textId="77777777" w:rsidR="00B23A40" w:rsidRPr="00136FBE" w:rsidRDefault="00DD1A0D">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 xml:space="preserve">三、仑伐替尼 </w:t>
      </w:r>
      <w:r w:rsidR="00F111D5" w:rsidRPr="00136FBE">
        <w:rPr>
          <w:rFonts w:ascii="黑体" w:eastAsia="黑体" w:hAnsi="黑体" w:hint="eastAsia"/>
          <w:color w:val="000000"/>
          <w:sz w:val="32"/>
          <w:szCs w:val="32"/>
        </w:rPr>
        <w:t>L</w:t>
      </w:r>
      <w:r w:rsidRPr="00136FBE">
        <w:rPr>
          <w:rFonts w:ascii="黑体" w:eastAsia="黑体" w:hAnsi="黑体"/>
          <w:color w:val="000000"/>
          <w:sz w:val="32"/>
          <w:szCs w:val="32"/>
        </w:rPr>
        <w:t>envatinib</w:t>
      </w:r>
    </w:p>
    <w:p w14:paraId="03BEB3F0"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胶囊：4mg</w:t>
      </w:r>
      <w:r w:rsidR="00416493" w:rsidRPr="00136FBE">
        <w:rPr>
          <w:rFonts w:ascii="仿宋" w:eastAsia="仿宋" w:hAnsi="仿宋" w:hint="eastAsia"/>
          <w:color w:val="000000"/>
          <w:sz w:val="32"/>
          <w:szCs w:val="32"/>
        </w:rPr>
        <w:t>、10mg</w:t>
      </w:r>
    </w:p>
    <w:p w14:paraId="4609B94E"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既往未接受过全身系统治疗的不可切除的肝细胞癌患者。</w:t>
      </w:r>
    </w:p>
    <w:p w14:paraId="7E16CB3C"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 xml:space="preserve">合理用药要点： </w:t>
      </w:r>
    </w:p>
    <w:p w14:paraId="4B7FBE33"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药期间最常见的不良反应有高血压、疲乏、腹泻、食欲下降、体重降低、关节痛/肌痛、腹痛、掌跖红肿综合征、蛋白尿、出血事件、发音困难、甲状腺功能减退症、恶心，严重的不良反应包括肝衰竭、脑出血、呼吸衰竭。</w:t>
      </w:r>
    </w:p>
    <w:p w14:paraId="7EB078AD"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2.与甲状腺癌和肾癌不同，仑伐替尼在肝癌的药代动力学在临床上受到体重的显著影响：对于体重＜60kg的患者，</w:t>
      </w:r>
      <w:r w:rsidRPr="00136FBE">
        <w:rPr>
          <w:rFonts w:ascii="仿宋" w:eastAsia="仿宋" w:hAnsi="仿宋" w:hint="eastAsia"/>
          <w:color w:val="000000"/>
          <w:sz w:val="32"/>
          <w:szCs w:val="32"/>
        </w:rPr>
        <w:lastRenderedPageBreak/>
        <w:t>推荐日剂量为8mg，每日一次；对于体重＞60kg的患者，推荐日剂量为12mg，每日一次。</w:t>
      </w:r>
    </w:p>
    <w:p w14:paraId="53126FFF"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3.仑伐替尼应在每天固定时间服用，空腹或与食物同服均可。如果患者遗漏一次用药且无法在12小时内服用，无需补服，应按常规用药时间进行下一次服药。</w:t>
      </w:r>
    </w:p>
    <w:p w14:paraId="055F59E4" w14:textId="77777777" w:rsidR="00292850" w:rsidRPr="00136FBE" w:rsidRDefault="00292850" w:rsidP="00292850">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四、</w:t>
      </w:r>
      <w:r w:rsidRPr="00136FBE">
        <w:rPr>
          <w:rFonts w:ascii="黑体" w:eastAsia="黑体" w:hAnsi="黑体"/>
          <w:color w:val="000000"/>
          <w:sz w:val="32"/>
          <w:szCs w:val="32"/>
        </w:rPr>
        <w:t>卡瑞利珠单抗</w:t>
      </w:r>
      <w:proofErr w:type="spellStart"/>
      <w:r w:rsidR="00F111D5" w:rsidRPr="00136FBE">
        <w:rPr>
          <w:rFonts w:ascii="黑体" w:eastAsia="黑体" w:hAnsi="黑体" w:hint="eastAsia"/>
          <w:color w:val="000000"/>
          <w:sz w:val="32"/>
          <w:szCs w:val="32"/>
        </w:rPr>
        <w:t>C</w:t>
      </w:r>
      <w:r w:rsidRPr="00136FBE">
        <w:rPr>
          <w:rFonts w:ascii="黑体" w:eastAsia="黑体" w:hAnsi="黑体" w:hint="eastAsia"/>
          <w:color w:val="000000"/>
          <w:sz w:val="32"/>
          <w:szCs w:val="32"/>
        </w:rPr>
        <w:t>amrelizumab</w:t>
      </w:r>
      <w:proofErr w:type="spellEnd"/>
    </w:p>
    <w:p w14:paraId="3608218C" w14:textId="77777777" w:rsidR="00292850" w:rsidRPr="00136FBE" w:rsidRDefault="00292850" w:rsidP="00292850">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粉针剂：200mg/瓶</w:t>
      </w:r>
    </w:p>
    <w:p w14:paraId="70FBC7A8" w14:textId="77777777" w:rsidR="00292850" w:rsidRPr="00136FBE" w:rsidRDefault="00292850" w:rsidP="00292850">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适应证：</w:t>
      </w:r>
    </w:p>
    <w:p w14:paraId="06276308"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1.</w:t>
      </w:r>
      <w:r w:rsidRPr="00136FBE">
        <w:rPr>
          <w:rFonts w:ascii="仿宋" w:eastAsia="仿宋" w:hAnsi="仿宋" w:hint="eastAsia"/>
          <w:color w:val="000000"/>
          <w:sz w:val="32"/>
          <w:szCs w:val="32"/>
        </w:rPr>
        <w:t>既往接受过一线化疗后疾病进展或不可耐受的局部晚期或转移性食管鳞癌患者治疗。</w:t>
      </w:r>
    </w:p>
    <w:p w14:paraId="300EEC12"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2.</w:t>
      </w:r>
      <w:r w:rsidRPr="00136FBE">
        <w:rPr>
          <w:rFonts w:ascii="仿宋" w:eastAsia="仿宋" w:hAnsi="仿宋" w:hint="eastAsia"/>
          <w:color w:val="000000"/>
          <w:sz w:val="32"/>
          <w:szCs w:val="32"/>
        </w:rPr>
        <w:t>既往接受过索拉非尼治疗和</w:t>
      </w:r>
      <w:r w:rsidRPr="00136FBE">
        <w:rPr>
          <w:rFonts w:ascii="仿宋" w:eastAsia="仿宋" w:hAnsi="仿宋"/>
          <w:color w:val="000000"/>
          <w:sz w:val="32"/>
          <w:szCs w:val="32"/>
        </w:rPr>
        <w:t>/或含奥沙利铂系统化疗的晚期肝细胞癌患者的治疗。</w:t>
      </w:r>
    </w:p>
    <w:p w14:paraId="478330ED" w14:textId="77777777" w:rsidR="00292850" w:rsidRPr="00136FBE" w:rsidRDefault="00292850" w:rsidP="00292850">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0EF8CB64"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1.本品采用静脉输注的方式给药，静脉输注的推荐剂量为200mg，每2周或3周给药一次，直至疾病进展或出现不可接受的毒性。</w:t>
      </w:r>
    </w:p>
    <w:p w14:paraId="799F8641"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w:t>
      </w:r>
      <w:r w:rsidRPr="00136FBE">
        <w:rPr>
          <w:rFonts w:ascii="仿宋" w:eastAsia="仿宋" w:hAnsi="仿宋" w:cs="仿宋" w:hint="eastAsia"/>
          <w:sz w:val="32"/>
          <w:szCs w:val="32"/>
        </w:rPr>
        <w:t>只要观察到临床获益，应继续</w:t>
      </w:r>
      <w:r w:rsidRPr="00136FBE">
        <w:rPr>
          <w:rFonts w:ascii="仿宋" w:eastAsia="仿宋" w:hAnsi="仿宋" w:hint="eastAsia"/>
          <w:color w:val="000000"/>
          <w:sz w:val="32"/>
          <w:szCs w:val="32"/>
        </w:rPr>
        <w:t>卡瑞利珠单抗</w:t>
      </w:r>
      <w:r w:rsidRPr="00136FBE">
        <w:rPr>
          <w:rFonts w:ascii="仿宋" w:eastAsia="仿宋" w:hAnsi="仿宋" w:cs="仿宋" w:hint="eastAsia"/>
          <w:sz w:val="32"/>
          <w:szCs w:val="32"/>
        </w:rPr>
        <w:t>治疗，直至患者不能耐受，</w:t>
      </w:r>
      <w:r w:rsidRPr="00136FBE">
        <w:rPr>
          <w:rFonts w:ascii="仿宋" w:eastAsia="仿宋" w:hAnsi="仿宋" w:hint="eastAsia"/>
          <w:color w:val="000000"/>
          <w:sz w:val="32"/>
          <w:szCs w:val="32"/>
        </w:rPr>
        <w:t>有可能观察到非典型反应。如果患者临床症状稳定或持续减轻，</w:t>
      </w:r>
      <w:r w:rsidRPr="00136FBE">
        <w:rPr>
          <w:rFonts w:ascii="仿宋" w:eastAsia="仿宋" w:hAnsi="仿宋" w:cs="仿宋" w:hint="eastAsia"/>
          <w:sz w:val="32"/>
          <w:szCs w:val="32"/>
        </w:rPr>
        <w:t>即使考虑有疾病进展的可能，但</w:t>
      </w:r>
      <w:r w:rsidRPr="00136FBE">
        <w:rPr>
          <w:rFonts w:ascii="仿宋" w:eastAsia="仿宋" w:hAnsi="仿宋" w:hint="eastAsia"/>
          <w:color w:val="000000"/>
          <w:sz w:val="32"/>
          <w:szCs w:val="32"/>
        </w:rPr>
        <w:t>基于总体临床获益的判断，可考虑继续应用本品治疗，直至证实疾病进展。</w:t>
      </w:r>
    </w:p>
    <w:p w14:paraId="77EE5E07" w14:textId="77777777" w:rsidR="00292850" w:rsidRPr="00136FBE" w:rsidRDefault="00292850" w:rsidP="00292850">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003804BA" w:rsidRPr="003804BA">
        <w:rPr>
          <w:rFonts w:ascii="仿宋" w:eastAsia="仿宋" w:hAnsi="仿宋" w:cs="仿宋" w:hint="eastAsia"/>
          <w:sz w:val="32"/>
          <w:szCs w:val="32"/>
        </w:rPr>
        <w:t>根据患者个体安全性和耐受性的程度不同，可暂停给</w:t>
      </w:r>
      <w:r w:rsidR="003804BA" w:rsidRPr="003804BA">
        <w:rPr>
          <w:rFonts w:ascii="仿宋" w:eastAsia="仿宋" w:hAnsi="仿宋" w:cs="仿宋" w:hint="eastAsia"/>
          <w:sz w:val="32"/>
          <w:szCs w:val="32"/>
        </w:rPr>
        <w:lastRenderedPageBreak/>
        <w:t>药或停药，不建议剂量调整</w:t>
      </w:r>
      <w:r w:rsidRPr="00136FBE">
        <w:rPr>
          <w:rFonts w:ascii="仿宋" w:eastAsia="仿宋" w:hAnsi="仿宋" w:cs="仿宋" w:hint="eastAsia"/>
          <w:sz w:val="32"/>
          <w:szCs w:val="32"/>
        </w:rPr>
        <w:t>。</w:t>
      </w:r>
    </w:p>
    <w:p w14:paraId="0E9A1A79" w14:textId="77777777" w:rsidR="00292850" w:rsidRPr="00136FBE" w:rsidRDefault="00292850" w:rsidP="00292850">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发生</w:t>
      </w:r>
      <w:r w:rsidRPr="00136FBE">
        <w:rPr>
          <w:rFonts w:ascii="仿宋" w:eastAsia="仿宋" w:hAnsi="仿宋" w:cs="仿宋"/>
          <w:sz w:val="32"/>
          <w:szCs w:val="32"/>
        </w:rPr>
        <w:t>4</w:t>
      </w:r>
      <w:r w:rsidRPr="00136FBE">
        <w:rPr>
          <w:rFonts w:ascii="仿宋" w:eastAsia="仿宋" w:hAnsi="仿宋" w:cs="仿宋" w:hint="eastAsia"/>
          <w:sz w:val="32"/>
          <w:szCs w:val="32"/>
        </w:rPr>
        <w:t>级或复发性</w:t>
      </w:r>
      <w:r w:rsidRPr="00136FBE">
        <w:rPr>
          <w:rFonts w:ascii="仿宋" w:eastAsia="仿宋" w:hAnsi="仿宋" w:cs="仿宋"/>
          <w:sz w:val="32"/>
          <w:szCs w:val="32"/>
        </w:rPr>
        <w:t>3</w:t>
      </w:r>
      <w:r w:rsidRPr="00136FBE">
        <w:rPr>
          <w:rFonts w:ascii="仿宋" w:eastAsia="仿宋" w:hAnsi="仿宋" w:cs="仿宋" w:hint="eastAsia"/>
          <w:sz w:val="32"/>
          <w:szCs w:val="32"/>
        </w:rPr>
        <w:t>级不良反应，虽然进行治疗调整但仍持续存在</w:t>
      </w:r>
      <w:r w:rsidRPr="00136FBE">
        <w:rPr>
          <w:rFonts w:ascii="仿宋" w:eastAsia="仿宋" w:hAnsi="仿宋" w:cs="仿宋"/>
          <w:sz w:val="32"/>
          <w:szCs w:val="32"/>
        </w:rPr>
        <w:t>2</w:t>
      </w:r>
      <w:r w:rsidRPr="00136FBE">
        <w:rPr>
          <w:rFonts w:ascii="仿宋" w:eastAsia="仿宋" w:hAnsi="仿宋" w:cs="仿宋" w:hint="eastAsia"/>
          <w:sz w:val="32"/>
          <w:szCs w:val="32"/>
        </w:rPr>
        <w:t>级或</w:t>
      </w:r>
      <w:r w:rsidRPr="00136FBE">
        <w:rPr>
          <w:rFonts w:ascii="仿宋" w:eastAsia="仿宋" w:hAnsi="仿宋" w:cs="仿宋"/>
          <w:sz w:val="32"/>
          <w:szCs w:val="32"/>
        </w:rPr>
        <w:t>3</w:t>
      </w:r>
      <w:r w:rsidRPr="00136FBE">
        <w:rPr>
          <w:rFonts w:ascii="仿宋" w:eastAsia="仿宋" w:hAnsi="仿宋" w:cs="仿宋" w:hint="eastAsia"/>
          <w:sz w:val="32"/>
          <w:szCs w:val="32"/>
        </w:rPr>
        <w:t>级不良反应，应永久性停用</w:t>
      </w:r>
      <w:r w:rsidRPr="00136FBE">
        <w:rPr>
          <w:rFonts w:ascii="仿宋" w:eastAsia="仿宋" w:hAnsi="仿宋" w:hint="eastAsia"/>
          <w:color w:val="000000"/>
          <w:sz w:val="32"/>
          <w:szCs w:val="32"/>
        </w:rPr>
        <w:t>卡瑞利珠单抗</w:t>
      </w:r>
      <w:r w:rsidRPr="00136FBE">
        <w:rPr>
          <w:rFonts w:ascii="仿宋" w:eastAsia="仿宋" w:hAnsi="仿宋" w:cs="仿宋" w:hint="eastAsia"/>
          <w:sz w:val="32"/>
          <w:szCs w:val="32"/>
        </w:rPr>
        <w:t>。</w:t>
      </w:r>
    </w:p>
    <w:p w14:paraId="48F64509"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s="仿宋" w:hint="eastAsia"/>
          <w:sz w:val="32"/>
          <w:szCs w:val="32"/>
        </w:rPr>
        <w:t>5.</w:t>
      </w:r>
      <w:r w:rsidRPr="00136FBE">
        <w:rPr>
          <w:rFonts w:ascii="仿宋" w:eastAsia="仿宋" w:hAnsi="仿宋" w:hint="eastAsia"/>
          <w:color w:val="000000"/>
          <w:sz w:val="32"/>
          <w:szCs w:val="32"/>
        </w:rPr>
        <w:t>本品在≥65岁的老年患者中应用数据有限，建议在医师的指导下慎用，如需使用，无需进行剂量调整。不建议在妊娠期间使用本品治疗。目前本品尚无针对中重度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患者的研究数据，中重度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患者不推荐使用，轻度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患者应在医师指导下慎用本品，如需使用，无需进行剂量调整。目前本品尚无针对中重度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患者的研究数据，</w:t>
      </w:r>
      <w:r w:rsidR="00B73A0E" w:rsidRPr="00136FBE">
        <w:rPr>
          <w:rFonts w:ascii="仿宋" w:eastAsia="仿宋" w:hAnsi="仿宋" w:hint="eastAsia"/>
          <w:color w:val="000000"/>
          <w:sz w:val="32"/>
          <w:szCs w:val="32"/>
        </w:rPr>
        <w:t>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患者不推荐使用，轻度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患者无需进行剂量调整。</w:t>
      </w:r>
    </w:p>
    <w:p w14:paraId="2AC34323"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s="仿宋"/>
          <w:sz w:val="32"/>
          <w:szCs w:val="32"/>
        </w:rPr>
        <w:t>6.</w:t>
      </w:r>
      <w:r w:rsidRPr="00136FBE">
        <w:rPr>
          <w:rFonts w:ascii="仿宋" w:eastAsia="仿宋" w:hAnsi="仿宋" w:hint="eastAsia"/>
          <w:color w:val="000000"/>
          <w:sz w:val="32"/>
          <w:szCs w:val="32"/>
        </w:rPr>
        <w:t>在使用本品之前应避免使用全身性糖皮质激素或其他免疫抑制剂，因为这些药物可能会影响本品的药效学活性及疗效。但在本品开始给药后，可使用全身性糖皮质激素或其他免疫抑制剂治疗免疫介导性不良反应。</w:t>
      </w:r>
    </w:p>
    <w:p w14:paraId="1FF35987"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7.如出现</w:t>
      </w:r>
      <w:r w:rsidR="00F319F1" w:rsidRPr="00136FBE">
        <w:rPr>
          <w:rFonts w:ascii="仿宋" w:eastAsia="仿宋" w:hAnsi="仿宋" w:hint="eastAsia"/>
          <w:color w:val="000000"/>
          <w:sz w:val="32"/>
          <w:szCs w:val="32"/>
        </w:rPr>
        <w:t>免疫相关性不良反应</w:t>
      </w:r>
      <w:r w:rsidRPr="00136FBE">
        <w:rPr>
          <w:rFonts w:ascii="仿宋" w:eastAsia="仿宋" w:hAnsi="仿宋" w:hint="eastAsia"/>
          <w:color w:val="000000"/>
          <w:sz w:val="32"/>
          <w:szCs w:val="32"/>
        </w:rPr>
        <w:t>，根据个体患者的安全性和耐受性，可能需要暂停给药或永久停药。不建议增加或减少剂量。有关暂停给药和永久停药的指南，请参考本指导原则附表1免疫相关性不良反应及药物调整方案。</w:t>
      </w:r>
    </w:p>
    <w:p w14:paraId="55BE5247"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8</w:t>
      </w:r>
      <w:r w:rsidRPr="00136FBE">
        <w:rPr>
          <w:rFonts w:ascii="仿宋" w:eastAsia="仿宋" w:hAnsi="仿宋" w:hint="eastAsia"/>
          <w:color w:val="000000"/>
          <w:sz w:val="32"/>
          <w:szCs w:val="32"/>
        </w:rPr>
        <w:t>.反应性毛细血管增生症的处理：在接受本品治疗的患者中，70%～80%发生反应性毛细血管增生症。反应性毛细血</w:t>
      </w:r>
      <w:r w:rsidRPr="00136FBE">
        <w:rPr>
          <w:rFonts w:ascii="仿宋" w:eastAsia="仿宋" w:hAnsi="仿宋" w:hint="eastAsia"/>
          <w:color w:val="000000"/>
          <w:sz w:val="32"/>
          <w:szCs w:val="32"/>
        </w:rPr>
        <w:lastRenderedPageBreak/>
        <w:t>管增生症，大多发生在体表皮肤，少数可见于口腔黏膜、鼻腔黏膜以及眼睑结膜。发生于皮肤的反应性毛细血管增生</w:t>
      </w:r>
      <w:r w:rsidR="00D11AA6">
        <w:rPr>
          <w:rFonts w:ascii="仿宋" w:eastAsia="仿宋" w:hAnsi="仿宋" w:hint="eastAsia"/>
          <w:color w:val="000000"/>
          <w:sz w:val="32"/>
          <w:szCs w:val="32"/>
        </w:rPr>
        <w:t>症</w:t>
      </w:r>
      <w:r w:rsidRPr="00136FBE">
        <w:rPr>
          <w:rFonts w:ascii="仿宋" w:eastAsia="仿宋" w:hAnsi="仿宋" w:hint="eastAsia"/>
          <w:color w:val="000000"/>
          <w:sz w:val="32"/>
          <w:szCs w:val="32"/>
        </w:rPr>
        <w:t>，初始多表现为体表鲜红色点状物，直径≤2mm，随着用药次数增加，病变范围可逐渐增大，多为结节状，也有斑片状，颜色鲜红或暗红，需观察临床症状和体征，可按照附表2反应性毛细血管增生症分级标准和治疗建议进行处理。</w:t>
      </w:r>
    </w:p>
    <w:p w14:paraId="01675D84" w14:textId="77777777" w:rsidR="00292850" w:rsidRPr="00136FBE" w:rsidRDefault="00292850" w:rsidP="00292850">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当患者出现该不良反应时，应避免抓挠或摩擦，易摩擦部位可用纱布保护以避免出血，同时应联系主管医师，获得恰当的处理建议。破溃出血者可采用局部压迫止血，或采取如激光或手术切除等局部治疗；并发感染者应给予抗感染治疗。反应性毛细血管增生症可能在皮肤以外的其他组织发生（包括</w:t>
      </w:r>
      <w:r w:rsidRPr="00136FBE">
        <w:rPr>
          <w:rFonts w:ascii="仿宋" w:eastAsia="仿宋" w:hAnsi="仿宋" w:cs="仿宋" w:hint="eastAsia"/>
          <w:sz w:val="32"/>
          <w:szCs w:val="32"/>
        </w:rPr>
        <w:t>睑结膜、内外眦、口腔黏膜、咽喉等黏膜或其他脏器</w:t>
      </w:r>
      <w:r w:rsidRPr="00136FBE">
        <w:rPr>
          <w:rFonts w:ascii="仿宋" w:eastAsia="仿宋" w:hAnsi="仿宋" w:cs="仿宋"/>
          <w:sz w:val="32"/>
          <w:szCs w:val="32"/>
        </w:rPr>
        <w:t>），</w:t>
      </w:r>
      <w:r w:rsidRPr="00136FBE">
        <w:rPr>
          <w:rFonts w:ascii="仿宋" w:eastAsia="仿宋" w:hAnsi="仿宋" w:cs="仿宋" w:hint="eastAsia"/>
          <w:sz w:val="32"/>
          <w:szCs w:val="32"/>
        </w:rPr>
        <w:t>应根据自查</w:t>
      </w:r>
      <w:r w:rsidR="005F1B43">
        <w:rPr>
          <w:rFonts w:ascii="仿宋" w:eastAsia="仿宋" w:hAnsi="仿宋" w:cs="仿宋" w:hint="eastAsia"/>
          <w:sz w:val="32"/>
          <w:szCs w:val="32"/>
        </w:rPr>
        <w:t>症状</w:t>
      </w:r>
      <w:r w:rsidRPr="00136FBE">
        <w:rPr>
          <w:rFonts w:ascii="仿宋" w:eastAsia="仿宋" w:hAnsi="仿宋" w:cs="仿宋" w:hint="eastAsia"/>
          <w:sz w:val="32"/>
          <w:szCs w:val="32"/>
        </w:rPr>
        <w:t>和</w:t>
      </w:r>
      <w:r w:rsidR="005F1B43">
        <w:rPr>
          <w:rFonts w:ascii="仿宋" w:eastAsia="仿宋" w:hAnsi="仿宋" w:cs="仿宋" w:hint="eastAsia"/>
          <w:sz w:val="32"/>
          <w:szCs w:val="32"/>
        </w:rPr>
        <w:t>体征</w:t>
      </w:r>
      <w:r w:rsidRPr="00136FBE">
        <w:rPr>
          <w:rFonts w:ascii="仿宋" w:eastAsia="仿宋" w:hAnsi="仿宋" w:cs="仿宋" w:hint="eastAsia"/>
          <w:sz w:val="32"/>
          <w:szCs w:val="32"/>
        </w:rPr>
        <w:t>，</w:t>
      </w:r>
      <w:r w:rsidRPr="00136FBE">
        <w:rPr>
          <w:rFonts w:ascii="仿宋" w:eastAsia="仿宋" w:hAnsi="仿宋" w:cs="仿宋"/>
          <w:sz w:val="32"/>
          <w:szCs w:val="32"/>
        </w:rPr>
        <w:t>必要时进行相应的医学检查，如大便潜血、内窥镜及影像学检查（具体相关内容详见《反应性毛细血管增生症信息收集及风险管理计划》）。</w:t>
      </w:r>
    </w:p>
    <w:p w14:paraId="757B3DC2"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9.卡瑞利珠单抗是一种人单克隆抗体，因单克隆抗体不经CYP450或其他药物代谢酶代谢，因此，合并使用的药物对这些酶的抑制或诱导作用预期不会影响卡瑞利珠单抗的药代动力学性质。</w:t>
      </w:r>
    </w:p>
    <w:p w14:paraId="13FD2D26" w14:textId="77777777" w:rsidR="00292850" w:rsidRPr="00136FBE" w:rsidRDefault="00292850" w:rsidP="00292850">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 xml:space="preserve">五、帕博利珠单抗 </w:t>
      </w:r>
      <w:r w:rsidR="00F111D5" w:rsidRPr="00136FBE">
        <w:rPr>
          <w:rFonts w:ascii="黑体" w:eastAsia="黑体" w:hAnsi="黑体" w:hint="eastAsia"/>
          <w:color w:val="000000"/>
          <w:sz w:val="32"/>
          <w:szCs w:val="32"/>
        </w:rPr>
        <w:t>P</w:t>
      </w:r>
      <w:r w:rsidRPr="00136FBE">
        <w:rPr>
          <w:rFonts w:ascii="黑体" w:eastAsia="黑体" w:hAnsi="黑体"/>
          <w:color w:val="000000"/>
          <w:sz w:val="32"/>
          <w:szCs w:val="32"/>
        </w:rPr>
        <w:t>embrolizumab</w:t>
      </w:r>
    </w:p>
    <w:p w14:paraId="72B9B895" w14:textId="77777777" w:rsidR="00292850" w:rsidRPr="00136FBE" w:rsidRDefault="00292850" w:rsidP="00292850">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 xml:space="preserve">注射液：100mg（4ml）/瓶 </w:t>
      </w:r>
    </w:p>
    <w:p w14:paraId="59EB2BA8" w14:textId="77777777" w:rsidR="00292850" w:rsidRPr="00136FBE" w:rsidRDefault="00292850" w:rsidP="00292850">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由国家药品监督管理局批准的检测评估为</w:t>
      </w:r>
      <w:r w:rsidRPr="00136FBE">
        <w:rPr>
          <w:rFonts w:ascii="仿宋" w:eastAsia="仿宋" w:hAnsi="仿宋" w:hint="eastAsia"/>
          <w:color w:val="000000"/>
          <w:sz w:val="32"/>
          <w:szCs w:val="32"/>
        </w:rPr>
        <w:lastRenderedPageBreak/>
        <w:t>PD-L1综合阳性评分（</w:t>
      </w:r>
      <w:r w:rsidRPr="00136FBE">
        <w:rPr>
          <w:rFonts w:ascii="仿宋" w:eastAsia="仿宋" w:hAnsi="仿宋"/>
          <w:color w:val="000000"/>
          <w:sz w:val="32"/>
          <w:szCs w:val="32"/>
        </w:rPr>
        <w:t>C</w:t>
      </w:r>
      <w:r w:rsidRPr="00136FBE">
        <w:rPr>
          <w:rFonts w:ascii="仿宋" w:eastAsia="仿宋" w:hAnsi="仿宋" w:hint="eastAsia"/>
          <w:color w:val="000000"/>
          <w:sz w:val="32"/>
          <w:szCs w:val="32"/>
        </w:rPr>
        <w:t>PS）≥10、既往一线全身治疗失败的局部晚期或转移性食管鳞状细胞癌</w:t>
      </w:r>
      <w:r w:rsidRPr="00136FBE">
        <w:rPr>
          <w:rFonts w:ascii="仿宋" w:eastAsia="仿宋" w:hAnsi="仿宋"/>
          <w:color w:val="000000"/>
          <w:sz w:val="32"/>
          <w:szCs w:val="32"/>
        </w:rPr>
        <w:t>。</w:t>
      </w:r>
    </w:p>
    <w:p w14:paraId="2DF6ABDE" w14:textId="77777777" w:rsidR="00292850" w:rsidRPr="00136FBE" w:rsidRDefault="00292850" w:rsidP="00292850">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6B2C2356"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1</w:t>
      </w:r>
      <w:r w:rsidRPr="00136FBE">
        <w:rPr>
          <w:rFonts w:ascii="仿宋" w:eastAsia="仿宋" w:hAnsi="仿宋" w:hint="eastAsia"/>
          <w:color w:val="000000"/>
          <w:sz w:val="32"/>
          <w:szCs w:val="32"/>
        </w:rPr>
        <w:t>.帕博利珠单抗基于KEYNOTE-181研究结果，</w:t>
      </w:r>
      <w:r w:rsidRPr="00136FBE">
        <w:rPr>
          <w:rFonts w:ascii="仿宋" w:eastAsia="仿宋" w:hAnsi="仿宋" w:cs="仿宋" w:hint="eastAsia"/>
          <w:sz w:val="32"/>
          <w:szCs w:val="32"/>
        </w:rPr>
        <w:t>获批的剂量</w:t>
      </w:r>
      <w:r w:rsidRPr="00136FBE">
        <w:rPr>
          <w:rFonts w:ascii="仿宋" w:eastAsia="仿宋" w:hAnsi="仿宋" w:hint="eastAsia"/>
          <w:color w:val="000000"/>
          <w:sz w:val="32"/>
          <w:szCs w:val="32"/>
        </w:rPr>
        <w:t>是200mg固定剂量，通过静脉注射给药，每3周一次，每次持续至少30分钟。</w:t>
      </w:r>
    </w:p>
    <w:p w14:paraId="17548338"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2</w:t>
      </w:r>
      <w:r w:rsidRPr="00136FBE">
        <w:rPr>
          <w:rFonts w:ascii="仿宋" w:eastAsia="仿宋" w:hAnsi="仿宋" w:hint="eastAsia"/>
          <w:color w:val="000000"/>
          <w:sz w:val="32"/>
          <w:szCs w:val="32"/>
        </w:rPr>
        <w:t>.</w:t>
      </w:r>
      <w:r w:rsidRPr="00136FBE">
        <w:rPr>
          <w:rFonts w:ascii="仿宋" w:eastAsia="仿宋" w:hAnsi="仿宋" w:cs="仿宋" w:hint="eastAsia"/>
          <w:sz w:val="32"/>
          <w:szCs w:val="32"/>
        </w:rPr>
        <w:t>只要观察到临床获益，应继续</w:t>
      </w:r>
      <w:r w:rsidRPr="00136FBE">
        <w:rPr>
          <w:rFonts w:ascii="仿宋" w:eastAsia="仿宋" w:hAnsi="仿宋" w:hint="eastAsia"/>
          <w:color w:val="000000"/>
          <w:sz w:val="32"/>
          <w:szCs w:val="32"/>
        </w:rPr>
        <w:t>帕博利珠单抗</w:t>
      </w:r>
      <w:r w:rsidRPr="00136FBE">
        <w:rPr>
          <w:rFonts w:ascii="仿宋" w:eastAsia="仿宋" w:hAnsi="仿宋" w:cs="仿宋" w:hint="eastAsia"/>
          <w:sz w:val="32"/>
          <w:szCs w:val="32"/>
        </w:rPr>
        <w:t>治疗，直至患者不能耐受，</w:t>
      </w:r>
      <w:r w:rsidRPr="00136FBE">
        <w:rPr>
          <w:rFonts w:ascii="仿宋" w:eastAsia="仿宋" w:hAnsi="仿宋" w:hint="eastAsia"/>
          <w:color w:val="000000"/>
          <w:sz w:val="32"/>
          <w:szCs w:val="32"/>
        </w:rPr>
        <w:t>有可能观察到非典型反应。如果患者临床症状稳定，</w:t>
      </w:r>
      <w:r w:rsidRPr="00136FBE">
        <w:rPr>
          <w:rFonts w:ascii="仿宋" w:eastAsia="仿宋" w:hAnsi="仿宋" w:cs="仿宋" w:hint="eastAsia"/>
          <w:sz w:val="32"/>
          <w:szCs w:val="32"/>
        </w:rPr>
        <w:t>即使考虑有疾病进展的可能，但</w:t>
      </w:r>
      <w:r w:rsidRPr="00136FBE">
        <w:rPr>
          <w:rFonts w:ascii="仿宋" w:eastAsia="仿宋" w:hAnsi="仿宋" w:hint="eastAsia"/>
          <w:color w:val="000000"/>
          <w:sz w:val="32"/>
          <w:szCs w:val="32"/>
        </w:rPr>
        <w:t>基于总体临床获益的判断，可考虑继续应用本品治疗，直至证实疾病进展。</w:t>
      </w:r>
    </w:p>
    <w:p w14:paraId="203AC141"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3</w:t>
      </w:r>
      <w:r w:rsidRPr="00136FBE">
        <w:rPr>
          <w:rFonts w:ascii="仿宋" w:eastAsia="仿宋" w:hAnsi="仿宋" w:hint="eastAsia"/>
          <w:color w:val="000000"/>
          <w:sz w:val="32"/>
          <w:szCs w:val="32"/>
        </w:rPr>
        <w:t>.根据个体患者的安全性和耐受性，可能需要暂停给药或停药，不建议增加或减少剂量。</w:t>
      </w:r>
    </w:p>
    <w:p w14:paraId="0914A027"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4</w:t>
      </w:r>
      <w:r w:rsidRPr="00136FBE">
        <w:rPr>
          <w:rFonts w:ascii="仿宋" w:eastAsia="仿宋" w:hAnsi="仿宋" w:hint="eastAsia"/>
          <w:color w:val="000000"/>
          <w:sz w:val="32"/>
          <w:szCs w:val="32"/>
        </w:rPr>
        <w:t>.发生4级或复发性3级不良反应，虽然进行治疗调整但仍持续存在2级或3级不良反应，应永久性停用帕博利珠单抗。</w:t>
      </w:r>
    </w:p>
    <w:p w14:paraId="77509ADB"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5.老年患者（≥65岁）无需调整剂量。</w:t>
      </w:r>
      <w:r w:rsidR="001F03A4" w:rsidRPr="00136FBE">
        <w:rPr>
          <w:rFonts w:ascii="仿宋" w:eastAsia="仿宋" w:hAnsi="仿宋" w:hint="eastAsia"/>
          <w:color w:val="000000"/>
          <w:sz w:val="32"/>
          <w:szCs w:val="32"/>
        </w:rPr>
        <w:t>轻中度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患者无需调整剂量，重度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患者的数据有限。轻度肝功能损伤患者无需调整剂量，尚未在</w:t>
      </w:r>
      <w:r w:rsidR="00B73A0E" w:rsidRPr="00136FBE">
        <w:rPr>
          <w:rFonts w:ascii="仿宋" w:eastAsia="仿宋" w:hAnsi="仿宋" w:hint="eastAsia"/>
          <w:color w:val="000000"/>
          <w:sz w:val="32"/>
          <w:szCs w:val="32"/>
        </w:rPr>
        <w:t>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患者中进行本品的相关研究。</w:t>
      </w:r>
    </w:p>
    <w:p w14:paraId="6A51C794"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6.在使用本品之前应避免使用全身性糖皮质激素或其他免疫抑制剂，因为这些药物可能会影响本品的药效学活性及疗效。但在本品开始给药后，可使用全身性糖皮质激素或</w:t>
      </w:r>
      <w:r w:rsidRPr="00136FBE">
        <w:rPr>
          <w:rFonts w:ascii="仿宋" w:eastAsia="仿宋" w:hAnsi="仿宋" w:hint="eastAsia"/>
          <w:color w:val="000000"/>
          <w:sz w:val="32"/>
          <w:szCs w:val="32"/>
        </w:rPr>
        <w:lastRenderedPageBreak/>
        <w:t>其他免疫抑制剂治疗免疫介导性不良反应。</w:t>
      </w:r>
      <w:r w:rsidR="00490DA0" w:rsidRPr="00136FBE">
        <w:rPr>
          <w:rFonts w:ascii="仿宋" w:eastAsia="仿宋" w:hAnsi="仿宋" w:hint="eastAsia"/>
          <w:color w:val="000000"/>
          <w:sz w:val="32"/>
          <w:szCs w:val="32"/>
        </w:rPr>
        <w:t>在患者接受免疫抑制剂量的糖皮质激素或其他免疫抑制剂治疗期间，不可重新使用帕博利珠单抗治疗。</w:t>
      </w:r>
    </w:p>
    <w:p w14:paraId="5E627B10"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7.帕博利珠单抗可引起免疫相关性不良反应。因为不良反应可能在帕博利珠单抗治疗期间或帕博利珠单抗治疗停止后的任何时间发生，应持续进行患者监测（至少至末次给药后5个月）。</w:t>
      </w:r>
    </w:p>
    <w:p w14:paraId="03181026"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对于疑似免疫相关性不良反应，应进行充分的评估以确认病因或排除其他病因。根据不良反应的严重程度，应暂时停用帕博利珠单抗，并应用糖皮质激素治疗。当免疫相关的不良反应改善至≤1级时，需逐步减量至停药。基于有限的临床研究数据，发生糖皮质激素无法控制的免疫相关性不良反应时可以考虑使用其他全身性免疫抑制剂。如果不良反应保持在≤1级，且糖皮质激素剂量已降至每天≤10mg泼尼松或等效剂量，则可在最后一次帕博利珠单抗给药后12周内重新开始帕博利珠单抗治疗。</w:t>
      </w:r>
    </w:p>
    <w:p w14:paraId="4D303488" w14:textId="77777777" w:rsidR="00292850" w:rsidRPr="00136FBE" w:rsidRDefault="00292850"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9.如果出现任何重度、复发的免疫相关性不良反应以及任何危及生命的免疫相关性不良反应，必须永久停止帕博利珠单抗治疗。</w:t>
      </w:r>
    </w:p>
    <w:p w14:paraId="4D5C1E20" w14:textId="77777777" w:rsidR="00292850" w:rsidRPr="00136FBE" w:rsidRDefault="003A0D8F" w:rsidP="00292850">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w:t>
      </w:r>
      <w:r>
        <w:rPr>
          <w:rFonts w:ascii="仿宋" w:eastAsia="仿宋" w:hAnsi="仿宋" w:hint="eastAsia"/>
          <w:color w:val="000000"/>
          <w:sz w:val="32"/>
          <w:szCs w:val="32"/>
        </w:rPr>
        <w:t>0</w:t>
      </w:r>
      <w:r w:rsidR="00292850" w:rsidRPr="00136FBE">
        <w:rPr>
          <w:rFonts w:ascii="仿宋" w:eastAsia="仿宋" w:hAnsi="仿宋" w:hint="eastAsia"/>
          <w:color w:val="000000"/>
          <w:sz w:val="32"/>
          <w:szCs w:val="32"/>
        </w:rPr>
        <w:t>.帕博利珠单抗是一种人单克隆抗体，因单克隆抗体不经CYP450或其他药物代谢酶代谢，因此，合并使用的药物对这些酶的抑制或诱导作用预期不会影响帕博利珠单抗</w:t>
      </w:r>
      <w:r w:rsidR="00292850" w:rsidRPr="00136FBE">
        <w:rPr>
          <w:rFonts w:ascii="仿宋" w:eastAsia="仿宋" w:hAnsi="仿宋" w:hint="eastAsia"/>
          <w:color w:val="000000"/>
          <w:sz w:val="32"/>
          <w:szCs w:val="32"/>
        </w:rPr>
        <w:lastRenderedPageBreak/>
        <w:t>的药代动力学性质。</w:t>
      </w:r>
    </w:p>
    <w:p w14:paraId="61FC7E80" w14:textId="77777777" w:rsidR="00B23A40" w:rsidRPr="00136FBE" w:rsidRDefault="00D51E1C">
      <w:pPr>
        <w:spacing w:line="360" w:lineRule="auto"/>
        <w:ind w:firstLineChars="200" w:firstLine="640"/>
        <w:jc w:val="left"/>
        <w:rPr>
          <w:rFonts w:ascii="黑体" w:eastAsia="黑体" w:hAnsi="黑体" w:cs="Times New Roman"/>
          <w:sz w:val="32"/>
          <w:szCs w:val="32"/>
        </w:rPr>
      </w:pPr>
      <w:r w:rsidRPr="00136FBE">
        <w:rPr>
          <w:rFonts w:ascii="黑体" w:eastAsia="黑体" w:hAnsi="黑体" w:cs="黑体" w:hint="eastAsia"/>
          <w:sz w:val="32"/>
          <w:szCs w:val="32"/>
        </w:rPr>
        <w:t>六</w:t>
      </w:r>
      <w:r w:rsidR="00DD1A0D" w:rsidRPr="00136FBE">
        <w:rPr>
          <w:rFonts w:ascii="黑体" w:eastAsia="黑体" w:hAnsi="黑体" w:cs="黑体" w:hint="eastAsia"/>
          <w:sz w:val="32"/>
          <w:szCs w:val="32"/>
        </w:rPr>
        <w:t xml:space="preserve">、曲妥珠单抗 </w:t>
      </w:r>
      <w:r w:rsidR="00F111D5" w:rsidRPr="00136FBE">
        <w:rPr>
          <w:rFonts w:ascii="黑体" w:eastAsia="黑体" w:hAnsi="黑体" w:cs="黑体" w:hint="eastAsia"/>
          <w:sz w:val="32"/>
          <w:szCs w:val="32"/>
        </w:rPr>
        <w:t>T</w:t>
      </w:r>
      <w:r w:rsidR="00DD1A0D" w:rsidRPr="00136FBE">
        <w:rPr>
          <w:rFonts w:ascii="黑体" w:eastAsia="黑体" w:hAnsi="黑体" w:cs="黑体"/>
          <w:sz w:val="32"/>
          <w:szCs w:val="32"/>
        </w:rPr>
        <w:t>rastuzumab</w:t>
      </w:r>
    </w:p>
    <w:p w14:paraId="2E8DDC47" w14:textId="77777777" w:rsidR="00B23A40" w:rsidRPr="00136FBE" w:rsidRDefault="00DD1A0D">
      <w:pPr>
        <w:spacing w:line="360" w:lineRule="auto"/>
        <w:ind w:firstLineChars="200" w:firstLine="643"/>
        <w:jc w:val="left"/>
        <w:rPr>
          <w:rFonts w:ascii="仿宋" w:eastAsia="仿宋" w:hAnsi="仿宋" w:cs="Times New Roman"/>
          <w:kern w:val="0"/>
          <w:sz w:val="32"/>
          <w:szCs w:val="32"/>
        </w:rPr>
      </w:pPr>
      <w:r w:rsidRPr="00136FBE">
        <w:rPr>
          <w:rFonts w:ascii="仿宋" w:eastAsia="仿宋" w:hAnsi="仿宋" w:cs="仿宋" w:hint="eastAsia"/>
          <w:b/>
          <w:bCs/>
          <w:sz w:val="32"/>
          <w:szCs w:val="32"/>
        </w:rPr>
        <w:t>制剂与规格：</w:t>
      </w:r>
      <w:r w:rsidR="0063479D" w:rsidRPr="00136FBE">
        <w:rPr>
          <w:rFonts w:ascii="仿宋" w:eastAsia="仿宋" w:hAnsi="仿宋" w:cs="仿宋" w:hint="eastAsia"/>
          <w:sz w:val="32"/>
          <w:szCs w:val="32"/>
        </w:rPr>
        <w:t>注射</w:t>
      </w:r>
      <w:r w:rsidRPr="00136FBE">
        <w:rPr>
          <w:rFonts w:ascii="仿宋" w:eastAsia="仿宋" w:hAnsi="仿宋" w:cs="仿宋" w:hint="eastAsia"/>
          <w:sz w:val="32"/>
          <w:szCs w:val="32"/>
        </w:rPr>
        <w:t>剂：</w:t>
      </w:r>
      <w:r w:rsidRPr="00136FBE">
        <w:rPr>
          <w:rFonts w:ascii="仿宋" w:eastAsia="仿宋" w:hAnsi="仿宋" w:cs="仿宋"/>
          <w:sz w:val="32"/>
          <w:szCs w:val="32"/>
        </w:rPr>
        <w:t>440mg</w:t>
      </w:r>
      <w:r w:rsidRPr="00136FBE">
        <w:rPr>
          <w:rFonts w:ascii="仿宋" w:eastAsia="仿宋" w:hAnsi="仿宋" w:cs="仿宋" w:hint="eastAsia"/>
          <w:sz w:val="32"/>
          <w:szCs w:val="32"/>
        </w:rPr>
        <w:t>（</w:t>
      </w:r>
      <w:r w:rsidRPr="00136FBE">
        <w:rPr>
          <w:rFonts w:ascii="仿宋" w:eastAsia="仿宋" w:hAnsi="仿宋" w:cs="仿宋"/>
          <w:sz w:val="32"/>
          <w:szCs w:val="32"/>
        </w:rPr>
        <w:t>20ml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1348593A" w14:textId="77777777" w:rsidR="00B23A40" w:rsidRPr="00136FBE" w:rsidRDefault="00DD1A0D">
      <w:pPr>
        <w:spacing w:line="360" w:lineRule="auto"/>
        <w:ind w:firstLineChars="200" w:firstLine="643"/>
        <w:jc w:val="left"/>
        <w:rPr>
          <w:rFonts w:ascii="仿宋" w:eastAsia="仿宋" w:hAnsi="仿宋" w:cs="仿宋"/>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本品联合卡培他滨或</w:t>
      </w:r>
      <w:r w:rsidR="00890BE7">
        <w:rPr>
          <w:rFonts w:ascii="仿宋" w:eastAsia="仿宋" w:hAnsi="仿宋" w:cs="仿宋"/>
          <w:sz w:val="32"/>
          <w:szCs w:val="32"/>
        </w:rPr>
        <w:t>氟尿嘧啶</w:t>
      </w:r>
      <w:r w:rsidRPr="00136FBE">
        <w:rPr>
          <w:rFonts w:ascii="仿宋" w:eastAsia="仿宋" w:hAnsi="仿宋" w:cs="仿宋" w:hint="eastAsia"/>
          <w:sz w:val="32"/>
          <w:szCs w:val="32"/>
        </w:rPr>
        <w:t>和顺铂适用于既往未接受过针对转移性疾病治疗的</w:t>
      </w:r>
      <w:r w:rsidRPr="00136FBE">
        <w:rPr>
          <w:rFonts w:ascii="仿宋" w:eastAsia="仿宋" w:hAnsi="仿宋" w:cs="仿宋"/>
          <w:sz w:val="32"/>
          <w:szCs w:val="32"/>
        </w:rPr>
        <w:t>HER2</w:t>
      </w:r>
      <w:r w:rsidRPr="00136FBE">
        <w:rPr>
          <w:rFonts w:ascii="仿宋" w:eastAsia="仿宋" w:hAnsi="仿宋" w:cs="仿宋" w:hint="eastAsia"/>
          <w:sz w:val="32"/>
          <w:szCs w:val="32"/>
        </w:rPr>
        <w:t>阳性的转移性胃腺癌或胃食管交界腺癌患者，对于顺铂和氟尿嘧啶类进展，而未使用过曲妥珠单抗的</w:t>
      </w:r>
      <w:r w:rsidRPr="00136FBE">
        <w:rPr>
          <w:rFonts w:ascii="仿宋" w:eastAsia="仿宋" w:hAnsi="仿宋" w:cs="仿宋"/>
          <w:sz w:val="32"/>
          <w:szCs w:val="32"/>
        </w:rPr>
        <w:t>HER2</w:t>
      </w:r>
      <w:r w:rsidRPr="00136FBE">
        <w:rPr>
          <w:rFonts w:ascii="仿宋" w:eastAsia="仿宋" w:hAnsi="仿宋" w:cs="仿宋" w:hint="eastAsia"/>
          <w:sz w:val="32"/>
          <w:szCs w:val="32"/>
        </w:rPr>
        <w:t>阳性的转移性胃癌患者，可以考虑曲妥珠单抗联合其他有效的化疗药物治疗；曲妥珠单抗只能用于</w:t>
      </w:r>
      <w:r w:rsidRPr="00136FBE">
        <w:rPr>
          <w:rFonts w:ascii="仿宋" w:eastAsia="仿宋" w:hAnsi="仿宋" w:cs="仿宋"/>
          <w:sz w:val="32"/>
          <w:szCs w:val="32"/>
        </w:rPr>
        <w:t>HER2</w:t>
      </w:r>
      <w:r w:rsidRPr="00136FBE">
        <w:rPr>
          <w:rFonts w:ascii="仿宋" w:eastAsia="仿宋" w:hAnsi="仿宋" w:cs="仿宋" w:hint="eastAsia"/>
          <w:sz w:val="32"/>
          <w:szCs w:val="32"/>
        </w:rPr>
        <w:t>阳性的转移性胃癌患者，</w:t>
      </w:r>
      <w:r w:rsidRPr="00136FBE">
        <w:rPr>
          <w:rFonts w:ascii="仿宋" w:eastAsia="仿宋" w:hAnsi="仿宋" w:cs="仿宋"/>
          <w:sz w:val="32"/>
          <w:szCs w:val="32"/>
        </w:rPr>
        <w:t>HER2</w:t>
      </w:r>
      <w:r w:rsidRPr="00136FBE">
        <w:rPr>
          <w:rFonts w:ascii="仿宋" w:eastAsia="仿宋" w:hAnsi="仿宋" w:cs="仿宋" w:hint="eastAsia"/>
          <w:sz w:val="32"/>
          <w:szCs w:val="32"/>
        </w:rPr>
        <w:t>阳性的定义为使用已验证的检测方法得到的</w:t>
      </w:r>
      <w:r w:rsidRPr="00136FBE">
        <w:rPr>
          <w:rFonts w:ascii="仿宋" w:eastAsia="仿宋" w:hAnsi="仿宋" w:cs="仿宋"/>
          <w:sz w:val="32"/>
          <w:szCs w:val="32"/>
        </w:rPr>
        <w:t>IHC3+</w:t>
      </w:r>
      <w:r w:rsidRPr="00136FBE">
        <w:rPr>
          <w:rFonts w:ascii="仿宋" w:eastAsia="仿宋" w:hAnsi="仿宋" w:cs="仿宋" w:hint="eastAsia"/>
          <w:sz w:val="32"/>
          <w:szCs w:val="32"/>
        </w:rPr>
        <w:t>或</w:t>
      </w:r>
      <w:r w:rsidRPr="00136FBE">
        <w:rPr>
          <w:rFonts w:ascii="仿宋" w:eastAsia="仿宋" w:hAnsi="仿宋" w:cs="仿宋"/>
          <w:sz w:val="32"/>
          <w:szCs w:val="32"/>
        </w:rPr>
        <w:t>IHC2+/FISH+</w:t>
      </w:r>
      <w:r w:rsidRPr="00136FBE">
        <w:rPr>
          <w:rFonts w:ascii="仿宋" w:eastAsia="仿宋" w:hAnsi="仿宋" w:cs="仿宋" w:hint="eastAsia"/>
          <w:sz w:val="32"/>
          <w:szCs w:val="32"/>
        </w:rPr>
        <w:t>结果。</w:t>
      </w:r>
    </w:p>
    <w:p w14:paraId="5993B9D8" w14:textId="77777777" w:rsidR="00B23A40" w:rsidRPr="00136FBE" w:rsidRDefault="00DD1A0D">
      <w:pPr>
        <w:spacing w:line="360" w:lineRule="auto"/>
        <w:ind w:firstLineChars="200" w:firstLine="643"/>
        <w:jc w:val="left"/>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134D8104"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在本品治疗前，应进行</w:t>
      </w:r>
      <w:r w:rsidRPr="00136FBE">
        <w:rPr>
          <w:rFonts w:ascii="仿宋" w:eastAsia="仿宋" w:hAnsi="仿宋" w:cs="仿宋"/>
          <w:sz w:val="32"/>
          <w:szCs w:val="32"/>
        </w:rPr>
        <w:t>HER2</w:t>
      </w:r>
      <w:r w:rsidRPr="00136FBE">
        <w:rPr>
          <w:rFonts w:ascii="仿宋" w:eastAsia="仿宋" w:hAnsi="仿宋" w:cs="仿宋" w:hint="eastAsia"/>
          <w:sz w:val="32"/>
          <w:szCs w:val="32"/>
        </w:rPr>
        <w:t>检测，相关检测应使用国家药品监督管理局批准的检测方法。</w:t>
      </w:r>
    </w:p>
    <w:p w14:paraId="1F5B3F5C"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曲妥珠单抗开始治疗前应进行左室射血分数（</w:t>
      </w:r>
      <w:r w:rsidRPr="00136FBE">
        <w:rPr>
          <w:rFonts w:ascii="仿宋" w:eastAsia="仿宋" w:hAnsi="仿宋" w:cs="仿宋"/>
          <w:sz w:val="32"/>
          <w:szCs w:val="32"/>
        </w:rPr>
        <w:t>LVEF</w:t>
      </w:r>
      <w:r w:rsidRPr="00136FBE">
        <w:rPr>
          <w:rFonts w:ascii="仿宋" w:eastAsia="仿宋" w:hAnsi="仿宋" w:cs="仿宋" w:hint="eastAsia"/>
          <w:sz w:val="32"/>
          <w:szCs w:val="32"/>
        </w:rPr>
        <w:t>）的检测，治疗期间须经常密切监测</w:t>
      </w:r>
      <w:r w:rsidRPr="00136FBE">
        <w:rPr>
          <w:rFonts w:ascii="仿宋" w:eastAsia="仿宋" w:hAnsi="仿宋" w:cs="仿宋"/>
          <w:sz w:val="32"/>
          <w:szCs w:val="32"/>
        </w:rPr>
        <w:t>LVEF</w:t>
      </w:r>
      <w:r w:rsidRPr="00136FBE">
        <w:rPr>
          <w:rFonts w:ascii="仿宋" w:eastAsia="仿宋" w:hAnsi="仿宋" w:cs="仿宋" w:hint="eastAsia"/>
          <w:sz w:val="32"/>
          <w:szCs w:val="32"/>
        </w:rPr>
        <w:t>。LVEF较治疗前绝对数值下降≥16%，或LVEF低于该检测中心正常范围并且LVEF 较治疗前绝对数值下降≥10%，需应停止曲妥珠单抗治疗至少4周，并每4周检测1次LVEF。4</w:t>
      </w:r>
      <w:r w:rsidR="00D44562" w:rsidRPr="00136FBE">
        <w:rPr>
          <w:rFonts w:ascii="仿宋" w:eastAsia="仿宋" w:hAnsi="仿宋" w:cs="仿宋" w:hint="eastAsia"/>
          <w:sz w:val="32"/>
          <w:szCs w:val="32"/>
        </w:rPr>
        <w:t>～</w:t>
      </w:r>
      <w:r w:rsidRPr="00136FBE">
        <w:rPr>
          <w:rFonts w:ascii="仿宋" w:eastAsia="仿宋" w:hAnsi="仿宋" w:cs="仿宋" w:hint="eastAsia"/>
          <w:sz w:val="32"/>
          <w:szCs w:val="32"/>
        </w:rPr>
        <w:t>8周内LVEF回升至正常范围或LVEF较治疗前绝对数值下降≤15%，可恢复使用曲妥珠单抗。LVEF持续下降（</w:t>
      </w:r>
      <w:r w:rsidR="00D44562" w:rsidRPr="00136FBE">
        <w:rPr>
          <w:rFonts w:ascii="仿宋" w:eastAsia="仿宋" w:hAnsi="仿宋" w:cs="仿宋" w:hint="eastAsia"/>
          <w:sz w:val="32"/>
          <w:szCs w:val="32"/>
        </w:rPr>
        <w:t>＞</w:t>
      </w:r>
      <w:r w:rsidRPr="00136FBE">
        <w:rPr>
          <w:rFonts w:ascii="仿宋" w:eastAsia="仿宋" w:hAnsi="仿宋" w:cs="仿宋" w:hint="eastAsia"/>
          <w:sz w:val="32"/>
          <w:szCs w:val="32"/>
        </w:rPr>
        <w:t>8 周），或者3次以上因</w:t>
      </w:r>
      <w:r w:rsidR="00F57B1B">
        <w:rPr>
          <w:rFonts w:ascii="仿宋" w:eastAsia="仿宋" w:hAnsi="仿宋" w:cs="仿宋" w:hint="eastAsia"/>
          <w:sz w:val="32"/>
          <w:szCs w:val="32"/>
        </w:rPr>
        <w:t>心脏毒性</w:t>
      </w:r>
      <w:r w:rsidRPr="00136FBE">
        <w:rPr>
          <w:rFonts w:ascii="仿宋" w:eastAsia="仿宋" w:hAnsi="仿宋" w:cs="仿宋" w:hint="eastAsia"/>
          <w:sz w:val="32"/>
          <w:szCs w:val="32"/>
        </w:rPr>
        <w:t>而停止曲妥珠单抗治疗，应永久停止使用曲妥珠单抗。</w:t>
      </w:r>
    </w:p>
    <w:p w14:paraId="0A9A7C26" w14:textId="77777777" w:rsidR="00B23A40" w:rsidRPr="00136FBE" w:rsidRDefault="00DD1A0D">
      <w:pPr>
        <w:spacing w:line="360" w:lineRule="auto"/>
        <w:ind w:firstLineChars="200" w:firstLine="640"/>
        <w:jc w:val="left"/>
        <w:rPr>
          <w:rFonts w:ascii="仿宋" w:eastAsia="仿宋" w:hAnsi="仿宋" w:cs="Times New Roman"/>
          <w:sz w:val="32"/>
          <w:szCs w:val="32"/>
          <w:lang w:val="en-GB"/>
        </w:rPr>
      </w:pPr>
      <w:r w:rsidRPr="00136FBE">
        <w:rPr>
          <w:rFonts w:ascii="仿宋" w:eastAsia="仿宋" w:hAnsi="仿宋" w:cs="仿宋"/>
          <w:sz w:val="32"/>
          <w:szCs w:val="32"/>
        </w:rPr>
        <w:lastRenderedPageBreak/>
        <w:t>3.</w:t>
      </w:r>
      <w:r w:rsidRPr="00136FBE">
        <w:rPr>
          <w:rFonts w:ascii="仿宋" w:eastAsia="仿宋" w:hAnsi="仿宋" w:cs="仿宋" w:hint="eastAsia"/>
          <w:sz w:val="32"/>
          <w:szCs w:val="32"/>
        </w:rPr>
        <w:t>胃癌治疗过程中患者出现充血性心力衰竭、左心室功能明显下降、严重的输注反应和肺部反应时，要中断或停止曲妥珠单抗的治疗。</w:t>
      </w:r>
    </w:p>
    <w:p w14:paraId="63997B78" w14:textId="77777777" w:rsidR="00B23A40" w:rsidRPr="00136FBE" w:rsidRDefault="004467A6">
      <w:pPr>
        <w:widowControl/>
        <w:jc w:val="left"/>
        <w:rPr>
          <w:rFonts w:ascii="黑体" w:eastAsia="黑体" w:hAnsi="黑体" w:cs="黑体"/>
          <w:sz w:val="32"/>
          <w:szCs w:val="32"/>
        </w:rPr>
      </w:pPr>
      <w:r w:rsidRPr="00136FBE">
        <w:rPr>
          <w:rFonts w:ascii="黑体" w:eastAsia="黑体" w:hAnsi="黑体" w:cs="黑体" w:hint="eastAsia"/>
          <w:sz w:val="32"/>
          <w:szCs w:val="32"/>
        </w:rPr>
        <w:t xml:space="preserve">    七</w:t>
      </w:r>
      <w:r w:rsidR="00DD1A0D" w:rsidRPr="00136FBE">
        <w:rPr>
          <w:rFonts w:ascii="黑体" w:eastAsia="黑体" w:hAnsi="黑体" w:cs="黑体" w:hint="eastAsia"/>
          <w:sz w:val="32"/>
          <w:szCs w:val="32"/>
        </w:rPr>
        <w:t xml:space="preserve">、阿帕替尼 </w:t>
      </w:r>
      <w:proofErr w:type="spellStart"/>
      <w:r w:rsidR="00F111D5" w:rsidRPr="00136FBE">
        <w:rPr>
          <w:rFonts w:ascii="黑体" w:eastAsia="黑体" w:hAnsi="黑体" w:cs="黑体" w:hint="eastAsia"/>
          <w:sz w:val="32"/>
          <w:szCs w:val="32"/>
        </w:rPr>
        <w:t>A</w:t>
      </w:r>
      <w:r w:rsidR="00DD1A0D" w:rsidRPr="00136FBE">
        <w:rPr>
          <w:rFonts w:ascii="黑体" w:eastAsia="黑体" w:hAnsi="黑体" w:cs="黑体"/>
          <w:sz w:val="32"/>
          <w:szCs w:val="32"/>
        </w:rPr>
        <w:t>patinib</w:t>
      </w:r>
      <w:proofErr w:type="spellEnd"/>
    </w:p>
    <w:p w14:paraId="1222973E" w14:textId="77777777" w:rsidR="00B23A40" w:rsidRPr="00136FBE" w:rsidRDefault="00DD1A0D">
      <w:pPr>
        <w:spacing w:line="360" w:lineRule="auto"/>
        <w:ind w:firstLineChars="200" w:firstLine="643"/>
        <w:jc w:val="left"/>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0.25g</w:t>
      </w:r>
      <w:r w:rsidRPr="00136FBE">
        <w:rPr>
          <w:rFonts w:ascii="仿宋" w:eastAsia="仿宋" w:hAnsi="仿宋" w:cs="仿宋" w:hint="eastAsia"/>
          <w:sz w:val="32"/>
          <w:szCs w:val="32"/>
        </w:rPr>
        <w:t>、</w:t>
      </w:r>
      <w:r w:rsidRPr="00136FBE">
        <w:rPr>
          <w:rFonts w:ascii="仿宋" w:eastAsia="仿宋" w:hAnsi="仿宋" w:cs="仿宋"/>
          <w:sz w:val="32"/>
          <w:szCs w:val="32"/>
        </w:rPr>
        <w:t>0.375g</w:t>
      </w:r>
      <w:r w:rsidRPr="00136FBE">
        <w:rPr>
          <w:rFonts w:ascii="仿宋" w:eastAsia="仿宋" w:hAnsi="仿宋" w:cs="仿宋" w:hint="eastAsia"/>
          <w:sz w:val="32"/>
          <w:szCs w:val="32"/>
        </w:rPr>
        <w:t>、</w:t>
      </w:r>
      <w:r w:rsidRPr="00136FBE">
        <w:rPr>
          <w:rFonts w:ascii="仿宋" w:eastAsia="仿宋" w:hAnsi="仿宋" w:cs="仿宋"/>
          <w:sz w:val="32"/>
          <w:szCs w:val="32"/>
        </w:rPr>
        <w:t xml:space="preserve">0.425g </w:t>
      </w:r>
    </w:p>
    <w:p w14:paraId="5410E789" w14:textId="77777777" w:rsidR="00B23A40" w:rsidRPr="00136FBE" w:rsidRDefault="00DD1A0D">
      <w:pPr>
        <w:spacing w:line="360" w:lineRule="auto"/>
        <w:ind w:firstLineChars="200" w:firstLine="643"/>
        <w:jc w:val="left"/>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既往至少接受过</w:t>
      </w:r>
      <w:r w:rsidRPr="00136FBE">
        <w:rPr>
          <w:rFonts w:ascii="仿宋" w:eastAsia="仿宋" w:hAnsi="仿宋" w:cs="仿宋"/>
          <w:sz w:val="32"/>
          <w:szCs w:val="32"/>
        </w:rPr>
        <w:t>2</w:t>
      </w:r>
      <w:r w:rsidRPr="00136FBE">
        <w:rPr>
          <w:rFonts w:ascii="仿宋" w:eastAsia="仿宋" w:hAnsi="仿宋" w:cs="仿宋" w:hint="eastAsia"/>
          <w:sz w:val="32"/>
          <w:szCs w:val="32"/>
        </w:rPr>
        <w:t>种系统化疗后进展或复发的晚期胃腺癌或胃食管结合部腺癌患者，且患者接受阿帕替尼治疗时一般状况良好。</w:t>
      </w:r>
    </w:p>
    <w:p w14:paraId="278F4D96" w14:textId="77777777" w:rsidR="00B23A40" w:rsidRPr="00136FBE" w:rsidRDefault="00DD1A0D">
      <w:pPr>
        <w:spacing w:line="360" w:lineRule="auto"/>
        <w:ind w:firstLineChars="200" w:firstLine="643"/>
        <w:jc w:val="left"/>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3FA02CAA"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药品说明书推荐剂量为</w:t>
      </w:r>
      <w:r w:rsidRPr="00136FBE">
        <w:rPr>
          <w:rFonts w:ascii="仿宋" w:eastAsia="仿宋" w:hAnsi="仿宋" w:cs="仿宋"/>
          <w:sz w:val="32"/>
          <w:szCs w:val="32"/>
        </w:rPr>
        <w:t>850mg</w:t>
      </w:r>
      <w:r w:rsidRPr="00136FBE">
        <w:rPr>
          <w:rFonts w:ascii="仿宋" w:eastAsia="仿宋" w:hAnsi="仿宋" w:cs="仿宋" w:hint="eastAsia"/>
          <w:sz w:val="32"/>
          <w:szCs w:val="32"/>
        </w:rPr>
        <w:t>，每日一次。对于体力状态评分</w:t>
      </w:r>
      <w:r w:rsidRPr="00136FBE">
        <w:rPr>
          <w:rFonts w:ascii="仿宋" w:eastAsia="仿宋" w:hAnsi="仿宋" w:cs="仿宋"/>
          <w:sz w:val="32"/>
          <w:szCs w:val="32"/>
        </w:rPr>
        <w:t>ECOG</w:t>
      </w:r>
      <w:r w:rsidRPr="00136FBE">
        <w:rPr>
          <w:rFonts w:ascii="仿宋" w:eastAsia="仿宋" w:hAnsi="仿宋" w:cs="仿宋" w:hint="eastAsia"/>
          <w:sz w:val="32"/>
          <w:szCs w:val="32"/>
        </w:rPr>
        <w:t>≥</w:t>
      </w:r>
      <w:r w:rsidRPr="00136FBE">
        <w:rPr>
          <w:rFonts w:ascii="仿宋" w:eastAsia="仿宋" w:hAnsi="仿宋" w:cs="仿宋"/>
          <w:sz w:val="32"/>
          <w:szCs w:val="32"/>
        </w:rPr>
        <w:t>2</w:t>
      </w:r>
      <w:r w:rsidRPr="00136FBE">
        <w:rPr>
          <w:rFonts w:ascii="仿宋" w:eastAsia="仿宋" w:hAnsi="仿宋" w:cs="仿宋" w:hint="eastAsia"/>
          <w:sz w:val="32"/>
          <w:szCs w:val="32"/>
        </w:rPr>
        <w:t>、四线化疗以后、胃部原发癌灶没有切除、骨髓功能储备差、年老体弱或瘦小的女性患者，为了确保患者的安全性和提高依从性，可以适当降低起始剂量，先从250</w:t>
      </w:r>
      <w:r w:rsidRPr="00136FBE">
        <w:rPr>
          <w:rFonts w:ascii="仿宋" w:eastAsia="仿宋" w:hAnsi="仿宋" w:cs="仿宋"/>
          <w:sz w:val="32"/>
          <w:szCs w:val="32"/>
        </w:rPr>
        <w:t>mg</w:t>
      </w:r>
      <w:r w:rsidRPr="00136FBE">
        <w:rPr>
          <w:rFonts w:ascii="仿宋" w:eastAsia="仿宋" w:hAnsi="仿宋" w:cs="仿宋" w:hint="eastAsia"/>
          <w:sz w:val="32"/>
          <w:szCs w:val="32"/>
        </w:rPr>
        <w:t>开始服药，服用</w:t>
      </w:r>
      <w:r w:rsidRPr="00136FBE">
        <w:rPr>
          <w:rFonts w:ascii="仿宋" w:eastAsia="仿宋" w:hAnsi="仿宋" w:cs="仿宋"/>
          <w:sz w:val="32"/>
          <w:szCs w:val="32"/>
        </w:rPr>
        <w:t>1</w:t>
      </w:r>
      <w:r w:rsidRPr="00136FBE">
        <w:rPr>
          <w:rFonts w:ascii="仿宋" w:eastAsia="仿宋" w:hAnsi="仿宋" w:cs="仿宋" w:hint="eastAsia"/>
          <w:sz w:val="32"/>
          <w:szCs w:val="32"/>
        </w:rPr>
        <w:t>～</w:t>
      </w:r>
      <w:r w:rsidRPr="00136FBE">
        <w:rPr>
          <w:rFonts w:ascii="仿宋" w:eastAsia="仿宋" w:hAnsi="仿宋" w:cs="仿宋"/>
          <w:sz w:val="32"/>
          <w:szCs w:val="32"/>
        </w:rPr>
        <w:t>2</w:t>
      </w:r>
      <w:r w:rsidRPr="00136FBE">
        <w:rPr>
          <w:rFonts w:ascii="仿宋" w:eastAsia="仿宋" w:hAnsi="仿宋" w:cs="仿宋" w:hint="eastAsia"/>
          <w:sz w:val="32"/>
          <w:szCs w:val="32"/>
        </w:rPr>
        <w:t>周后再酌情增加剂量。</w:t>
      </w:r>
    </w:p>
    <w:p w14:paraId="7EDE3FEF"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使用过程中出现</w:t>
      </w:r>
      <w:r w:rsidRPr="00136FBE">
        <w:rPr>
          <w:rFonts w:ascii="仿宋" w:eastAsia="仿宋" w:hAnsi="仿宋" w:cs="仿宋"/>
          <w:sz w:val="32"/>
          <w:szCs w:val="32"/>
        </w:rPr>
        <w:t>3</w:t>
      </w:r>
      <w:r w:rsidRPr="00136FBE">
        <w:rPr>
          <w:rFonts w:ascii="仿宋" w:eastAsia="仿宋" w:hAnsi="仿宋" w:cs="仿宋" w:hint="eastAsia"/>
          <w:sz w:val="32"/>
          <w:szCs w:val="32"/>
        </w:rPr>
        <w:t>～</w:t>
      </w:r>
      <w:r w:rsidRPr="00136FBE">
        <w:rPr>
          <w:rFonts w:ascii="仿宋" w:eastAsia="仿宋" w:hAnsi="仿宋" w:cs="仿宋"/>
          <w:sz w:val="32"/>
          <w:szCs w:val="32"/>
        </w:rPr>
        <w:t>4</w:t>
      </w:r>
      <w:r w:rsidRPr="00136FBE">
        <w:rPr>
          <w:rFonts w:ascii="仿宋" w:eastAsia="仿宋" w:hAnsi="仿宋" w:cs="仿宋" w:hint="eastAsia"/>
          <w:sz w:val="32"/>
          <w:szCs w:val="32"/>
        </w:rPr>
        <w:t>级不良反应时，建议暂停用药，</w:t>
      </w:r>
      <w:r w:rsidRPr="00136FBE">
        <w:rPr>
          <w:rFonts w:ascii="仿宋" w:eastAsia="仿宋" w:hAnsi="仿宋" w:cs="仿宋" w:hint="eastAsia"/>
          <w:w w:val="98"/>
          <w:sz w:val="32"/>
          <w:szCs w:val="32"/>
        </w:rPr>
        <w:t>并对症处理，待症状缓解恢复到</w:t>
      </w:r>
      <w:r w:rsidRPr="00136FBE">
        <w:rPr>
          <w:rFonts w:ascii="仿宋" w:eastAsia="仿宋" w:hAnsi="仿宋" w:cs="仿宋"/>
          <w:w w:val="98"/>
          <w:sz w:val="32"/>
          <w:szCs w:val="32"/>
        </w:rPr>
        <w:t>1</w:t>
      </w:r>
      <w:r w:rsidRPr="00136FBE">
        <w:rPr>
          <w:rFonts w:ascii="仿宋" w:eastAsia="仿宋" w:hAnsi="仿宋" w:cs="仿宋" w:hint="eastAsia"/>
          <w:w w:val="98"/>
          <w:sz w:val="32"/>
          <w:szCs w:val="32"/>
        </w:rPr>
        <w:t>级以内，随后降低剂量服用。</w:t>
      </w:r>
    </w:p>
    <w:p w14:paraId="2F47AD49"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用药期间必须特别关注血压升高、蛋白尿、手足皮肤反应、出血、心脏毒性、肝脏毒性等不良反应。</w:t>
      </w:r>
    </w:p>
    <w:p w14:paraId="6BCF8DED" w14:textId="77777777" w:rsidR="00B23A40" w:rsidRPr="00136FBE" w:rsidRDefault="00DD1A0D">
      <w:pPr>
        <w:spacing w:line="360" w:lineRule="auto"/>
        <w:ind w:firstLineChars="200" w:firstLine="640"/>
        <w:jc w:val="left"/>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慎与延长</w:t>
      </w:r>
      <w:r w:rsidRPr="00136FBE">
        <w:rPr>
          <w:rFonts w:ascii="仿宋" w:eastAsia="仿宋" w:hAnsi="仿宋" w:cs="仿宋"/>
          <w:sz w:val="32"/>
          <w:szCs w:val="32"/>
        </w:rPr>
        <w:t>QT</w:t>
      </w:r>
      <w:r w:rsidRPr="00136FBE">
        <w:rPr>
          <w:rFonts w:ascii="仿宋" w:eastAsia="仿宋" w:hAnsi="仿宋" w:cs="仿宋" w:hint="eastAsia"/>
          <w:sz w:val="32"/>
          <w:szCs w:val="32"/>
        </w:rPr>
        <w:t>间期的药物同时使用。</w:t>
      </w:r>
    </w:p>
    <w:p w14:paraId="1484B715" w14:textId="77777777" w:rsidR="004467A6" w:rsidRPr="00136FBE" w:rsidRDefault="004467A6" w:rsidP="004467A6">
      <w:pPr>
        <w:spacing w:line="360" w:lineRule="auto"/>
        <w:ind w:firstLineChars="200" w:firstLine="640"/>
        <w:rPr>
          <w:rFonts w:ascii="黑体" w:eastAsia="黑体" w:hAnsi="黑体" w:cs="Times New Roman"/>
          <w:sz w:val="32"/>
          <w:szCs w:val="32"/>
        </w:rPr>
      </w:pPr>
      <w:r w:rsidRPr="00136FBE">
        <w:rPr>
          <w:rFonts w:ascii="黑体" w:eastAsia="黑体" w:hAnsi="黑体" w:hint="eastAsia"/>
          <w:color w:val="000000"/>
          <w:sz w:val="32"/>
          <w:szCs w:val="32"/>
        </w:rPr>
        <w:t>八、</w:t>
      </w:r>
      <w:r w:rsidRPr="00136FBE">
        <w:rPr>
          <w:rFonts w:ascii="黑体" w:eastAsia="黑体" w:hAnsi="黑体" w:cs="黑体" w:hint="eastAsia"/>
          <w:sz w:val="32"/>
          <w:szCs w:val="32"/>
        </w:rPr>
        <w:t xml:space="preserve">纳武利尤单抗 </w:t>
      </w:r>
      <w:r w:rsidR="00F111D5" w:rsidRPr="00136FBE">
        <w:rPr>
          <w:rFonts w:ascii="黑体" w:eastAsia="黑体" w:hAnsi="黑体" w:cs="黑体" w:hint="eastAsia"/>
          <w:sz w:val="32"/>
          <w:szCs w:val="32"/>
        </w:rPr>
        <w:t>N</w:t>
      </w:r>
      <w:r w:rsidRPr="00136FBE">
        <w:rPr>
          <w:rFonts w:ascii="黑体" w:eastAsia="黑体" w:hAnsi="黑体" w:cs="黑体"/>
          <w:sz w:val="32"/>
          <w:szCs w:val="32"/>
        </w:rPr>
        <w:t>ivolumab</w:t>
      </w:r>
    </w:p>
    <w:p w14:paraId="42706F61" w14:textId="77777777" w:rsidR="004467A6" w:rsidRPr="00136FBE" w:rsidRDefault="004467A6" w:rsidP="004467A6">
      <w:pPr>
        <w:spacing w:line="360" w:lineRule="auto"/>
        <w:ind w:firstLineChars="200" w:firstLine="613"/>
        <w:rPr>
          <w:rFonts w:ascii="仿宋" w:eastAsia="仿宋" w:hAnsi="仿宋" w:cs="Times New Roman"/>
          <w:b/>
          <w:bCs/>
          <w:w w:val="95"/>
          <w:sz w:val="32"/>
          <w:szCs w:val="32"/>
          <w:lang w:val="it-IT"/>
        </w:rPr>
      </w:pPr>
      <w:r w:rsidRPr="00136FBE">
        <w:rPr>
          <w:rFonts w:ascii="仿宋" w:eastAsia="仿宋" w:hAnsi="仿宋" w:cs="仿宋" w:hint="eastAsia"/>
          <w:b/>
          <w:bCs/>
          <w:w w:val="95"/>
          <w:sz w:val="32"/>
          <w:szCs w:val="32"/>
        </w:rPr>
        <w:t>制剂与规格</w:t>
      </w:r>
      <w:r w:rsidRPr="00136FBE">
        <w:rPr>
          <w:rFonts w:ascii="仿宋" w:eastAsia="仿宋" w:hAnsi="仿宋" w:cs="仿宋" w:hint="eastAsia"/>
          <w:w w:val="95"/>
          <w:sz w:val="32"/>
          <w:szCs w:val="32"/>
          <w:lang w:val="it-IT"/>
        </w:rPr>
        <w:t>：注射液：</w:t>
      </w:r>
      <w:r w:rsidRPr="00136FBE">
        <w:rPr>
          <w:rFonts w:ascii="仿宋" w:eastAsia="仿宋" w:hAnsi="仿宋" w:cs="仿宋"/>
          <w:w w:val="95"/>
          <w:sz w:val="32"/>
          <w:szCs w:val="32"/>
          <w:lang w:val="it-IT"/>
        </w:rPr>
        <w:t>40mg</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4ml</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w:t>
      </w:r>
      <w:r w:rsidRPr="00136FBE">
        <w:rPr>
          <w:rFonts w:ascii="仿宋" w:eastAsia="仿宋" w:hAnsi="仿宋" w:cs="仿宋" w:hint="eastAsia"/>
          <w:w w:val="95"/>
          <w:sz w:val="32"/>
          <w:szCs w:val="32"/>
          <w:lang w:val="it-IT"/>
        </w:rPr>
        <w:t>瓶、</w:t>
      </w:r>
      <w:r w:rsidRPr="00136FBE">
        <w:rPr>
          <w:rFonts w:ascii="仿宋" w:eastAsia="仿宋" w:hAnsi="仿宋" w:cs="仿宋"/>
          <w:w w:val="95"/>
          <w:sz w:val="32"/>
          <w:szCs w:val="32"/>
          <w:lang w:val="it-IT"/>
        </w:rPr>
        <w:t>100mg</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10ml</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w:t>
      </w:r>
      <w:r w:rsidRPr="00136FBE">
        <w:rPr>
          <w:rFonts w:ascii="仿宋" w:eastAsia="仿宋" w:hAnsi="仿宋" w:cs="仿宋" w:hint="eastAsia"/>
          <w:w w:val="95"/>
          <w:sz w:val="32"/>
          <w:szCs w:val="32"/>
          <w:lang w:val="it-IT"/>
        </w:rPr>
        <w:t>瓶</w:t>
      </w:r>
    </w:p>
    <w:p w14:paraId="6E6DB267" w14:textId="77777777" w:rsidR="004467A6" w:rsidRPr="00136FBE" w:rsidRDefault="004467A6" w:rsidP="004467A6">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lastRenderedPageBreak/>
        <w:t>适应证</w:t>
      </w:r>
      <w:r w:rsidRPr="00136FBE">
        <w:rPr>
          <w:rFonts w:ascii="仿宋" w:eastAsia="仿宋" w:hAnsi="仿宋" w:cs="仿宋" w:hint="eastAsia"/>
          <w:sz w:val="32"/>
          <w:szCs w:val="32"/>
        </w:rPr>
        <w:t>：既往接受过两种或两种以上全身性治疗方案的晚期或复发性胃或胃食管连接部腺癌患者。</w:t>
      </w:r>
    </w:p>
    <w:p w14:paraId="01621547" w14:textId="77777777" w:rsidR="004467A6" w:rsidRPr="00136FBE" w:rsidRDefault="004467A6" w:rsidP="004467A6">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AD70203"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纳武利尤单抗基于ATTRACTION-2研究，获批的剂量是</w:t>
      </w:r>
      <w:r w:rsidRPr="00136FBE">
        <w:rPr>
          <w:rFonts w:ascii="仿宋" w:eastAsia="仿宋" w:hAnsi="仿宋" w:cs="仿宋"/>
          <w:sz w:val="32"/>
          <w:szCs w:val="32"/>
        </w:rPr>
        <w:t>3mg/kg</w:t>
      </w:r>
      <w:r w:rsidRPr="00136FBE">
        <w:rPr>
          <w:rFonts w:ascii="仿宋" w:eastAsia="仿宋" w:hAnsi="仿宋" w:cs="仿宋" w:hint="eastAsia"/>
          <w:sz w:val="32"/>
          <w:szCs w:val="32"/>
        </w:rPr>
        <w:t>，每</w:t>
      </w:r>
      <w:r w:rsidRPr="00136FBE">
        <w:rPr>
          <w:rFonts w:ascii="仿宋" w:eastAsia="仿宋" w:hAnsi="仿宋" w:cs="仿宋"/>
          <w:sz w:val="32"/>
          <w:szCs w:val="32"/>
        </w:rPr>
        <w:t>2</w:t>
      </w:r>
      <w:r w:rsidRPr="00136FBE">
        <w:rPr>
          <w:rFonts w:ascii="仿宋" w:eastAsia="仿宋" w:hAnsi="仿宋" w:cs="仿宋" w:hint="eastAsia"/>
          <w:sz w:val="32"/>
          <w:szCs w:val="32"/>
        </w:rPr>
        <w:t>周一次，</w:t>
      </w:r>
      <w:r w:rsidRPr="00136FBE">
        <w:rPr>
          <w:rFonts w:ascii="仿宋" w:eastAsia="仿宋" w:hAnsi="仿宋" w:cs="仿宋"/>
          <w:sz w:val="32"/>
          <w:szCs w:val="32"/>
        </w:rPr>
        <w:t>60</w:t>
      </w:r>
      <w:r w:rsidRPr="00136FBE">
        <w:rPr>
          <w:rFonts w:ascii="仿宋" w:eastAsia="仿宋" w:hAnsi="仿宋" w:cs="仿宋" w:hint="eastAsia"/>
          <w:sz w:val="32"/>
          <w:szCs w:val="32"/>
        </w:rPr>
        <w:t>分钟输注。</w:t>
      </w:r>
    </w:p>
    <w:p w14:paraId="1574EFEE"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只要观察到临床获益，应继续纳武利尤单抗治疗，直至患者不能耐受，有可能观察到非典型反应。如果患者临床症状稳定或持续减轻，即使考虑有疾病进展的可能，但基于总体临床获益的判断，可考虑继续应用本品治疗，直至证实疾病进展。</w:t>
      </w:r>
    </w:p>
    <w:p w14:paraId="42253D56"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根据个体患者的安全性和耐受性，可暂停给药或停药，不建议增加或减少剂量。</w:t>
      </w:r>
    </w:p>
    <w:p w14:paraId="29AEF375"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发生</w:t>
      </w:r>
      <w:r w:rsidRPr="00136FBE">
        <w:rPr>
          <w:rFonts w:ascii="仿宋" w:eastAsia="仿宋" w:hAnsi="仿宋" w:cs="仿宋"/>
          <w:sz w:val="32"/>
          <w:szCs w:val="32"/>
        </w:rPr>
        <w:t>4</w:t>
      </w:r>
      <w:r w:rsidRPr="00136FBE">
        <w:rPr>
          <w:rFonts w:ascii="仿宋" w:eastAsia="仿宋" w:hAnsi="仿宋" w:cs="仿宋" w:hint="eastAsia"/>
          <w:sz w:val="32"/>
          <w:szCs w:val="32"/>
        </w:rPr>
        <w:t>级或复发性</w:t>
      </w:r>
      <w:r w:rsidRPr="00136FBE">
        <w:rPr>
          <w:rFonts w:ascii="仿宋" w:eastAsia="仿宋" w:hAnsi="仿宋" w:cs="仿宋"/>
          <w:sz w:val="32"/>
          <w:szCs w:val="32"/>
        </w:rPr>
        <w:t>3</w:t>
      </w:r>
      <w:r w:rsidRPr="00136FBE">
        <w:rPr>
          <w:rFonts w:ascii="仿宋" w:eastAsia="仿宋" w:hAnsi="仿宋" w:cs="仿宋" w:hint="eastAsia"/>
          <w:sz w:val="32"/>
          <w:szCs w:val="32"/>
        </w:rPr>
        <w:t>级不良反应，虽然进行治疗调整但仍持续存在</w:t>
      </w:r>
      <w:r w:rsidRPr="00136FBE">
        <w:rPr>
          <w:rFonts w:ascii="仿宋" w:eastAsia="仿宋" w:hAnsi="仿宋" w:cs="仿宋"/>
          <w:sz w:val="32"/>
          <w:szCs w:val="32"/>
        </w:rPr>
        <w:t>2</w:t>
      </w:r>
      <w:r w:rsidRPr="00136FBE">
        <w:rPr>
          <w:rFonts w:ascii="仿宋" w:eastAsia="仿宋" w:hAnsi="仿宋" w:cs="仿宋" w:hint="eastAsia"/>
          <w:sz w:val="32"/>
          <w:szCs w:val="32"/>
        </w:rPr>
        <w:t>级或</w:t>
      </w:r>
      <w:r w:rsidRPr="00136FBE">
        <w:rPr>
          <w:rFonts w:ascii="仿宋" w:eastAsia="仿宋" w:hAnsi="仿宋" w:cs="仿宋"/>
          <w:sz w:val="32"/>
          <w:szCs w:val="32"/>
        </w:rPr>
        <w:t>3</w:t>
      </w:r>
      <w:r w:rsidRPr="00136FBE">
        <w:rPr>
          <w:rFonts w:ascii="仿宋" w:eastAsia="仿宋" w:hAnsi="仿宋" w:cs="仿宋" w:hint="eastAsia"/>
          <w:sz w:val="32"/>
          <w:szCs w:val="32"/>
        </w:rPr>
        <w:t>级不良反应，应永久性停用纳武利尤单抗。</w:t>
      </w:r>
    </w:p>
    <w:p w14:paraId="37BE9E2E"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老年患者（≥</w:t>
      </w:r>
      <w:r w:rsidRPr="00136FBE">
        <w:rPr>
          <w:rFonts w:ascii="仿宋" w:eastAsia="仿宋" w:hAnsi="仿宋" w:cs="仿宋"/>
          <w:sz w:val="32"/>
          <w:szCs w:val="32"/>
        </w:rPr>
        <w:t>65</w:t>
      </w:r>
      <w:r w:rsidRPr="00136FBE">
        <w:rPr>
          <w:rFonts w:ascii="仿宋" w:eastAsia="仿宋" w:hAnsi="仿宋" w:cs="仿宋" w:hint="eastAsia"/>
          <w:sz w:val="32"/>
          <w:szCs w:val="32"/>
        </w:rPr>
        <w:t>岁）无需调整剂量。</w:t>
      </w:r>
      <w:r w:rsidR="001F03A4" w:rsidRPr="00136FBE">
        <w:rPr>
          <w:rFonts w:ascii="仿宋" w:eastAsia="仿宋" w:hAnsi="仿宋" w:cs="仿宋" w:hint="eastAsia"/>
          <w:sz w:val="32"/>
          <w:szCs w:val="32"/>
        </w:rPr>
        <w:t>轻中度</w:t>
      </w:r>
      <w:r w:rsidRPr="00136FBE">
        <w:rPr>
          <w:rFonts w:ascii="仿宋" w:eastAsia="仿宋" w:hAnsi="仿宋" w:cs="仿宋" w:hint="eastAsia"/>
          <w:sz w:val="32"/>
          <w:szCs w:val="32"/>
        </w:rPr>
        <w:t>肾功能损伤患者无需调整剂量，重度肾功能损伤患者的数据有限。</w:t>
      </w:r>
      <w:r w:rsidR="001F03A4" w:rsidRPr="00136FBE">
        <w:rPr>
          <w:rFonts w:ascii="仿宋" w:eastAsia="仿宋" w:hAnsi="仿宋" w:cs="仿宋" w:hint="eastAsia"/>
          <w:sz w:val="32"/>
          <w:szCs w:val="32"/>
        </w:rPr>
        <w:t>轻中度</w:t>
      </w:r>
      <w:r w:rsidRPr="00136FBE">
        <w:rPr>
          <w:rFonts w:ascii="仿宋" w:eastAsia="仿宋" w:hAnsi="仿宋" w:cs="仿宋" w:hint="eastAsia"/>
          <w:sz w:val="32"/>
          <w:szCs w:val="32"/>
        </w:rPr>
        <w:t>肝功能损伤患者无需调整剂量，没有对重度肝功能损伤患者进行本品的相关研究，重度（总胆红素、ALT或</w:t>
      </w:r>
      <w:r w:rsidRPr="00136FBE">
        <w:rPr>
          <w:rFonts w:ascii="仿宋" w:eastAsia="仿宋" w:hAnsi="仿宋" w:cs="仿宋"/>
          <w:sz w:val="32"/>
          <w:szCs w:val="32"/>
        </w:rPr>
        <w:t>AST</w:t>
      </w:r>
      <w:r w:rsidRPr="00136FBE">
        <w:rPr>
          <w:rFonts w:ascii="仿宋" w:eastAsia="仿宋" w:hAnsi="仿宋" w:cs="仿宋" w:hint="eastAsia"/>
          <w:sz w:val="32"/>
          <w:szCs w:val="32"/>
        </w:rPr>
        <w:t>＞</w:t>
      </w:r>
      <w:r w:rsidRPr="00136FBE">
        <w:rPr>
          <w:rFonts w:ascii="仿宋" w:eastAsia="仿宋" w:hAnsi="仿宋" w:cs="仿宋"/>
          <w:sz w:val="32"/>
          <w:szCs w:val="32"/>
        </w:rPr>
        <w:t>3</w:t>
      </w:r>
      <w:r w:rsidRPr="00136FBE">
        <w:rPr>
          <w:rFonts w:ascii="仿宋" w:eastAsia="仿宋" w:hAnsi="仿宋" w:cs="仿宋" w:hint="eastAsia"/>
          <w:sz w:val="32"/>
          <w:szCs w:val="32"/>
        </w:rPr>
        <w:t>倍正常值上限）肝功能损伤患者慎用本品。</w:t>
      </w:r>
    </w:p>
    <w:p w14:paraId="26C719E9"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sz w:val="32"/>
          <w:szCs w:val="32"/>
        </w:rPr>
        <w:t>6.</w:t>
      </w:r>
      <w:r w:rsidRPr="00136FBE">
        <w:rPr>
          <w:rFonts w:ascii="仿宋" w:eastAsia="仿宋" w:hAnsi="仿宋" w:hint="eastAsia"/>
          <w:color w:val="000000"/>
          <w:sz w:val="32"/>
          <w:szCs w:val="32"/>
        </w:rPr>
        <w:t>在使用本品之前应避免使用全身性糖皮质激素或其他免疫抑制剂，因为这些药物可能会影响本品的药效学活性</w:t>
      </w:r>
      <w:r w:rsidRPr="00136FBE">
        <w:rPr>
          <w:rFonts w:ascii="仿宋" w:eastAsia="仿宋" w:hAnsi="仿宋" w:hint="eastAsia"/>
          <w:color w:val="000000"/>
          <w:sz w:val="32"/>
          <w:szCs w:val="32"/>
        </w:rPr>
        <w:lastRenderedPageBreak/>
        <w:t>及疗效。但在本品开始给药后，可使用全身性糖皮质激素或其他免疫抑制剂治疗免疫介导性不良反应。</w:t>
      </w:r>
    </w:p>
    <w:p w14:paraId="3F39D942"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hint="eastAsia"/>
          <w:color w:val="000000"/>
          <w:sz w:val="32"/>
          <w:szCs w:val="32"/>
        </w:rPr>
        <w:t>7.</w:t>
      </w:r>
      <w:r w:rsidRPr="00136FBE">
        <w:rPr>
          <w:rFonts w:ascii="仿宋" w:eastAsia="仿宋" w:hAnsi="仿宋" w:cs="仿宋" w:hint="eastAsia"/>
          <w:sz w:val="32"/>
          <w:szCs w:val="32"/>
        </w:rPr>
        <w:t>纳武利尤单抗可引起免疫相关性不良反应。因为不良反应可能在纳武利尤单抗治疗期间或纳武利尤单抗治疗停止后的任何时间发生，应持续进行患者监测（至少至末次给药后</w:t>
      </w:r>
      <w:r w:rsidRPr="00136FBE">
        <w:rPr>
          <w:rFonts w:ascii="仿宋" w:eastAsia="仿宋" w:hAnsi="仿宋" w:cs="仿宋"/>
          <w:sz w:val="32"/>
          <w:szCs w:val="32"/>
        </w:rPr>
        <w:t>5</w:t>
      </w:r>
      <w:r w:rsidRPr="00136FBE">
        <w:rPr>
          <w:rFonts w:ascii="仿宋" w:eastAsia="仿宋" w:hAnsi="仿宋" w:cs="仿宋" w:hint="eastAsia"/>
          <w:sz w:val="32"/>
          <w:szCs w:val="32"/>
        </w:rPr>
        <w:t>个月）。</w:t>
      </w:r>
    </w:p>
    <w:p w14:paraId="29509C1C"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8.</w:t>
      </w:r>
      <w:r w:rsidRPr="00136FBE">
        <w:rPr>
          <w:rFonts w:ascii="仿宋" w:eastAsia="仿宋" w:hAnsi="仿宋" w:cs="仿宋" w:hint="eastAsia"/>
          <w:sz w:val="32"/>
          <w:szCs w:val="32"/>
        </w:rPr>
        <w:t>对于疑似免疫相关性不良反应，应进行充分的评估以确认病因或排除其他病因。根据不良反应的严重程度，应暂停纳武利尤单抗治疗并给予糖皮质激素。若使用糖皮质激素免疫抑制疗法治疗不良反应，症状改善后，需逐渐减量至停药，快速减量可能引起不良反应恶化或复发。如果虽使用了糖皮质激素但仍恶化或无改善，则应增加非糖皮质激素性免疫抑制剂治疗。</w:t>
      </w:r>
    </w:p>
    <w:p w14:paraId="14819D90"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9.</w:t>
      </w:r>
      <w:r w:rsidRPr="00136FBE">
        <w:rPr>
          <w:rFonts w:ascii="仿宋" w:eastAsia="仿宋" w:hAnsi="仿宋" w:cs="仿宋" w:hint="eastAsia"/>
          <w:sz w:val="32"/>
          <w:szCs w:val="32"/>
        </w:rPr>
        <w:t>在患者接受免疫抑制剂量的糖皮质激素或其他免疫抑制剂治疗期间，不可重新使用纳武利尤单抗治疗。</w:t>
      </w:r>
    </w:p>
    <w:p w14:paraId="4B866A6A"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10.</w:t>
      </w:r>
      <w:r w:rsidRPr="00136FBE">
        <w:rPr>
          <w:rFonts w:ascii="仿宋" w:eastAsia="仿宋" w:hAnsi="仿宋" w:cs="仿宋" w:hint="eastAsia"/>
          <w:sz w:val="32"/>
          <w:szCs w:val="32"/>
        </w:rPr>
        <w:t>如果出现任何重度、复发的免疫相关性不良反应以及任何危及生命的免疫相关性不良反应，必须永久停止纳武利尤单抗治疗。</w:t>
      </w:r>
    </w:p>
    <w:p w14:paraId="7EAD3AD2" w14:textId="77777777" w:rsidR="004467A6" w:rsidRPr="00136FBE" w:rsidRDefault="004467A6" w:rsidP="004467A6">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11.</w:t>
      </w:r>
      <w:r w:rsidRPr="00136FBE">
        <w:rPr>
          <w:rFonts w:ascii="仿宋" w:eastAsia="仿宋" w:hAnsi="仿宋" w:cs="仿宋" w:hint="eastAsia"/>
          <w:sz w:val="32"/>
          <w:szCs w:val="32"/>
        </w:rPr>
        <w:t>纳武利尤单抗是一种人单克隆抗体，因单克隆抗体不经CYP450或其他药物代谢酶代谢，因此，合并使用的药物对这些酶的抑制或诱导作用预期不会影响纳武利尤单抗的药代动力学性质。</w:t>
      </w:r>
    </w:p>
    <w:p w14:paraId="56B69415" w14:textId="77777777" w:rsidR="00B23A40" w:rsidRPr="00136FBE" w:rsidRDefault="004467A6">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lastRenderedPageBreak/>
        <w:t>九</w:t>
      </w:r>
      <w:r w:rsidR="00DD1A0D" w:rsidRPr="00136FBE">
        <w:rPr>
          <w:rFonts w:ascii="黑体" w:eastAsia="黑体" w:hAnsi="黑体" w:cs="黑体" w:hint="eastAsia"/>
          <w:sz w:val="32"/>
          <w:szCs w:val="32"/>
        </w:rPr>
        <w:t xml:space="preserve">、伊马替尼 </w:t>
      </w:r>
      <w:r w:rsidR="00F111D5" w:rsidRPr="00136FBE">
        <w:rPr>
          <w:rFonts w:ascii="黑体" w:eastAsia="黑体" w:hAnsi="黑体" w:cs="黑体" w:hint="eastAsia"/>
          <w:sz w:val="32"/>
          <w:szCs w:val="32"/>
        </w:rPr>
        <w:t>I</w:t>
      </w:r>
      <w:r w:rsidR="00DD1A0D" w:rsidRPr="00136FBE">
        <w:rPr>
          <w:rFonts w:ascii="黑体" w:eastAsia="黑体" w:hAnsi="黑体" w:cs="黑体"/>
          <w:sz w:val="32"/>
          <w:szCs w:val="32"/>
        </w:rPr>
        <w:t>matinib</w:t>
      </w:r>
    </w:p>
    <w:p w14:paraId="355BC4F8" w14:textId="77777777" w:rsidR="00EE4844" w:rsidRPr="00136FBE" w:rsidRDefault="00DD1A0D" w:rsidP="00EE4844">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1</w:t>
      </w:r>
      <w:r w:rsidR="00EE4844" w:rsidRPr="00136FBE">
        <w:rPr>
          <w:rFonts w:ascii="仿宋" w:eastAsia="仿宋" w:hAnsi="仿宋" w:cs="仿宋" w:hint="eastAsia"/>
          <w:sz w:val="32"/>
          <w:szCs w:val="32"/>
        </w:rPr>
        <w:t>）片剂：</w:t>
      </w:r>
      <w:r w:rsidR="00EE4844" w:rsidRPr="00136FBE">
        <w:rPr>
          <w:rFonts w:ascii="仿宋" w:eastAsia="仿宋" w:hAnsi="仿宋" w:cs="仿宋"/>
          <w:sz w:val="32"/>
          <w:szCs w:val="32"/>
        </w:rPr>
        <w:t>100mg</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400mg</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2</w:t>
      </w:r>
      <w:r w:rsidR="00EE4844" w:rsidRPr="00136FBE">
        <w:rPr>
          <w:rFonts w:ascii="仿宋" w:eastAsia="仿宋" w:hAnsi="仿宋" w:cs="仿宋" w:hint="eastAsia"/>
          <w:sz w:val="32"/>
          <w:szCs w:val="32"/>
        </w:rPr>
        <w:t>）胶囊：</w:t>
      </w:r>
      <w:r w:rsidR="00EE4844" w:rsidRPr="00136FBE">
        <w:rPr>
          <w:rFonts w:ascii="仿宋" w:eastAsia="仿宋" w:hAnsi="仿宋" w:cs="仿宋"/>
          <w:sz w:val="32"/>
          <w:szCs w:val="32"/>
        </w:rPr>
        <w:t>50mg</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100mg</w:t>
      </w:r>
    </w:p>
    <w:p w14:paraId="1CA021AE" w14:textId="77777777" w:rsidR="00B23A40" w:rsidRPr="00136FBE" w:rsidRDefault="00DD1A0D" w:rsidP="007952C8">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4638E3E8"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用于治疗不能切除和</w:t>
      </w:r>
      <w:r w:rsidRPr="00136FBE">
        <w:rPr>
          <w:rFonts w:ascii="仿宋" w:eastAsia="仿宋" w:hAnsi="仿宋" w:cs="仿宋"/>
          <w:sz w:val="32"/>
          <w:szCs w:val="32"/>
        </w:rPr>
        <w:t>/</w:t>
      </w:r>
      <w:r w:rsidRPr="00136FBE">
        <w:rPr>
          <w:rFonts w:ascii="仿宋" w:eastAsia="仿宋" w:hAnsi="仿宋" w:cs="仿宋" w:hint="eastAsia"/>
          <w:sz w:val="32"/>
          <w:szCs w:val="32"/>
        </w:rPr>
        <w:t>或发生转移的胃肠间质瘤成人患者。</w:t>
      </w:r>
    </w:p>
    <w:p w14:paraId="0F8C110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用于</w:t>
      </w:r>
      <w:r w:rsidR="001C0861">
        <w:rPr>
          <w:rFonts w:ascii="仿宋" w:eastAsia="仿宋" w:hAnsi="仿宋" w:cs="仿宋" w:hint="eastAsia"/>
          <w:sz w:val="32"/>
          <w:szCs w:val="32"/>
        </w:rPr>
        <w:t>C-</w:t>
      </w:r>
      <w:r w:rsidRPr="00136FBE">
        <w:rPr>
          <w:rFonts w:ascii="仿宋" w:eastAsia="仿宋" w:hAnsi="仿宋" w:cs="仿宋"/>
          <w:sz w:val="32"/>
          <w:szCs w:val="32"/>
        </w:rPr>
        <w:t>Kit</w:t>
      </w:r>
      <w:r w:rsidRPr="00136FBE">
        <w:rPr>
          <w:rFonts w:ascii="仿宋" w:eastAsia="仿宋" w:hAnsi="仿宋" w:cs="仿宋" w:hint="eastAsia"/>
          <w:sz w:val="32"/>
          <w:szCs w:val="32"/>
        </w:rPr>
        <w:t>（</w:t>
      </w:r>
      <w:r w:rsidRPr="00136FBE">
        <w:rPr>
          <w:rFonts w:ascii="仿宋" w:eastAsia="仿宋" w:hAnsi="仿宋" w:cs="仿宋"/>
          <w:sz w:val="32"/>
          <w:szCs w:val="32"/>
        </w:rPr>
        <w:t>CD117</w:t>
      </w:r>
      <w:r w:rsidRPr="00136FBE">
        <w:rPr>
          <w:rFonts w:ascii="仿宋" w:eastAsia="仿宋" w:hAnsi="仿宋" w:cs="仿宋" w:hint="eastAsia"/>
          <w:sz w:val="32"/>
          <w:szCs w:val="32"/>
        </w:rPr>
        <w:t>）阳性胃肠间质瘤手术切除后具有明显复发风险的成人患者的辅助治疗。</w:t>
      </w:r>
    </w:p>
    <w:p w14:paraId="0B74FF0D"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269453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用药期间必须注意常见的不良反应，例如：体液潴留、恶心、腹泻、皮疹、中性粒细胞减少、血小板减少、贫血、疼痛性肌痉挛以及肝功能损伤。</w:t>
      </w:r>
    </w:p>
    <w:p w14:paraId="3B91A20E"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密切关注肝功能</w:t>
      </w:r>
      <w:r w:rsidRPr="00136FBE">
        <w:rPr>
          <w:rFonts w:ascii="仿宋" w:eastAsia="仿宋" w:hAnsi="仿宋" w:cs="仿宋" w:hint="eastAsia"/>
          <w:w w:val="98"/>
          <w:sz w:val="32"/>
          <w:szCs w:val="32"/>
        </w:rPr>
        <w:t>。</w:t>
      </w:r>
    </w:p>
    <w:p w14:paraId="5D02C0B6"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治疗后若未能获得满意疗效，如果没有严重药物不良反应，剂量可增加到每天</w:t>
      </w:r>
      <w:r w:rsidRPr="00136FBE">
        <w:rPr>
          <w:rFonts w:ascii="仿宋" w:eastAsia="仿宋" w:hAnsi="仿宋" w:cs="仿宋"/>
          <w:sz w:val="32"/>
          <w:szCs w:val="32"/>
        </w:rPr>
        <w:t>0.6</w:t>
      </w:r>
      <w:r w:rsidRPr="00136FBE">
        <w:rPr>
          <w:rFonts w:ascii="仿宋" w:eastAsia="仿宋" w:hAnsi="仿宋" w:cs="仿宋" w:hint="eastAsia"/>
          <w:sz w:val="32"/>
          <w:szCs w:val="32"/>
        </w:rPr>
        <w:t>～</w:t>
      </w:r>
      <w:r w:rsidRPr="00136FBE">
        <w:rPr>
          <w:rFonts w:ascii="仿宋" w:eastAsia="仿宋" w:hAnsi="仿宋" w:cs="仿宋"/>
          <w:sz w:val="32"/>
          <w:szCs w:val="32"/>
        </w:rPr>
        <w:t>0.8g</w:t>
      </w:r>
      <w:r w:rsidRPr="00136FBE">
        <w:rPr>
          <w:rFonts w:ascii="仿宋" w:eastAsia="仿宋" w:hAnsi="仿宋" w:cs="仿宋" w:hint="eastAsia"/>
          <w:sz w:val="32"/>
          <w:szCs w:val="32"/>
        </w:rPr>
        <w:t>；若患者从本药持续获益，可持续接受本药治疗。</w:t>
      </w:r>
    </w:p>
    <w:p w14:paraId="4DA7E6D9" w14:textId="77777777" w:rsidR="00B23A40"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对于潜在可切除的胃肠间质瘤患者，伊马替尼新辅助治疗也可令患者获益。</w:t>
      </w:r>
    </w:p>
    <w:p w14:paraId="3D4FFFC7" w14:textId="77777777" w:rsidR="00B52418" w:rsidRPr="00B52418" w:rsidRDefault="00B52418" w:rsidP="00B5241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sidRPr="00B52418">
        <w:rPr>
          <w:rFonts w:ascii="仿宋" w:eastAsia="仿宋" w:hAnsi="仿宋" w:cs="仿宋" w:hint="eastAsia"/>
          <w:sz w:val="32"/>
          <w:szCs w:val="32"/>
        </w:rPr>
        <w:t>.本品是CYP3A4的底物，同时给予CYP3A4诱导剂后伊马替尼的血浆浓度降低，从而导致疗效减低，应避免伊马替尼与CYP3A4诱导剂同时服用。</w:t>
      </w:r>
    </w:p>
    <w:p w14:paraId="4114532E" w14:textId="77777777" w:rsidR="00B52418" w:rsidRPr="00136FBE" w:rsidRDefault="00B52418" w:rsidP="00B5241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sidRPr="00B52418">
        <w:rPr>
          <w:rFonts w:ascii="仿宋" w:eastAsia="仿宋" w:hAnsi="仿宋" w:cs="仿宋" w:hint="eastAsia"/>
          <w:sz w:val="32"/>
          <w:szCs w:val="32"/>
        </w:rPr>
        <w:t>.伊马替尼应在进餐时服用</w:t>
      </w:r>
      <w:r w:rsidR="008A6482">
        <w:rPr>
          <w:rFonts w:ascii="仿宋" w:eastAsia="仿宋" w:hAnsi="仿宋" w:cs="仿宋" w:hint="eastAsia"/>
          <w:sz w:val="32"/>
          <w:szCs w:val="32"/>
        </w:rPr>
        <w:t>，</w:t>
      </w:r>
      <w:r w:rsidRPr="00B52418">
        <w:rPr>
          <w:rFonts w:ascii="仿宋" w:eastAsia="仿宋" w:hAnsi="仿宋" w:cs="仿宋" w:hint="eastAsia"/>
          <w:sz w:val="32"/>
          <w:szCs w:val="32"/>
        </w:rPr>
        <w:t>并饮一大杯水。使用胶囊</w:t>
      </w:r>
      <w:r w:rsidRPr="00B52418">
        <w:rPr>
          <w:rFonts w:ascii="仿宋" w:eastAsia="仿宋" w:hAnsi="仿宋" w:cs="仿宋" w:hint="eastAsia"/>
          <w:sz w:val="32"/>
          <w:szCs w:val="32"/>
        </w:rPr>
        <w:lastRenderedPageBreak/>
        <w:t>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w:t>
      </w:r>
      <w:r>
        <w:rPr>
          <w:rFonts w:ascii="仿宋" w:eastAsia="仿宋" w:hAnsi="仿宋" w:cs="仿宋" w:hint="eastAsia"/>
          <w:sz w:val="32"/>
          <w:szCs w:val="32"/>
        </w:rPr>
        <w:t>液</w:t>
      </w:r>
      <w:r w:rsidRPr="00B52418">
        <w:rPr>
          <w:rFonts w:ascii="仿宋" w:eastAsia="仿宋" w:hAnsi="仿宋" w:cs="仿宋" w:hint="eastAsia"/>
          <w:sz w:val="32"/>
          <w:szCs w:val="32"/>
        </w:rPr>
        <w:t>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14:paraId="43C7D60A" w14:textId="77777777" w:rsidR="00B23A40" w:rsidRPr="00136FBE" w:rsidRDefault="004467A6">
      <w:pPr>
        <w:spacing w:line="360" w:lineRule="auto"/>
        <w:ind w:firstLineChars="200" w:firstLine="640"/>
        <w:rPr>
          <w:rFonts w:ascii="仿宋" w:eastAsia="仿宋" w:hAnsi="仿宋" w:cs="仿宋"/>
          <w:kern w:val="0"/>
          <w:sz w:val="32"/>
          <w:szCs w:val="32"/>
        </w:rPr>
      </w:pPr>
      <w:r w:rsidRPr="00136FBE">
        <w:rPr>
          <w:rFonts w:ascii="黑体" w:eastAsia="黑体" w:hAnsi="黑体" w:cs="黑体" w:hint="eastAsia"/>
          <w:sz w:val="32"/>
          <w:szCs w:val="32"/>
        </w:rPr>
        <w:t>十</w:t>
      </w:r>
      <w:r w:rsidR="00DD1A0D" w:rsidRPr="00136FBE">
        <w:rPr>
          <w:rFonts w:ascii="黑体" w:eastAsia="黑体" w:hAnsi="黑体" w:cs="黑体" w:hint="eastAsia"/>
          <w:sz w:val="32"/>
          <w:szCs w:val="32"/>
        </w:rPr>
        <w:t xml:space="preserve">、舒尼替尼 </w:t>
      </w:r>
      <w:r w:rsidR="00F111D5" w:rsidRPr="00136FBE">
        <w:rPr>
          <w:rFonts w:ascii="黑体" w:eastAsia="黑体" w:hAnsi="黑体" w:cs="黑体" w:hint="eastAsia"/>
          <w:sz w:val="32"/>
          <w:szCs w:val="32"/>
        </w:rPr>
        <w:t>S</w:t>
      </w:r>
      <w:r w:rsidR="00DD1A0D" w:rsidRPr="00136FBE">
        <w:rPr>
          <w:rFonts w:ascii="黑体" w:eastAsia="黑体" w:hAnsi="黑体" w:cs="黑体"/>
          <w:sz w:val="32"/>
          <w:szCs w:val="32"/>
        </w:rPr>
        <w:t>unitinib</w:t>
      </w:r>
    </w:p>
    <w:p w14:paraId="646B1EAA"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kern w:val="0"/>
          <w:sz w:val="32"/>
          <w:szCs w:val="32"/>
        </w:rPr>
        <w:t>制剂与规格：</w:t>
      </w:r>
      <w:r w:rsidRPr="00136FBE">
        <w:rPr>
          <w:rFonts w:ascii="仿宋" w:eastAsia="仿宋" w:hAnsi="仿宋" w:cs="仿宋" w:hint="eastAsia"/>
          <w:sz w:val="32"/>
          <w:szCs w:val="32"/>
        </w:rPr>
        <w:t>胶囊：</w:t>
      </w:r>
      <w:r w:rsidRPr="00136FBE">
        <w:rPr>
          <w:rFonts w:ascii="仿宋" w:eastAsia="仿宋" w:hAnsi="仿宋" w:cs="仿宋"/>
          <w:sz w:val="32"/>
          <w:szCs w:val="32"/>
        </w:rPr>
        <w:t>12.5mg</w:t>
      </w:r>
      <w:r w:rsidRPr="00136FBE">
        <w:rPr>
          <w:rFonts w:ascii="仿宋" w:eastAsia="仿宋" w:hAnsi="仿宋" w:cs="仿宋" w:hint="eastAsia"/>
          <w:sz w:val="32"/>
          <w:szCs w:val="32"/>
        </w:rPr>
        <w:t>、</w:t>
      </w:r>
      <w:r w:rsidRPr="00136FBE">
        <w:rPr>
          <w:rFonts w:ascii="仿宋" w:eastAsia="仿宋" w:hAnsi="仿宋" w:cs="仿宋"/>
          <w:sz w:val="32"/>
          <w:szCs w:val="32"/>
        </w:rPr>
        <w:t>25mg</w:t>
      </w:r>
      <w:r w:rsidRPr="00136FBE">
        <w:rPr>
          <w:rFonts w:ascii="仿宋" w:eastAsia="仿宋" w:hAnsi="仿宋" w:cs="仿宋" w:hint="eastAsia"/>
          <w:sz w:val="32"/>
          <w:szCs w:val="32"/>
        </w:rPr>
        <w:t>、</w:t>
      </w:r>
      <w:r w:rsidRPr="00136FBE">
        <w:rPr>
          <w:rFonts w:ascii="仿宋" w:eastAsia="仿宋" w:hAnsi="仿宋" w:cs="仿宋"/>
          <w:sz w:val="32"/>
          <w:szCs w:val="32"/>
        </w:rPr>
        <w:t>37.5mg</w:t>
      </w:r>
      <w:r w:rsidRPr="00136FBE">
        <w:rPr>
          <w:rFonts w:ascii="仿宋" w:eastAsia="仿宋" w:hAnsi="仿宋" w:cs="仿宋" w:hint="eastAsia"/>
          <w:sz w:val="32"/>
          <w:szCs w:val="32"/>
        </w:rPr>
        <w:t>、</w:t>
      </w:r>
      <w:r w:rsidRPr="00136FBE">
        <w:rPr>
          <w:rFonts w:ascii="仿宋" w:eastAsia="仿宋" w:hAnsi="仿宋" w:cs="仿宋"/>
          <w:sz w:val="32"/>
          <w:szCs w:val="32"/>
        </w:rPr>
        <w:t xml:space="preserve">50mg </w:t>
      </w:r>
    </w:p>
    <w:p w14:paraId="7C844236"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78ED056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伊马替尼治疗失败或不能耐受的胃肠间质瘤患者。</w:t>
      </w:r>
    </w:p>
    <w:p w14:paraId="37F44C8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不可切除的、转移性高分化进展期胰腺神经内分泌瘤成年患者。</w:t>
      </w:r>
    </w:p>
    <w:p w14:paraId="3227CADA"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3B9DECCE" w14:textId="77777777" w:rsidR="00B23A40" w:rsidRPr="00136FBE" w:rsidRDefault="00DD1A0D">
      <w:pPr>
        <w:spacing w:line="360" w:lineRule="auto"/>
        <w:ind w:firstLineChars="200" w:firstLine="640"/>
        <w:rPr>
          <w:rFonts w:ascii="仿宋" w:eastAsia="仿宋" w:hAnsi="仿宋" w:cs="Times New Roman"/>
          <w:b/>
          <w:bCs/>
          <w:sz w:val="32"/>
          <w:szCs w:val="32"/>
        </w:rPr>
      </w:pPr>
      <w:r w:rsidRPr="00136FBE">
        <w:rPr>
          <w:rFonts w:ascii="仿宋" w:eastAsia="仿宋" w:hAnsi="仿宋" w:cs="仿宋" w:hint="eastAsia"/>
          <w:bCs/>
          <w:sz w:val="32"/>
          <w:szCs w:val="32"/>
        </w:rPr>
        <w:t>1.</w:t>
      </w:r>
      <w:r w:rsidRPr="00136FBE">
        <w:rPr>
          <w:rFonts w:ascii="仿宋" w:eastAsia="仿宋" w:hAnsi="仿宋" w:cs="仿宋" w:hint="eastAsia"/>
          <w:sz w:val="32"/>
          <w:szCs w:val="32"/>
        </w:rPr>
        <w:t>每日推荐最高剂量</w:t>
      </w:r>
      <w:r w:rsidRPr="00136FBE">
        <w:rPr>
          <w:rFonts w:ascii="仿宋" w:eastAsia="仿宋" w:hAnsi="仿宋" w:cs="仿宋"/>
          <w:sz w:val="32"/>
          <w:szCs w:val="32"/>
        </w:rPr>
        <w:t>50mg</w:t>
      </w:r>
      <w:r w:rsidRPr="00136FBE">
        <w:rPr>
          <w:rFonts w:ascii="仿宋" w:eastAsia="仿宋" w:hAnsi="仿宋" w:cs="仿宋" w:hint="eastAsia"/>
          <w:sz w:val="32"/>
          <w:szCs w:val="32"/>
        </w:rPr>
        <w:t>，服药</w:t>
      </w:r>
      <w:r w:rsidRPr="00136FBE">
        <w:rPr>
          <w:rFonts w:ascii="仿宋" w:eastAsia="仿宋" w:hAnsi="仿宋" w:cs="仿宋"/>
          <w:sz w:val="32"/>
          <w:szCs w:val="32"/>
        </w:rPr>
        <w:t>4</w:t>
      </w:r>
      <w:r w:rsidRPr="00136FBE">
        <w:rPr>
          <w:rFonts w:ascii="仿宋" w:eastAsia="仿宋" w:hAnsi="仿宋" w:cs="仿宋" w:hint="eastAsia"/>
          <w:sz w:val="32"/>
          <w:szCs w:val="32"/>
        </w:rPr>
        <w:t>周、停药</w:t>
      </w:r>
      <w:r w:rsidRPr="00136FBE">
        <w:rPr>
          <w:rFonts w:ascii="仿宋" w:eastAsia="仿宋" w:hAnsi="仿宋" w:cs="仿宋"/>
          <w:sz w:val="32"/>
          <w:szCs w:val="32"/>
        </w:rPr>
        <w:t>2</w:t>
      </w:r>
      <w:r w:rsidRPr="00136FBE">
        <w:rPr>
          <w:rFonts w:ascii="仿宋" w:eastAsia="仿宋" w:hAnsi="仿宋" w:cs="仿宋" w:hint="eastAsia"/>
          <w:sz w:val="32"/>
          <w:szCs w:val="32"/>
        </w:rPr>
        <w:t>周，与进食无相关性；若必须与</w:t>
      </w:r>
      <w:r w:rsidRPr="00136FBE">
        <w:rPr>
          <w:rFonts w:ascii="仿宋" w:eastAsia="仿宋" w:hAnsi="仿宋" w:cs="仿宋"/>
          <w:sz w:val="32"/>
          <w:szCs w:val="32"/>
        </w:rPr>
        <w:t>CYP3A4</w:t>
      </w:r>
      <w:r w:rsidRPr="00136FBE">
        <w:rPr>
          <w:rFonts w:ascii="仿宋" w:eastAsia="仿宋" w:hAnsi="仿宋" w:cs="仿宋" w:hint="eastAsia"/>
          <w:sz w:val="32"/>
          <w:szCs w:val="32"/>
        </w:rPr>
        <w:t>抑制剂联合使用，剂量可减</w:t>
      </w:r>
      <w:r w:rsidRPr="00136FBE">
        <w:rPr>
          <w:rFonts w:ascii="仿宋" w:eastAsia="仿宋" w:hAnsi="仿宋" w:cs="仿宋" w:hint="eastAsia"/>
          <w:sz w:val="32"/>
          <w:szCs w:val="32"/>
        </w:rPr>
        <w:lastRenderedPageBreak/>
        <w:t>至</w:t>
      </w:r>
      <w:r w:rsidRPr="00136FBE">
        <w:rPr>
          <w:rFonts w:ascii="仿宋" w:eastAsia="仿宋" w:hAnsi="仿宋" w:cs="仿宋"/>
          <w:sz w:val="32"/>
          <w:szCs w:val="32"/>
        </w:rPr>
        <w:t>37.5mg</w:t>
      </w:r>
      <w:r w:rsidRPr="00136FBE">
        <w:rPr>
          <w:rFonts w:ascii="仿宋" w:eastAsia="仿宋" w:hAnsi="仿宋" w:cs="仿宋" w:hint="eastAsia"/>
          <w:sz w:val="32"/>
          <w:szCs w:val="32"/>
        </w:rPr>
        <w:t>；若必须与</w:t>
      </w:r>
      <w:r w:rsidRPr="00136FBE">
        <w:rPr>
          <w:rFonts w:ascii="仿宋" w:eastAsia="仿宋" w:hAnsi="仿宋" w:cs="仿宋"/>
          <w:sz w:val="32"/>
          <w:szCs w:val="32"/>
        </w:rPr>
        <w:t>CYP3A4</w:t>
      </w:r>
      <w:r w:rsidRPr="00136FBE">
        <w:rPr>
          <w:rFonts w:ascii="仿宋" w:eastAsia="仿宋" w:hAnsi="仿宋" w:cs="仿宋" w:hint="eastAsia"/>
          <w:sz w:val="32"/>
          <w:szCs w:val="32"/>
        </w:rPr>
        <w:t>诱导剂联合使用，最大剂量不超过</w:t>
      </w:r>
      <w:r w:rsidRPr="00136FBE">
        <w:rPr>
          <w:rFonts w:ascii="仿宋" w:eastAsia="仿宋" w:hAnsi="仿宋" w:cs="仿宋"/>
          <w:sz w:val="32"/>
          <w:szCs w:val="32"/>
        </w:rPr>
        <w:t>87.5mg</w:t>
      </w:r>
      <w:r w:rsidRPr="00136FBE">
        <w:rPr>
          <w:rFonts w:ascii="仿宋" w:eastAsia="仿宋" w:hAnsi="仿宋" w:cs="仿宋" w:hint="eastAsia"/>
          <w:sz w:val="32"/>
          <w:szCs w:val="32"/>
        </w:rPr>
        <w:t>。</w:t>
      </w:r>
    </w:p>
    <w:p w14:paraId="34926BFC"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用药期间必须注意常见的不良反应，例如：白细胞减少、腹泻、乏力、手足综合征；潜在严重的不良反应为肝毒性、左心室功能障碍、</w:t>
      </w:r>
      <w:r w:rsidRPr="00136FBE">
        <w:rPr>
          <w:rFonts w:ascii="仿宋" w:eastAsia="仿宋" w:hAnsi="仿宋" w:cs="仿宋"/>
          <w:sz w:val="32"/>
          <w:szCs w:val="32"/>
        </w:rPr>
        <w:t>QT</w:t>
      </w:r>
      <w:r w:rsidRPr="00136FBE">
        <w:rPr>
          <w:rFonts w:ascii="仿宋" w:eastAsia="仿宋" w:hAnsi="仿宋" w:cs="仿宋" w:hint="eastAsia"/>
          <w:sz w:val="32"/>
          <w:szCs w:val="32"/>
        </w:rPr>
        <w:t>间期延长、出血、高血压、甲状腺功能不全。</w:t>
      </w:r>
    </w:p>
    <w:p w14:paraId="7045718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若出现充血性心力衰竭的临床表现，建议停药；无充血性心力衰竭临床证据但射血分数＜</w:t>
      </w:r>
      <w:r w:rsidRPr="00136FBE">
        <w:rPr>
          <w:rFonts w:ascii="仿宋" w:eastAsia="仿宋" w:hAnsi="仿宋" w:cs="仿宋"/>
          <w:sz w:val="32"/>
          <w:szCs w:val="32"/>
        </w:rPr>
        <w:t>50%</w:t>
      </w:r>
      <w:r w:rsidRPr="00136FBE">
        <w:rPr>
          <w:rFonts w:ascii="仿宋" w:eastAsia="仿宋" w:hAnsi="仿宋" w:cs="仿宋" w:hint="eastAsia"/>
          <w:sz w:val="32"/>
          <w:szCs w:val="32"/>
        </w:rPr>
        <w:t>以及射血分数低于基线</w:t>
      </w:r>
      <w:r w:rsidRPr="00136FBE">
        <w:rPr>
          <w:rFonts w:ascii="仿宋" w:eastAsia="仿宋" w:hAnsi="仿宋" w:cs="仿宋"/>
          <w:sz w:val="32"/>
          <w:szCs w:val="32"/>
        </w:rPr>
        <w:t>20%</w:t>
      </w:r>
      <w:r w:rsidRPr="00136FBE">
        <w:rPr>
          <w:rFonts w:ascii="仿宋" w:eastAsia="仿宋" w:hAnsi="仿宋" w:cs="仿宋" w:hint="eastAsia"/>
          <w:sz w:val="32"/>
          <w:szCs w:val="32"/>
        </w:rPr>
        <w:t>的患者也应停药和</w:t>
      </w:r>
      <w:r w:rsidRPr="00136FBE">
        <w:rPr>
          <w:rFonts w:ascii="仿宋" w:eastAsia="仿宋" w:hAnsi="仿宋" w:cs="仿宋"/>
          <w:sz w:val="32"/>
          <w:szCs w:val="32"/>
        </w:rPr>
        <w:t>/</w:t>
      </w:r>
      <w:r w:rsidRPr="00136FBE">
        <w:rPr>
          <w:rFonts w:ascii="仿宋" w:eastAsia="仿宋" w:hAnsi="仿宋" w:cs="仿宋" w:hint="eastAsia"/>
          <w:sz w:val="32"/>
          <w:szCs w:val="32"/>
        </w:rPr>
        <w:t>或减量。</w:t>
      </w:r>
    </w:p>
    <w:p w14:paraId="3320E664"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可延长</w:t>
      </w:r>
      <w:r w:rsidRPr="00136FBE">
        <w:rPr>
          <w:rFonts w:ascii="仿宋" w:eastAsia="仿宋" w:hAnsi="仿宋" w:cs="仿宋"/>
          <w:sz w:val="32"/>
          <w:szCs w:val="32"/>
        </w:rPr>
        <w:t>QT</w:t>
      </w:r>
      <w:r w:rsidRPr="00136FBE">
        <w:rPr>
          <w:rFonts w:ascii="仿宋" w:eastAsia="仿宋" w:hAnsi="仿宋" w:cs="仿宋" w:hint="eastAsia"/>
          <w:sz w:val="32"/>
          <w:szCs w:val="32"/>
        </w:rPr>
        <w:t>间期，且呈剂量依赖性。应慎用于已知有</w:t>
      </w:r>
      <w:r w:rsidRPr="00136FBE">
        <w:rPr>
          <w:rFonts w:ascii="仿宋" w:eastAsia="仿宋" w:hAnsi="仿宋" w:cs="仿宋"/>
          <w:sz w:val="32"/>
          <w:szCs w:val="32"/>
        </w:rPr>
        <w:t>QT</w:t>
      </w:r>
      <w:r w:rsidRPr="00136FBE">
        <w:rPr>
          <w:rFonts w:ascii="仿宋" w:eastAsia="仿宋" w:hAnsi="仿宋" w:cs="仿宋" w:hint="eastAsia"/>
          <w:sz w:val="32"/>
          <w:szCs w:val="32"/>
        </w:rPr>
        <w:t>间期延长病史的患者、服用抗心律失常药物的患者或有相应基础心脏疾病、心动过缓和电解质紊乱的患者。</w:t>
      </w:r>
    </w:p>
    <w:p w14:paraId="10335389"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使用期间如果发生严重高血压，应暂停使用，直至高血压得到控制。</w:t>
      </w:r>
    </w:p>
    <w:p w14:paraId="1C187401"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6.本品具有肝毒性，可能导致肝脏衰竭或死亡。已在临床研究中观察到肝脏衰竭的发生（发生率</w:t>
      </w:r>
      <w:r w:rsidR="00A55859" w:rsidRPr="00136FBE">
        <w:rPr>
          <w:rFonts w:ascii="仿宋" w:eastAsia="仿宋" w:hAnsi="仿宋" w:cs="仿宋" w:hint="eastAsia"/>
          <w:sz w:val="32"/>
          <w:szCs w:val="32"/>
        </w:rPr>
        <w:t>＜</w:t>
      </w:r>
      <w:r w:rsidRPr="00136FBE">
        <w:rPr>
          <w:rFonts w:ascii="仿宋" w:eastAsia="仿宋" w:hAnsi="仿宋" w:cs="仿宋" w:hint="eastAsia"/>
          <w:sz w:val="32"/>
          <w:szCs w:val="32"/>
        </w:rPr>
        <w:t>1%）。在治疗开始前、每个治疗周期、以及临床需要时应监测肝功能（ALT，AST，胆红素）。当出现3级或4级药物相关的肝功能不良反应中断用药，若无法恢复应终止治疗。</w:t>
      </w:r>
    </w:p>
    <w:p w14:paraId="71271DE8" w14:textId="77777777" w:rsidR="00B23A40" w:rsidRPr="00136FBE" w:rsidRDefault="004467A6">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十一</w:t>
      </w:r>
      <w:r w:rsidR="00DD1A0D" w:rsidRPr="00136FBE">
        <w:rPr>
          <w:rFonts w:ascii="黑体" w:eastAsia="黑体" w:hAnsi="黑体" w:cs="黑体" w:hint="eastAsia"/>
          <w:sz w:val="32"/>
          <w:szCs w:val="32"/>
        </w:rPr>
        <w:t xml:space="preserve">、依维莫司 </w:t>
      </w:r>
      <w:proofErr w:type="spellStart"/>
      <w:r w:rsidR="00F111D5" w:rsidRPr="00136FBE">
        <w:rPr>
          <w:rFonts w:ascii="黑体" w:eastAsia="黑体" w:hAnsi="黑体" w:cs="黑体" w:hint="eastAsia"/>
          <w:sz w:val="32"/>
          <w:szCs w:val="32"/>
        </w:rPr>
        <w:t>E</w:t>
      </w:r>
      <w:r w:rsidR="00DD1A0D" w:rsidRPr="00136FBE">
        <w:rPr>
          <w:rFonts w:ascii="黑体" w:eastAsia="黑体" w:hAnsi="黑体" w:cs="黑体"/>
          <w:sz w:val="32"/>
          <w:szCs w:val="32"/>
        </w:rPr>
        <w:t>verolimus</w:t>
      </w:r>
      <w:proofErr w:type="spellEnd"/>
    </w:p>
    <w:p w14:paraId="04B33B6E"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2.5mg</w:t>
      </w:r>
      <w:r w:rsidRPr="00136FBE">
        <w:rPr>
          <w:rFonts w:ascii="仿宋" w:eastAsia="仿宋" w:hAnsi="仿宋" w:cs="仿宋" w:hint="eastAsia"/>
          <w:sz w:val="32"/>
          <w:szCs w:val="32"/>
        </w:rPr>
        <w:t>、</w:t>
      </w:r>
      <w:r w:rsidRPr="00136FBE">
        <w:rPr>
          <w:rFonts w:ascii="仿宋" w:eastAsia="仿宋" w:hAnsi="仿宋" w:cs="仿宋"/>
          <w:sz w:val="32"/>
          <w:szCs w:val="32"/>
        </w:rPr>
        <w:t>5mg</w:t>
      </w:r>
      <w:r w:rsidRPr="00136FBE">
        <w:rPr>
          <w:rFonts w:ascii="仿宋" w:eastAsia="仿宋" w:hAnsi="仿宋" w:cs="仿宋" w:hint="eastAsia"/>
          <w:sz w:val="32"/>
          <w:szCs w:val="32"/>
        </w:rPr>
        <w:t>、</w:t>
      </w:r>
      <w:r w:rsidRPr="00136FBE">
        <w:rPr>
          <w:rFonts w:ascii="仿宋" w:eastAsia="仿宋" w:hAnsi="仿宋" w:cs="仿宋"/>
          <w:sz w:val="32"/>
          <w:szCs w:val="32"/>
        </w:rPr>
        <w:t xml:space="preserve">10mg </w:t>
      </w:r>
    </w:p>
    <w:p w14:paraId="6AFB9F09"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不可切除的、局部晩期或转移性的、分化良好</w:t>
      </w:r>
      <w:r w:rsidRPr="00136FBE">
        <w:rPr>
          <w:rFonts w:ascii="仿宋" w:eastAsia="仿宋" w:hAnsi="仿宋" w:cs="仿宋" w:hint="eastAsia"/>
          <w:sz w:val="32"/>
          <w:szCs w:val="32"/>
        </w:rPr>
        <w:lastRenderedPageBreak/>
        <w:t>的（中度分化或高度分化）进展期胰腺神经内分泌瘤成人患者。无法手术切除的、局部晩期或转移性的、分化良好的、进展期非功能</w:t>
      </w:r>
      <w:r w:rsidR="00A55859" w:rsidRPr="00136FBE">
        <w:rPr>
          <w:rFonts w:ascii="仿宋" w:eastAsia="仿宋" w:hAnsi="仿宋" w:cs="仿宋" w:hint="eastAsia"/>
          <w:sz w:val="32"/>
          <w:szCs w:val="32"/>
        </w:rPr>
        <w:t>性</w:t>
      </w:r>
      <w:r w:rsidRPr="00136FBE">
        <w:rPr>
          <w:rFonts w:ascii="仿宋" w:eastAsia="仿宋" w:hAnsi="仿宋" w:cs="仿宋" w:hint="eastAsia"/>
          <w:sz w:val="32"/>
          <w:szCs w:val="32"/>
        </w:rPr>
        <w:t>胃肠道或肺源神经内分泌肿瘤（NET）成人患者。</w:t>
      </w:r>
    </w:p>
    <w:p w14:paraId="5210FF53"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711FF215"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1.用药期间必须注意常见的不良反应，包括口腔炎、皮疹、疲劳、腹泻、感染、恶心、食欲下降、贫血、味觉障碍、周围水肿、高血糖和头痛。</w:t>
      </w:r>
    </w:p>
    <w:p w14:paraId="71971526"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非感染性肺炎是雷帕霉素衍生物（包括本品）的类效应。对本品有效成分、其他雷帕霉素衍生物或本品中任何辅料过敏者禁用。使用依维莫司和其他雷帕霉素衍生物患者中观察到的过敏反应表现包括但不限于：呼吸困难、潮红、胸痛或血管性水肿（例如：伴或不伴呼吸功能不全的气道或舌肿胀）。</w:t>
      </w:r>
    </w:p>
    <w:p w14:paraId="4C134705"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3.同时使用血管紧张素转换酶抑制剂的患者，可能发生血管性水肿的风险升高。</w:t>
      </w:r>
    </w:p>
    <w:p w14:paraId="1A985A2B"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4.在本品治疗期间应避免接种活疫苗，例如流感、麻疹、腮腺炎、风疹、口服脊髓灰质炎、卡介苗、黄热病、水痘和TY21a伤寒疫苗等，避免与接种过活疫苗的人密切接触。</w:t>
      </w:r>
    </w:p>
    <w:p w14:paraId="61C7E4CF"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5.对所有患者都应逬行常规的依维莫司全血谷浓度监测。</w:t>
      </w:r>
      <w:r w:rsidR="00320017" w:rsidRPr="00136FBE">
        <w:rPr>
          <w:rFonts w:ascii="仿宋" w:eastAsia="仿宋" w:hAnsi="仿宋" w:cs="仿宋" w:hint="eastAsia"/>
          <w:sz w:val="32"/>
          <w:szCs w:val="32"/>
        </w:rPr>
        <w:t>≥65</w:t>
      </w:r>
      <w:r w:rsidRPr="00136FBE">
        <w:rPr>
          <w:rFonts w:ascii="仿宋" w:eastAsia="仿宋" w:hAnsi="仿宋" w:cs="仿宋" w:hint="eastAsia"/>
          <w:sz w:val="32"/>
          <w:szCs w:val="32"/>
        </w:rPr>
        <w:t>岁老</w:t>
      </w:r>
      <w:r w:rsidR="00A55859" w:rsidRPr="00136FBE">
        <w:rPr>
          <w:rFonts w:ascii="仿宋" w:eastAsia="仿宋" w:hAnsi="仿宋" w:cs="仿宋" w:hint="eastAsia"/>
          <w:sz w:val="32"/>
          <w:szCs w:val="32"/>
        </w:rPr>
        <w:t>年患者</w:t>
      </w:r>
      <w:r w:rsidRPr="00136FBE">
        <w:rPr>
          <w:rFonts w:ascii="仿宋" w:eastAsia="仿宋" w:hAnsi="仿宋" w:cs="仿宋" w:hint="eastAsia"/>
          <w:sz w:val="32"/>
          <w:szCs w:val="32"/>
        </w:rPr>
        <w:t>用药的死亡率及发生严重不良反应而终止治疗的发生率明显增高。因此，老年患者使用依维莫司，</w:t>
      </w:r>
      <w:r w:rsidRPr="00136FBE">
        <w:rPr>
          <w:rFonts w:ascii="仿宋" w:eastAsia="仿宋" w:hAnsi="仿宋" w:cs="仿宋" w:hint="eastAsia"/>
          <w:sz w:val="32"/>
          <w:szCs w:val="32"/>
        </w:rPr>
        <w:lastRenderedPageBreak/>
        <w:t>必须监测不良反应的发生，并且及时调整用药剂量。</w:t>
      </w:r>
    </w:p>
    <w:p w14:paraId="4CA1B416"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6.应避免合并使用强效CYP3A4或P-糖蛋白抑制剂、CYP3A4强效诱导剂。</w:t>
      </w:r>
    </w:p>
    <w:p w14:paraId="7286967E" w14:textId="77777777" w:rsidR="004467A6" w:rsidRPr="00136FBE" w:rsidRDefault="004467A6" w:rsidP="004467A6">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十二、西妥昔单抗</w:t>
      </w:r>
      <w:r w:rsidR="00F111D5" w:rsidRPr="00136FBE">
        <w:rPr>
          <w:rFonts w:ascii="黑体" w:eastAsia="黑体" w:hAnsi="黑体" w:cs="黑体" w:hint="eastAsia"/>
          <w:sz w:val="32"/>
          <w:szCs w:val="32"/>
        </w:rPr>
        <w:t>C</w:t>
      </w:r>
      <w:r w:rsidRPr="00136FBE">
        <w:rPr>
          <w:rFonts w:ascii="黑体" w:eastAsia="黑体" w:hAnsi="黑体" w:cs="黑体"/>
          <w:sz w:val="32"/>
          <w:szCs w:val="32"/>
        </w:rPr>
        <w:t>etuximab</w:t>
      </w:r>
    </w:p>
    <w:p w14:paraId="30484C32" w14:textId="77777777" w:rsidR="004467A6" w:rsidRPr="00136FBE" w:rsidRDefault="004467A6" w:rsidP="004467A6">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注射液：</w:t>
      </w:r>
      <w:r w:rsidRPr="00136FBE">
        <w:rPr>
          <w:rFonts w:ascii="仿宋" w:eastAsia="仿宋" w:hAnsi="仿宋" w:cs="仿宋"/>
          <w:sz w:val="32"/>
          <w:szCs w:val="32"/>
        </w:rPr>
        <w:t>100mg</w:t>
      </w:r>
      <w:r w:rsidRPr="00136FBE">
        <w:rPr>
          <w:rFonts w:ascii="仿宋" w:eastAsia="仿宋" w:hAnsi="仿宋" w:cs="仿宋" w:hint="eastAsia"/>
          <w:sz w:val="32"/>
          <w:szCs w:val="32"/>
        </w:rPr>
        <w:t>（</w:t>
      </w:r>
      <w:r w:rsidRPr="00136FBE">
        <w:rPr>
          <w:rFonts w:ascii="仿宋" w:eastAsia="仿宋" w:hAnsi="仿宋" w:cs="仿宋"/>
          <w:sz w:val="32"/>
          <w:szCs w:val="32"/>
        </w:rPr>
        <w:t>20ml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609FEDB5" w14:textId="77777777" w:rsidR="004467A6" w:rsidRPr="00136FBE" w:rsidRDefault="004467A6" w:rsidP="004467A6">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用于治疗RAS</w:t>
      </w:r>
      <w:r w:rsidR="001C0861" w:rsidRPr="001C0861">
        <w:rPr>
          <w:rFonts w:ascii="仿宋" w:eastAsia="仿宋" w:hAnsi="仿宋" w:cs="仿宋" w:hint="eastAsia"/>
          <w:sz w:val="32"/>
          <w:szCs w:val="32"/>
        </w:rPr>
        <w:t>、BRAF</w:t>
      </w:r>
      <w:r w:rsidRPr="00136FBE">
        <w:rPr>
          <w:rFonts w:ascii="仿宋" w:eastAsia="仿宋" w:hAnsi="仿宋" w:cs="仿宋" w:hint="eastAsia"/>
          <w:sz w:val="32"/>
          <w:szCs w:val="32"/>
        </w:rPr>
        <w:t>基因野生型的转移性结直肠癌：与FOLFOX或FOLFIRI方案联合用于一线治疗；与伊立替康联合用于经含伊立替康治疗失败后的患者。</w:t>
      </w:r>
    </w:p>
    <w:p w14:paraId="726F26E5" w14:textId="77777777" w:rsidR="004467A6" w:rsidRPr="00136FBE" w:rsidRDefault="004467A6" w:rsidP="004467A6">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D341FD8"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用药前必须使用经过验证的方法检测</w:t>
      </w:r>
      <w:r w:rsidRPr="00136FBE">
        <w:rPr>
          <w:rFonts w:ascii="仿宋" w:eastAsia="仿宋" w:hAnsi="仿宋" w:cs="仿宋"/>
          <w:sz w:val="32"/>
          <w:szCs w:val="32"/>
        </w:rPr>
        <w:t>RAS</w:t>
      </w:r>
      <w:r w:rsidRPr="00136FBE">
        <w:rPr>
          <w:rFonts w:ascii="仿宋" w:eastAsia="仿宋" w:hAnsi="仿宋" w:cs="仿宋" w:hint="eastAsia"/>
          <w:sz w:val="32"/>
          <w:szCs w:val="32"/>
        </w:rPr>
        <w:t>基因状态，</w:t>
      </w:r>
      <w:r w:rsidRPr="00136FBE">
        <w:rPr>
          <w:rFonts w:ascii="仿宋" w:eastAsia="仿宋" w:hAnsi="仿宋" w:cs="仿宋"/>
          <w:sz w:val="32"/>
          <w:szCs w:val="32"/>
        </w:rPr>
        <w:t>RAS</w:t>
      </w:r>
      <w:r w:rsidRPr="00136FBE">
        <w:rPr>
          <w:rFonts w:ascii="仿宋" w:eastAsia="仿宋" w:hAnsi="仿宋" w:cs="仿宋" w:hint="eastAsia"/>
          <w:sz w:val="32"/>
          <w:szCs w:val="32"/>
        </w:rPr>
        <w:t>基因野生型是接受西妥昔单抗治疗的先决条件，本品不用于治疗</w:t>
      </w:r>
      <w:r w:rsidRPr="00136FBE">
        <w:rPr>
          <w:rFonts w:ascii="仿宋" w:eastAsia="仿宋" w:hAnsi="仿宋" w:cs="仿宋"/>
          <w:sz w:val="32"/>
          <w:szCs w:val="32"/>
        </w:rPr>
        <w:t>RAS</w:t>
      </w:r>
      <w:r w:rsidRPr="00136FBE">
        <w:rPr>
          <w:rFonts w:ascii="仿宋" w:eastAsia="仿宋" w:hAnsi="仿宋" w:cs="仿宋" w:hint="eastAsia"/>
          <w:sz w:val="32"/>
          <w:szCs w:val="32"/>
        </w:rPr>
        <w:t>基因突变型或</w:t>
      </w:r>
      <w:r w:rsidRPr="00136FBE">
        <w:rPr>
          <w:rFonts w:ascii="仿宋" w:eastAsia="仿宋" w:hAnsi="仿宋" w:cs="仿宋"/>
          <w:sz w:val="32"/>
          <w:szCs w:val="32"/>
        </w:rPr>
        <w:t>RAS</w:t>
      </w:r>
      <w:r w:rsidRPr="00136FBE">
        <w:rPr>
          <w:rFonts w:ascii="仿宋" w:eastAsia="仿宋" w:hAnsi="仿宋" w:cs="仿宋" w:hint="eastAsia"/>
          <w:sz w:val="32"/>
          <w:szCs w:val="32"/>
        </w:rPr>
        <w:t>状态不明的患者。</w:t>
      </w:r>
    </w:p>
    <w:p w14:paraId="43B676AA"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转化性治疗：结直肠癌患者合并肝转移和</w:t>
      </w:r>
      <w:r w:rsidRPr="00136FBE">
        <w:rPr>
          <w:rFonts w:ascii="仿宋" w:eastAsia="仿宋" w:hAnsi="仿宋" w:cs="仿宋"/>
          <w:sz w:val="32"/>
          <w:szCs w:val="32"/>
        </w:rPr>
        <w:t>/</w:t>
      </w:r>
      <w:r w:rsidRPr="00136FBE">
        <w:rPr>
          <w:rFonts w:ascii="仿宋" w:eastAsia="仿宋" w:hAnsi="仿宋" w:cs="仿宋" w:hint="eastAsia"/>
          <w:sz w:val="32"/>
          <w:szCs w:val="32"/>
        </w:rPr>
        <w:t>或肺转移，潜在可切除，可选择西妥昔单抗联合化疗（</w:t>
      </w:r>
      <w:r w:rsidRPr="00136FBE">
        <w:rPr>
          <w:rFonts w:ascii="仿宋" w:eastAsia="仿宋" w:hAnsi="仿宋" w:cs="仿宋"/>
          <w:sz w:val="32"/>
          <w:szCs w:val="32"/>
        </w:rPr>
        <w:t>RAS</w:t>
      </w:r>
      <w:r w:rsidRPr="00136FBE">
        <w:rPr>
          <w:rFonts w:ascii="仿宋" w:eastAsia="仿宋" w:hAnsi="仿宋" w:cs="仿宋" w:hint="eastAsia"/>
          <w:sz w:val="32"/>
          <w:szCs w:val="32"/>
        </w:rPr>
        <w:t>野生型）。</w:t>
      </w:r>
    </w:p>
    <w:p w14:paraId="49F31F64" w14:textId="77777777" w:rsidR="004467A6" w:rsidRPr="00136FBE" w:rsidRDefault="004467A6" w:rsidP="004467A6">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姑息治疗：转移性结直肠癌患者（</w:t>
      </w:r>
      <w:r w:rsidRPr="00136FBE">
        <w:rPr>
          <w:rFonts w:ascii="仿宋" w:eastAsia="仿宋" w:hAnsi="仿宋" w:cs="仿宋"/>
          <w:sz w:val="32"/>
          <w:szCs w:val="32"/>
        </w:rPr>
        <w:t>RAS</w:t>
      </w:r>
      <w:r w:rsidRPr="00136FBE">
        <w:rPr>
          <w:rFonts w:ascii="仿宋" w:eastAsia="仿宋" w:hAnsi="仿宋" w:cs="仿宋" w:hint="eastAsia"/>
          <w:sz w:val="32"/>
          <w:szCs w:val="32"/>
        </w:rPr>
        <w:t>野生型）一、二线治疗，尤其是左半肠癌患者，可选择西妥昔单抗</w:t>
      </w:r>
      <w:r w:rsidRPr="00136FBE">
        <w:rPr>
          <w:rFonts w:ascii="仿宋" w:eastAsia="仿宋" w:hAnsi="仿宋" w:cs="仿宋"/>
          <w:sz w:val="32"/>
          <w:szCs w:val="32"/>
        </w:rPr>
        <w:t>+</w:t>
      </w:r>
      <w:r w:rsidRPr="00136FBE">
        <w:rPr>
          <w:rFonts w:ascii="仿宋" w:eastAsia="仿宋" w:hAnsi="仿宋" w:cs="仿宋" w:hint="eastAsia"/>
          <w:sz w:val="32"/>
          <w:szCs w:val="32"/>
        </w:rPr>
        <w:t>化疗。对一、二线治疗中没有使用西妥昔单抗的患者（</w:t>
      </w:r>
      <w:r w:rsidRPr="00136FBE">
        <w:rPr>
          <w:rFonts w:ascii="仿宋" w:eastAsia="仿宋" w:hAnsi="仿宋" w:cs="仿宋"/>
          <w:sz w:val="32"/>
          <w:szCs w:val="32"/>
        </w:rPr>
        <w:t>RAS</w:t>
      </w:r>
      <w:r w:rsidRPr="00136FBE">
        <w:rPr>
          <w:rFonts w:ascii="仿宋" w:eastAsia="仿宋" w:hAnsi="仿宋" w:cs="仿宋" w:hint="eastAsia"/>
          <w:sz w:val="32"/>
          <w:szCs w:val="32"/>
        </w:rPr>
        <w:t>野生型），可选择西妥昔单抗联合伊立替康化疗。</w:t>
      </w:r>
    </w:p>
    <w:p w14:paraId="0F080BAF" w14:textId="77777777" w:rsidR="004467A6" w:rsidRPr="00136FBE" w:rsidRDefault="004467A6" w:rsidP="004467A6">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如果初始使用西妥昔单抗治疗有效（CR/PR/SD），进展后接受不含西妥昔单抗的二线或后线治疗并再次发生进展时，如RAS基因仍为野生型，可考虑西妥昔单抗联合伊立替康进行再挑战治疗。</w:t>
      </w:r>
    </w:p>
    <w:p w14:paraId="42B4EF92"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lastRenderedPageBreak/>
        <w:t>5.</w:t>
      </w:r>
      <w:r w:rsidRPr="00136FBE">
        <w:rPr>
          <w:rFonts w:ascii="仿宋" w:eastAsia="仿宋" w:hAnsi="仿宋" w:cs="仿宋" w:hint="eastAsia"/>
          <w:sz w:val="32"/>
          <w:szCs w:val="32"/>
        </w:rPr>
        <w:t>本品常可引起不同程度的皮肤毒性反应，主要表现为痤疮样皮疹，此类患者用药期间应注意避光。</w:t>
      </w:r>
      <w:r w:rsidR="000319BF" w:rsidRPr="00136FBE">
        <w:rPr>
          <w:rFonts w:ascii="仿宋" w:eastAsia="仿宋" w:hAnsi="仿宋" w:cs="仿宋" w:hint="eastAsia"/>
          <w:sz w:val="32"/>
          <w:szCs w:val="32"/>
        </w:rPr>
        <w:t>轻中度</w:t>
      </w:r>
      <w:r w:rsidRPr="00136FBE">
        <w:rPr>
          <w:rFonts w:ascii="仿宋" w:eastAsia="仿宋" w:hAnsi="仿宋" w:cs="仿宋" w:hint="eastAsia"/>
          <w:sz w:val="32"/>
          <w:szCs w:val="32"/>
        </w:rPr>
        <w:t>皮肤毒性反应无需调整剂量，发生重度皮肤毒性反应者，应酌情减量。</w:t>
      </w:r>
    </w:p>
    <w:p w14:paraId="32579A51"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6.</w:t>
      </w:r>
      <w:r w:rsidRPr="00136FBE">
        <w:rPr>
          <w:rFonts w:ascii="仿宋" w:eastAsia="仿宋" w:hAnsi="仿宋" w:cs="仿宋" w:hint="eastAsia"/>
          <w:sz w:val="32"/>
          <w:szCs w:val="32"/>
        </w:rPr>
        <w:t>严重的输液反应发生率为</w:t>
      </w:r>
      <w:r w:rsidRPr="00136FBE">
        <w:rPr>
          <w:rFonts w:ascii="仿宋" w:eastAsia="仿宋" w:hAnsi="仿宋" w:cs="仿宋"/>
          <w:sz w:val="32"/>
          <w:szCs w:val="32"/>
        </w:rPr>
        <w:t>3%</w:t>
      </w:r>
      <w:r w:rsidRPr="00136FBE">
        <w:rPr>
          <w:rFonts w:ascii="仿宋" w:eastAsia="仿宋" w:hAnsi="仿宋" w:cs="仿宋" w:hint="eastAsia"/>
          <w:sz w:val="32"/>
          <w:szCs w:val="32"/>
        </w:rPr>
        <w:t>，致死率低于</w:t>
      </w:r>
      <w:r w:rsidRPr="00136FBE">
        <w:rPr>
          <w:rFonts w:ascii="仿宋" w:eastAsia="仿宋" w:hAnsi="仿宋" w:cs="仿宋"/>
          <w:sz w:val="32"/>
          <w:szCs w:val="32"/>
        </w:rPr>
        <w:t>0</w:t>
      </w:r>
      <w:r w:rsidRPr="00136FBE">
        <w:rPr>
          <w:rFonts w:ascii="仿宋" w:eastAsia="仿宋" w:hAnsi="仿宋" w:cs="仿宋" w:hint="eastAsia"/>
          <w:sz w:val="32"/>
          <w:szCs w:val="32"/>
        </w:rPr>
        <w:t>.</w:t>
      </w:r>
      <w:r w:rsidRPr="00136FBE">
        <w:rPr>
          <w:rFonts w:ascii="仿宋" w:eastAsia="仿宋" w:hAnsi="仿宋" w:cs="仿宋"/>
          <w:sz w:val="32"/>
          <w:szCs w:val="32"/>
        </w:rPr>
        <w:t>1%</w:t>
      </w:r>
      <w:r w:rsidRPr="00136FBE">
        <w:rPr>
          <w:rFonts w:ascii="仿宋" w:eastAsia="仿宋" w:hAnsi="仿宋" w:cs="仿宋" w:hint="eastAsia"/>
          <w:sz w:val="32"/>
          <w:szCs w:val="32"/>
        </w:rPr>
        <w:t>。其中</w:t>
      </w:r>
      <w:r w:rsidRPr="00136FBE">
        <w:rPr>
          <w:rFonts w:ascii="仿宋" w:eastAsia="仿宋" w:hAnsi="仿宋" w:cs="仿宋"/>
          <w:sz w:val="32"/>
          <w:szCs w:val="32"/>
        </w:rPr>
        <w:t>90%</w:t>
      </w:r>
      <w:r w:rsidRPr="00136FBE">
        <w:rPr>
          <w:rFonts w:ascii="仿宋" w:eastAsia="仿宋" w:hAnsi="仿宋" w:cs="仿宋" w:hint="eastAsia"/>
          <w:sz w:val="32"/>
          <w:szCs w:val="32"/>
        </w:rPr>
        <w:t>发生于第一次使用时，以突发性气道梗阻、荨麻疹和低血压为特征。首次滴注本品之前，患者必须接受抗组胺药物和糖皮质激素类药物的治疗，建议在随后每次使用本品之前都对患者进行这种治疗。</w:t>
      </w:r>
    </w:p>
    <w:p w14:paraId="65C7ECF1"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7.</w:t>
      </w:r>
      <w:r w:rsidRPr="00136FBE">
        <w:rPr>
          <w:rFonts w:ascii="仿宋" w:eastAsia="仿宋" w:hAnsi="仿宋" w:cs="仿宋" w:hint="eastAsia"/>
          <w:sz w:val="32"/>
          <w:szCs w:val="32"/>
        </w:rPr>
        <w:t>仅对肝肾功能正常的患者（血清肌酐≤正常值上限的</w:t>
      </w:r>
      <w:r w:rsidRPr="00136FBE">
        <w:rPr>
          <w:rFonts w:ascii="仿宋" w:eastAsia="仿宋" w:hAnsi="仿宋" w:cs="仿宋"/>
          <w:sz w:val="32"/>
          <w:szCs w:val="32"/>
        </w:rPr>
        <w:t>1.5</w:t>
      </w:r>
      <w:r w:rsidRPr="00136FBE">
        <w:rPr>
          <w:rFonts w:ascii="仿宋" w:eastAsia="仿宋" w:hAnsi="仿宋" w:cs="仿宋" w:hint="eastAsia"/>
          <w:sz w:val="32"/>
          <w:szCs w:val="32"/>
        </w:rPr>
        <w:t>倍，转氨酶≤正常值上限的</w:t>
      </w:r>
      <w:r w:rsidRPr="00136FBE">
        <w:rPr>
          <w:rFonts w:ascii="仿宋" w:eastAsia="仿宋" w:hAnsi="仿宋" w:cs="仿宋"/>
          <w:sz w:val="32"/>
          <w:szCs w:val="32"/>
        </w:rPr>
        <w:t>5</w:t>
      </w:r>
      <w:r w:rsidRPr="00136FBE">
        <w:rPr>
          <w:rFonts w:ascii="仿宋" w:eastAsia="仿宋" w:hAnsi="仿宋" w:cs="仿宋" w:hint="eastAsia"/>
          <w:sz w:val="32"/>
          <w:szCs w:val="32"/>
        </w:rPr>
        <w:t>倍，胆红素≤正常值上限的</w:t>
      </w:r>
      <w:r w:rsidRPr="00136FBE">
        <w:rPr>
          <w:rFonts w:ascii="仿宋" w:eastAsia="仿宋" w:hAnsi="仿宋" w:cs="仿宋"/>
          <w:sz w:val="32"/>
          <w:szCs w:val="32"/>
        </w:rPr>
        <w:t>1.5</w:t>
      </w:r>
      <w:r w:rsidRPr="00136FBE">
        <w:rPr>
          <w:rFonts w:ascii="仿宋" w:eastAsia="仿宋" w:hAnsi="仿宋" w:cs="仿宋" w:hint="eastAsia"/>
          <w:sz w:val="32"/>
          <w:szCs w:val="32"/>
        </w:rPr>
        <w:t>倍）进行过本品的相关研究。</w:t>
      </w:r>
    </w:p>
    <w:p w14:paraId="41D9B962" w14:textId="77777777" w:rsidR="004467A6" w:rsidRPr="00136FBE" w:rsidRDefault="004467A6" w:rsidP="004467A6">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8.</w:t>
      </w:r>
      <w:r w:rsidRPr="00136FBE">
        <w:rPr>
          <w:rFonts w:ascii="仿宋" w:eastAsia="仿宋" w:hAnsi="仿宋" w:cs="仿宋" w:hint="eastAsia"/>
          <w:sz w:val="32"/>
          <w:szCs w:val="32"/>
        </w:rPr>
        <w:t>本品应储存在</w:t>
      </w:r>
      <w:r w:rsidRPr="00136FBE">
        <w:rPr>
          <w:rFonts w:ascii="仿宋" w:eastAsia="仿宋" w:hAnsi="仿宋" w:cs="仿宋"/>
          <w:sz w:val="32"/>
          <w:szCs w:val="32"/>
        </w:rPr>
        <w:t>2</w:t>
      </w:r>
      <w:r w:rsidRPr="00136FBE">
        <w:rPr>
          <w:rFonts w:ascii="仿宋" w:eastAsia="仿宋" w:hAnsi="仿宋" w:cs="仿宋" w:hint="eastAsia"/>
          <w:sz w:val="32"/>
          <w:szCs w:val="32"/>
        </w:rPr>
        <w:t>～</w:t>
      </w:r>
      <w:r w:rsidRPr="00136FBE">
        <w:rPr>
          <w:rFonts w:ascii="仿宋" w:eastAsia="仿宋" w:hAnsi="仿宋" w:cs="仿宋"/>
          <w:sz w:val="32"/>
          <w:szCs w:val="32"/>
        </w:rPr>
        <w:t>8</w:t>
      </w:r>
      <w:r w:rsidRPr="00136FBE">
        <w:rPr>
          <w:rFonts w:ascii="仿宋" w:eastAsia="仿宋" w:hAnsi="仿宋" w:cs="仿宋" w:hint="eastAsia"/>
          <w:sz w:val="32"/>
          <w:szCs w:val="32"/>
        </w:rPr>
        <w:t>℃，禁止冷冻，开启后应立即使用。</w:t>
      </w:r>
    </w:p>
    <w:p w14:paraId="58A9CAA7" w14:textId="77777777" w:rsidR="004467A6" w:rsidRPr="00136FBE" w:rsidRDefault="004467A6" w:rsidP="004467A6">
      <w:pPr>
        <w:spacing w:line="360" w:lineRule="auto"/>
        <w:ind w:firstLineChars="200" w:firstLine="640"/>
        <w:rPr>
          <w:rFonts w:ascii="黑体" w:eastAsia="黑体" w:hAnsi="黑体"/>
          <w:color w:val="000000"/>
          <w:sz w:val="32"/>
          <w:szCs w:val="32"/>
        </w:rPr>
      </w:pPr>
      <w:r w:rsidRPr="00136FBE">
        <w:rPr>
          <w:rFonts w:ascii="黑体" w:eastAsia="黑体" w:hAnsi="黑体" w:cs="黑体" w:hint="eastAsia"/>
          <w:sz w:val="32"/>
          <w:szCs w:val="32"/>
        </w:rPr>
        <w:t xml:space="preserve">十三、贝伐珠单抗 </w:t>
      </w:r>
      <w:r w:rsidR="00F111D5" w:rsidRPr="00136FBE">
        <w:rPr>
          <w:rFonts w:ascii="黑体" w:eastAsia="黑体" w:hAnsi="黑体" w:cs="黑体" w:hint="eastAsia"/>
          <w:sz w:val="32"/>
          <w:szCs w:val="32"/>
        </w:rPr>
        <w:t>B</w:t>
      </w:r>
      <w:r w:rsidRPr="00136FBE">
        <w:rPr>
          <w:rFonts w:ascii="黑体" w:eastAsia="黑体" w:hAnsi="黑体" w:cs="黑体"/>
          <w:sz w:val="32"/>
          <w:szCs w:val="32"/>
        </w:rPr>
        <w:t>evacizumab</w:t>
      </w:r>
    </w:p>
    <w:p w14:paraId="04D051A5" w14:textId="77777777" w:rsidR="004467A6" w:rsidRPr="00136FBE" w:rsidRDefault="004467A6" w:rsidP="004467A6">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003F2357" w:rsidRPr="00136FBE">
        <w:rPr>
          <w:rFonts w:ascii="仿宋" w:eastAsia="仿宋" w:hAnsi="仿宋" w:cs="仿宋" w:hint="eastAsia"/>
          <w:sz w:val="32"/>
          <w:szCs w:val="32"/>
        </w:rPr>
        <w:t>注射液</w:t>
      </w:r>
      <w:r w:rsidRPr="00136FBE">
        <w:rPr>
          <w:rFonts w:ascii="仿宋" w:eastAsia="仿宋" w:hAnsi="仿宋" w:cs="仿宋" w:hint="eastAsia"/>
          <w:sz w:val="32"/>
          <w:szCs w:val="32"/>
        </w:rPr>
        <w:t>：</w:t>
      </w:r>
      <w:r w:rsidRPr="00136FBE">
        <w:rPr>
          <w:rFonts w:ascii="仿宋" w:eastAsia="仿宋" w:hAnsi="仿宋" w:cs="仿宋"/>
          <w:sz w:val="32"/>
          <w:szCs w:val="32"/>
        </w:rPr>
        <w:t>100mg</w:t>
      </w:r>
      <w:r w:rsidRPr="00136FBE">
        <w:rPr>
          <w:rFonts w:ascii="仿宋" w:eastAsia="仿宋" w:hAnsi="仿宋" w:cs="仿宋" w:hint="eastAsia"/>
          <w:sz w:val="32"/>
          <w:szCs w:val="32"/>
        </w:rPr>
        <w:t>（</w:t>
      </w:r>
      <w:r w:rsidRPr="00136FBE">
        <w:rPr>
          <w:rFonts w:ascii="仿宋" w:eastAsia="仿宋" w:hAnsi="仿宋" w:cs="仿宋"/>
          <w:sz w:val="32"/>
          <w:szCs w:val="32"/>
        </w:rPr>
        <w:t>4ml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46D8ECC6" w14:textId="77777777" w:rsidR="004467A6" w:rsidRPr="00136FBE" w:rsidRDefault="004467A6" w:rsidP="004467A6">
      <w:pPr>
        <w:spacing w:line="360" w:lineRule="auto"/>
        <w:ind w:firstLineChars="200" w:firstLine="643"/>
        <w:rPr>
          <w:rFonts w:ascii="仿宋" w:eastAsia="仿宋" w:hAnsi="仿宋"/>
          <w:b/>
          <w:bCs/>
          <w:sz w:val="32"/>
          <w:szCs w:val="32"/>
        </w:rPr>
      </w:pPr>
      <w:r w:rsidRPr="00136FBE">
        <w:rPr>
          <w:rFonts w:ascii="仿宋" w:eastAsia="仿宋" w:hAnsi="仿宋" w:cs="仿宋" w:hint="eastAsia"/>
          <w:b/>
          <w:bCs/>
          <w:sz w:val="32"/>
          <w:szCs w:val="32"/>
        </w:rPr>
        <w:t>适应证：</w:t>
      </w:r>
    </w:p>
    <w:p w14:paraId="0B004CDD" w14:textId="77777777" w:rsidR="004467A6" w:rsidRPr="00136FBE" w:rsidRDefault="004467A6" w:rsidP="004467A6">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1.转移性结直肠癌</w:t>
      </w:r>
      <w:r w:rsidRPr="00136FBE">
        <w:rPr>
          <w:rFonts w:ascii="仿宋" w:eastAsia="仿宋" w:hAnsi="仿宋" w:cs="仿宋" w:hint="eastAsia"/>
          <w:sz w:val="32"/>
          <w:szCs w:val="32"/>
        </w:rPr>
        <w:t>。</w:t>
      </w:r>
    </w:p>
    <w:p w14:paraId="2591611A" w14:textId="77777777" w:rsidR="004467A6" w:rsidRPr="00136FBE" w:rsidRDefault="004467A6" w:rsidP="004467A6">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2.</w:t>
      </w:r>
      <w:hyperlink r:id="rId9" w:tgtFrame="_blank" w:history="1">
        <w:r w:rsidRPr="00136FBE">
          <w:rPr>
            <w:rFonts w:ascii="仿宋" w:eastAsia="仿宋" w:hAnsi="仿宋" w:cs="仿宋"/>
            <w:sz w:val="32"/>
            <w:szCs w:val="32"/>
          </w:rPr>
          <w:t>贝伐珠单抗</w:t>
        </w:r>
      </w:hyperlink>
      <w:r w:rsidRPr="00136FBE">
        <w:rPr>
          <w:rFonts w:ascii="仿宋" w:eastAsia="仿宋" w:hAnsi="仿宋" w:cs="仿宋"/>
          <w:sz w:val="32"/>
          <w:szCs w:val="32"/>
        </w:rPr>
        <w:t>联合以氟</w:t>
      </w:r>
      <w:r w:rsidRPr="00136FBE">
        <w:rPr>
          <w:rFonts w:ascii="仿宋" w:eastAsia="仿宋" w:hAnsi="仿宋" w:cs="仿宋" w:hint="eastAsia"/>
          <w:sz w:val="32"/>
          <w:szCs w:val="32"/>
        </w:rPr>
        <w:t>尿</w:t>
      </w:r>
      <w:r w:rsidRPr="00136FBE">
        <w:rPr>
          <w:rFonts w:ascii="仿宋" w:eastAsia="仿宋" w:hAnsi="仿宋" w:cs="仿宋"/>
          <w:sz w:val="32"/>
          <w:szCs w:val="32"/>
        </w:rPr>
        <w:t>嘧啶为基础的化疗适用于转移性结直肠癌患者的治疗。</w:t>
      </w:r>
    </w:p>
    <w:p w14:paraId="5546D95E" w14:textId="77777777" w:rsidR="004467A6" w:rsidRPr="00136FBE" w:rsidRDefault="004467A6" w:rsidP="004467A6">
      <w:pPr>
        <w:spacing w:line="360" w:lineRule="auto"/>
        <w:ind w:firstLineChars="200" w:firstLine="643"/>
        <w:rPr>
          <w:rFonts w:ascii="仿宋" w:eastAsia="仿宋" w:hAnsi="仿宋"/>
          <w:b/>
          <w:bCs/>
          <w:sz w:val="32"/>
          <w:szCs w:val="32"/>
        </w:rPr>
      </w:pPr>
      <w:r w:rsidRPr="00136FBE">
        <w:rPr>
          <w:rFonts w:ascii="仿宋" w:eastAsia="仿宋" w:hAnsi="仿宋" w:cs="仿宋" w:hint="eastAsia"/>
          <w:b/>
          <w:bCs/>
          <w:sz w:val="32"/>
          <w:szCs w:val="32"/>
        </w:rPr>
        <w:t>合理用药要点：</w:t>
      </w:r>
    </w:p>
    <w:p w14:paraId="1A0DCA76" w14:textId="77777777" w:rsidR="004467A6" w:rsidRPr="00136FBE" w:rsidRDefault="004467A6" w:rsidP="004467A6">
      <w:pPr>
        <w:spacing w:line="360" w:lineRule="auto"/>
        <w:ind w:firstLineChars="200" w:firstLine="640"/>
        <w:rPr>
          <w:rFonts w:ascii="仿宋" w:eastAsia="仿宋" w:hAnsi="仿宋" w:cs="仿宋"/>
          <w:color w:val="000000"/>
          <w:sz w:val="32"/>
          <w:szCs w:val="32"/>
        </w:rPr>
      </w:pPr>
      <w:r w:rsidRPr="00136FBE">
        <w:rPr>
          <w:rFonts w:ascii="仿宋" w:eastAsia="仿宋" w:hAnsi="仿宋" w:cs="仿宋" w:hint="eastAsia"/>
          <w:color w:val="000000"/>
          <w:sz w:val="32"/>
          <w:szCs w:val="32"/>
        </w:rPr>
        <w:t>1.转移性结直肠癌患者的一、二线治疗，可选择贝伐珠单抗+化疗。</w:t>
      </w:r>
    </w:p>
    <w:p w14:paraId="1E1CC625" w14:textId="77777777" w:rsidR="004467A6" w:rsidRPr="00136FBE" w:rsidRDefault="004467A6" w:rsidP="004467A6">
      <w:pPr>
        <w:spacing w:line="360" w:lineRule="auto"/>
        <w:ind w:firstLineChars="200" w:firstLine="640"/>
        <w:rPr>
          <w:rFonts w:ascii="仿宋" w:eastAsia="仿宋" w:hAnsi="仿宋" w:cs="仿宋"/>
          <w:color w:val="000000"/>
          <w:sz w:val="32"/>
          <w:szCs w:val="32"/>
        </w:rPr>
      </w:pPr>
      <w:r w:rsidRPr="00136FBE">
        <w:rPr>
          <w:rFonts w:ascii="仿宋" w:eastAsia="仿宋" w:hAnsi="仿宋" w:cs="仿宋" w:hint="eastAsia"/>
          <w:color w:val="000000"/>
          <w:sz w:val="32"/>
          <w:szCs w:val="32"/>
        </w:rPr>
        <w:lastRenderedPageBreak/>
        <w:t>2.一线接受含贝伐珠单抗方案治疗疾病控制后，随后给予贝伐珠单抗+氟尿嘧啶类药物维持直至疾病进展。</w:t>
      </w:r>
    </w:p>
    <w:p w14:paraId="50EA3289" w14:textId="77777777" w:rsidR="004467A6" w:rsidRPr="00136FBE" w:rsidRDefault="004467A6" w:rsidP="004467A6">
      <w:pPr>
        <w:spacing w:line="360" w:lineRule="auto"/>
        <w:ind w:firstLineChars="200" w:firstLine="640"/>
        <w:rPr>
          <w:rFonts w:ascii="仿宋" w:eastAsia="仿宋" w:hAnsi="仿宋" w:cs="仿宋"/>
          <w:color w:val="000000"/>
          <w:sz w:val="32"/>
          <w:szCs w:val="32"/>
        </w:rPr>
      </w:pPr>
      <w:r w:rsidRPr="00136FBE">
        <w:rPr>
          <w:rFonts w:ascii="仿宋" w:eastAsia="仿宋" w:hAnsi="仿宋" w:cs="仿宋" w:hint="eastAsia"/>
          <w:color w:val="000000"/>
          <w:sz w:val="32"/>
          <w:szCs w:val="32"/>
        </w:rPr>
        <w:t>3.一线使用贝伐珠单抗治疗疾病进展的患者，二线转换化疗方案后可继续联用贝伐珠单抗治疗直至疾病再次进展。</w:t>
      </w:r>
    </w:p>
    <w:p w14:paraId="43A19B58" w14:textId="77777777" w:rsidR="004467A6" w:rsidRPr="00136FBE" w:rsidRDefault="004467A6" w:rsidP="004467A6">
      <w:pPr>
        <w:spacing w:line="360" w:lineRule="auto"/>
        <w:ind w:firstLineChars="200" w:firstLine="640"/>
        <w:rPr>
          <w:rFonts w:ascii="仿宋" w:eastAsia="仿宋" w:hAnsi="仿宋"/>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转移性结直肠癌</w:t>
      </w:r>
      <w:r w:rsidRPr="00136FBE">
        <w:rPr>
          <w:rFonts w:ascii="仿宋" w:eastAsia="仿宋" w:hAnsi="仿宋" w:cs="仿宋"/>
          <w:sz w:val="32"/>
          <w:szCs w:val="32"/>
        </w:rPr>
        <w:t>贝伐珠单抗静脉输注的推荐剂量为：联合化疗方案时，5mg/kg体重，每两周给药一次，或7.5mg/kg体重，每3周给药一次。</w:t>
      </w:r>
      <w:r w:rsidRPr="00136FBE">
        <w:rPr>
          <w:rFonts w:ascii="仿宋" w:eastAsia="仿宋" w:hAnsi="仿宋" w:cs="仿宋" w:hint="eastAsia"/>
          <w:sz w:val="32"/>
          <w:szCs w:val="32"/>
        </w:rPr>
        <w:t>不推荐降低贝伐珠单抗的使用剂量。</w:t>
      </w:r>
    </w:p>
    <w:p w14:paraId="29D15630"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color w:val="000000"/>
          <w:sz w:val="32"/>
          <w:szCs w:val="32"/>
        </w:rPr>
        <w:t>5.</w:t>
      </w:r>
      <w:r w:rsidRPr="00136FBE">
        <w:rPr>
          <w:rFonts w:ascii="仿宋" w:eastAsia="仿宋" w:hAnsi="仿宋" w:cs="仿宋" w:hint="eastAsia"/>
          <w:color w:val="000000"/>
          <w:sz w:val="32"/>
          <w:szCs w:val="32"/>
        </w:rPr>
        <w:t>贝伐珠单抗稀释后采用静脉输注的方式给药，首次静脉输注时间需持续</w:t>
      </w:r>
      <w:r w:rsidRPr="00136FBE">
        <w:rPr>
          <w:rFonts w:ascii="仿宋" w:eastAsia="仿宋" w:hAnsi="仿宋" w:cs="仿宋"/>
          <w:color w:val="000000"/>
          <w:sz w:val="32"/>
          <w:szCs w:val="32"/>
        </w:rPr>
        <w:t>90</w:t>
      </w:r>
      <w:r w:rsidRPr="00136FBE">
        <w:rPr>
          <w:rFonts w:ascii="仿宋" w:eastAsia="仿宋" w:hAnsi="仿宋" w:cs="仿宋" w:hint="eastAsia"/>
          <w:color w:val="000000"/>
          <w:sz w:val="32"/>
          <w:szCs w:val="32"/>
        </w:rPr>
        <w:t>分钟。如果第一次输注耐受性良好，则第二次输注的时间可以缩短到</w:t>
      </w:r>
      <w:r w:rsidRPr="00136FBE">
        <w:rPr>
          <w:rFonts w:ascii="仿宋" w:eastAsia="仿宋" w:hAnsi="仿宋" w:cs="仿宋"/>
          <w:color w:val="000000"/>
          <w:sz w:val="32"/>
          <w:szCs w:val="32"/>
        </w:rPr>
        <w:t>60</w:t>
      </w:r>
      <w:r w:rsidRPr="00136FBE">
        <w:rPr>
          <w:rFonts w:ascii="仿宋" w:eastAsia="仿宋" w:hAnsi="仿宋" w:cs="仿宋" w:hint="eastAsia"/>
          <w:color w:val="000000"/>
          <w:sz w:val="32"/>
          <w:szCs w:val="32"/>
        </w:rPr>
        <w:t>分钟。如果患者对</w:t>
      </w:r>
      <w:r w:rsidRPr="00136FBE">
        <w:rPr>
          <w:rFonts w:ascii="仿宋" w:eastAsia="仿宋" w:hAnsi="仿宋" w:cs="仿宋"/>
          <w:color w:val="000000"/>
          <w:sz w:val="32"/>
          <w:szCs w:val="32"/>
        </w:rPr>
        <w:t>60</w:t>
      </w:r>
      <w:r w:rsidRPr="00136FBE">
        <w:rPr>
          <w:rFonts w:ascii="仿宋" w:eastAsia="仿宋" w:hAnsi="仿宋" w:cs="仿宋" w:hint="eastAsia"/>
          <w:color w:val="000000"/>
          <w:sz w:val="32"/>
          <w:szCs w:val="32"/>
        </w:rPr>
        <w:t>分钟的输注也具有良好的耐受性，那么随后进行的所有输注都可以用</w:t>
      </w:r>
      <w:r w:rsidRPr="00136FBE">
        <w:rPr>
          <w:rFonts w:ascii="仿宋" w:eastAsia="仿宋" w:hAnsi="仿宋" w:cs="仿宋"/>
          <w:color w:val="000000"/>
          <w:sz w:val="32"/>
          <w:szCs w:val="32"/>
        </w:rPr>
        <w:t>30</w:t>
      </w:r>
      <w:r w:rsidRPr="00136FBE">
        <w:rPr>
          <w:rFonts w:ascii="仿宋" w:eastAsia="仿宋" w:hAnsi="仿宋" w:cs="仿宋" w:hint="eastAsia"/>
          <w:color w:val="000000"/>
          <w:sz w:val="32"/>
          <w:szCs w:val="32"/>
        </w:rPr>
        <w:t>分钟的时间完成。贝伐珠单抗不能采用静脉内推注或快速注射。</w:t>
      </w:r>
    </w:p>
    <w:p w14:paraId="5EE43365"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color w:val="000000"/>
          <w:sz w:val="32"/>
          <w:szCs w:val="32"/>
        </w:rPr>
        <w:t>6.</w:t>
      </w:r>
      <w:r w:rsidRPr="00136FBE">
        <w:rPr>
          <w:rFonts w:ascii="仿宋" w:eastAsia="仿宋" w:hAnsi="仿宋" w:cs="仿宋" w:hint="eastAsia"/>
          <w:color w:val="000000"/>
          <w:sz w:val="32"/>
          <w:szCs w:val="32"/>
        </w:rPr>
        <w:t>在</w:t>
      </w:r>
      <w:r w:rsidR="00011814" w:rsidRPr="00136FBE">
        <w:rPr>
          <w:rFonts w:ascii="仿宋" w:eastAsia="仿宋" w:hAnsi="仿宋" w:cs="仿宋" w:hint="eastAsia"/>
          <w:color w:val="000000"/>
          <w:sz w:val="32"/>
          <w:szCs w:val="32"/>
        </w:rPr>
        <w:t>老年患者</w:t>
      </w:r>
      <w:r w:rsidRPr="00136FBE">
        <w:rPr>
          <w:rFonts w:ascii="仿宋" w:eastAsia="仿宋" w:hAnsi="仿宋" w:cs="仿宋" w:hint="eastAsia"/>
          <w:color w:val="000000"/>
          <w:sz w:val="32"/>
          <w:szCs w:val="32"/>
        </w:rPr>
        <w:t>中应用时不需要进行剂量调整。</w:t>
      </w:r>
    </w:p>
    <w:p w14:paraId="7394A03A"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color w:val="000000"/>
          <w:sz w:val="32"/>
          <w:szCs w:val="32"/>
        </w:rPr>
        <w:t>7.</w:t>
      </w:r>
      <w:r w:rsidRPr="00136FBE">
        <w:rPr>
          <w:rFonts w:ascii="仿宋" w:eastAsia="仿宋" w:hAnsi="仿宋" w:cs="仿宋" w:hint="eastAsia"/>
          <w:color w:val="000000"/>
          <w:sz w:val="32"/>
          <w:szCs w:val="32"/>
        </w:rPr>
        <w:t>出现以下情况，停止使用贝伐珠单抗：胃肠道严重不良反应（胃肠道穿孔、胃肠道瘘形成、腹腔脓肿），涉及到内脏瘘形成；严重出血（例如需要干预治疗）；严重动脉血栓事件；高血压危象或高血压脑病；可逆性后部白质脑病综合征；肾病综合征；危及生命（4级）的静脉血栓栓塞事件。</w:t>
      </w:r>
    </w:p>
    <w:p w14:paraId="27D3B88C"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color w:val="000000"/>
          <w:sz w:val="32"/>
          <w:szCs w:val="32"/>
        </w:rPr>
        <w:t>8.</w:t>
      </w:r>
      <w:r w:rsidRPr="00136FBE">
        <w:rPr>
          <w:rFonts w:ascii="仿宋" w:eastAsia="仿宋" w:hAnsi="仿宋" w:cs="仿宋" w:hint="eastAsia"/>
          <w:color w:val="000000"/>
          <w:sz w:val="32"/>
          <w:szCs w:val="32"/>
        </w:rPr>
        <w:t>如果出现以下状况，需暂停使用贝伐珠单抗：择期手术前4周；药物控制不良的严重高血压；中度到重度的蛋白尿需要进一步评估；严重输液反应；需要干预治疗的伤口裂</w:t>
      </w:r>
      <w:r w:rsidRPr="00136FBE">
        <w:rPr>
          <w:rFonts w:ascii="仿宋" w:eastAsia="仿宋" w:hAnsi="仿宋" w:cs="仿宋" w:hint="eastAsia"/>
          <w:color w:val="000000"/>
          <w:sz w:val="32"/>
          <w:szCs w:val="32"/>
        </w:rPr>
        <w:lastRenderedPageBreak/>
        <w:t>开以及伤口愈合并发症（暂停用药至伤口完全愈合）。</w:t>
      </w:r>
    </w:p>
    <w:p w14:paraId="005BA6DC"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color w:val="000000"/>
          <w:sz w:val="32"/>
          <w:szCs w:val="32"/>
        </w:rPr>
        <w:t>9.</w:t>
      </w:r>
      <w:r w:rsidRPr="00136FBE">
        <w:rPr>
          <w:rFonts w:ascii="仿宋" w:eastAsia="仿宋" w:hAnsi="仿宋" w:cs="仿宋" w:hint="eastAsia"/>
          <w:color w:val="000000"/>
          <w:sz w:val="32"/>
          <w:szCs w:val="32"/>
        </w:rPr>
        <w:t>不能将贝伐珠单抗输注液与右旋糖或葡萄糖溶液同时或混合给药。</w:t>
      </w:r>
    </w:p>
    <w:p w14:paraId="571CEAC9" w14:textId="77777777" w:rsidR="004467A6" w:rsidRPr="00136FBE" w:rsidRDefault="004467A6" w:rsidP="004467A6">
      <w:pPr>
        <w:spacing w:line="360" w:lineRule="auto"/>
        <w:ind w:firstLineChars="200" w:firstLine="640"/>
        <w:rPr>
          <w:rFonts w:ascii="仿宋" w:eastAsia="仿宋" w:hAnsi="仿宋" w:cs="仿宋"/>
          <w:color w:val="000000"/>
          <w:sz w:val="32"/>
          <w:szCs w:val="32"/>
        </w:rPr>
      </w:pPr>
      <w:r w:rsidRPr="00136FBE">
        <w:rPr>
          <w:rFonts w:ascii="仿宋" w:eastAsia="仿宋" w:hAnsi="仿宋" w:cs="仿宋"/>
          <w:color w:val="000000"/>
          <w:sz w:val="32"/>
          <w:szCs w:val="32"/>
        </w:rPr>
        <w:t>1</w:t>
      </w:r>
      <w:r w:rsidRPr="00136FBE">
        <w:rPr>
          <w:rFonts w:ascii="仿宋" w:eastAsia="仿宋" w:hAnsi="仿宋" w:cs="仿宋" w:hint="eastAsia"/>
          <w:color w:val="000000"/>
          <w:sz w:val="32"/>
          <w:szCs w:val="32"/>
        </w:rPr>
        <w:t>0</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贝伐珠单抗配制，用</w:t>
      </w:r>
      <w:r w:rsidRPr="00136FBE">
        <w:rPr>
          <w:rFonts w:ascii="仿宋" w:eastAsia="仿宋" w:hAnsi="仿宋" w:cs="仿宋"/>
          <w:color w:val="000000"/>
          <w:sz w:val="32"/>
          <w:szCs w:val="32"/>
        </w:rPr>
        <w:t>0.9%</w:t>
      </w:r>
      <w:r w:rsidRPr="00136FBE">
        <w:rPr>
          <w:rFonts w:ascii="仿宋" w:eastAsia="仿宋" w:hAnsi="仿宋" w:cs="仿宋" w:hint="eastAsia"/>
          <w:color w:val="000000"/>
          <w:sz w:val="32"/>
          <w:szCs w:val="32"/>
        </w:rPr>
        <w:t>的氯化钠溶液稀释到需要的给药容积。贝伐珠单抗溶液的终浓度应该保持在</w:t>
      </w:r>
      <w:r w:rsidRPr="00136FBE">
        <w:rPr>
          <w:rFonts w:ascii="仿宋" w:eastAsia="仿宋" w:hAnsi="仿宋" w:cs="仿宋"/>
          <w:color w:val="000000"/>
          <w:sz w:val="32"/>
          <w:szCs w:val="32"/>
        </w:rPr>
        <w:t>1.4</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16.5mg/ml</w:t>
      </w:r>
      <w:r w:rsidRPr="00136FBE">
        <w:rPr>
          <w:rFonts w:ascii="仿宋" w:eastAsia="仿宋" w:hAnsi="仿宋" w:cs="仿宋" w:hint="eastAsia"/>
          <w:color w:val="000000"/>
          <w:sz w:val="32"/>
          <w:szCs w:val="32"/>
        </w:rPr>
        <w:t>之间。</w:t>
      </w:r>
    </w:p>
    <w:p w14:paraId="0B6808F3" w14:textId="77777777" w:rsidR="004467A6" w:rsidRPr="00136FBE" w:rsidRDefault="004467A6" w:rsidP="004467A6">
      <w:pPr>
        <w:spacing w:line="360" w:lineRule="auto"/>
        <w:ind w:firstLineChars="200" w:firstLine="640"/>
        <w:rPr>
          <w:rFonts w:ascii="仿宋" w:eastAsia="仿宋" w:hAnsi="仿宋"/>
          <w:color w:val="000000"/>
          <w:sz w:val="32"/>
          <w:szCs w:val="32"/>
        </w:rPr>
      </w:pPr>
      <w:r w:rsidRPr="00136FBE">
        <w:rPr>
          <w:rFonts w:ascii="仿宋" w:eastAsia="仿宋" w:hAnsi="仿宋" w:cs="仿宋"/>
          <w:color w:val="000000"/>
          <w:sz w:val="32"/>
          <w:szCs w:val="32"/>
        </w:rPr>
        <w:t>1</w:t>
      </w:r>
      <w:r w:rsidRPr="00136FBE">
        <w:rPr>
          <w:rFonts w:ascii="仿宋" w:eastAsia="仿宋" w:hAnsi="仿宋" w:cs="仿宋" w:hint="eastAsia"/>
          <w:color w:val="000000"/>
          <w:sz w:val="32"/>
          <w:szCs w:val="32"/>
        </w:rPr>
        <w:t>1</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贝伐珠单抗禁止冷冻储存，禁止摇动。应避光，</w:t>
      </w:r>
      <w:r w:rsidRPr="00136FBE">
        <w:rPr>
          <w:rFonts w:ascii="仿宋" w:eastAsia="仿宋" w:hAnsi="仿宋" w:cs="仿宋"/>
          <w:color w:val="000000"/>
          <w:sz w:val="32"/>
          <w:szCs w:val="32"/>
        </w:rPr>
        <w:t>2</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8</w:t>
      </w:r>
      <w:r w:rsidRPr="00136FBE">
        <w:rPr>
          <w:rFonts w:ascii="仿宋" w:eastAsia="仿宋" w:hAnsi="仿宋" w:cs="仿宋" w:hint="eastAsia"/>
          <w:color w:val="000000"/>
          <w:sz w:val="32"/>
          <w:szCs w:val="32"/>
        </w:rPr>
        <w:t>℃在原包装中储存和运输。</w:t>
      </w:r>
    </w:p>
    <w:p w14:paraId="312C11AB" w14:textId="77777777" w:rsidR="004467A6" w:rsidRPr="00136FBE" w:rsidRDefault="004467A6" w:rsidP="004467A6">
      <w:pPr>
        <w:spacing w:line="360" w:lineRule="auto"/>
        <w:ind w:firstLineChars="200" w:firstLine="640"/>
        <w:rPr>
          <w:rFonts w:ascii="仿宋" w:eastAsia="仿宋" w:hAnsi="仿宋" w:cs="仿宋"/>
          <w:color w:val="000000"/>
          <w:sz w:val="32"/>
          <w:szCs w:val="32"/>
        </w:rPr>
      </w:pPr>
      <w:r w:rsidRPr="00136FBE">
        <w:rPr>
          <w:rFonts w:ascii="仿宋" w:eastAsia="仿宋" w:hAnsi="仿宋" w:cs="仿宋"/>
          <w:color w:val="000000"/>
          <w:sz w:val="32"/>
          <w:szCs w:val="32"/>
        </w:rPr>
        <w:t>1</w:t>
      </w:r>
      <w:r w:rsidRPr="00136FBE">
        <w:rPr>
          <w:rFonts w:ascii="仿宋" w:eastAsia="仿宋" w:hAnsi="仿宋" w:cs="仿宋" w:hint="eastAsia"/>
          <w:color w:val="000000"/>
          <w:sz w:val="32"/>
          <w:szCs w:val="32"/>
        </w:rPr>
        <w:t>2</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在</w:t>
      </w:r>
      <w:r w:rsidRPr="00136FBE">
        <w:rPr>
          <w:rFonts w:ascii="仿宋" w:eastAsia="仿宋" w:hAnsi="仿宋" w:cs="仿宋"/>
          <w:color w:val="000000"/>
          <w:sz w:val="32"/>
          <w:szCs w:val="32"/>
        </w:rPr>
        <w:t>2</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30</w:t>
      </w:r>
      <w:r w:rsidRPr="00136FBE">
        <w:rPr>
          <w:rFonts w:ascii="仿宋" w:eastAsia="仿宋" w:hAnsi="仿宋" w:cs="仿宋" w:hint="eastAsia"/>
          <w:color w:val="000000"/>
          <w:sz w:val="32"/>
          <w:szCs w:val="32"/>
        </w:rPr>
        <w:t>℃条件下，</w:t>
      </w:r>
      <w:r w:rsidRPr="00136FBE">
        <w:rPr>
          <w:rFonts w:ascii="仿宋" w:eastAsia="仿宋" w:hAnsi="仿宋" w:cs="仿宋"/>
          <w:color w:val="000000"/>
          <w:sz w:val="32"/>
          <w:szCs w:val="32"/>
        </w:rPr>
        <w:t>0.9%</w:t>
      </w:r>
      <w:r w:rsidRPr="00136FBE">
        <w:rPr>
          <w:rFonts w:ascii="仿宋" w:eastAsia="仿宋" w:hAnsi="仿宋" w:cs="仿宋" w:hint="eastAsia"/>
          <w:color w:val="000000"/>
          <w:sz w:val="32"/>
          <w:szCs w:val="32"/>
        </w:rPr>
        <w:t>的氯化钠溶液中，贝伐珠单抗在使用过程中的化学和物理稳定性可以保持</w:t>
      </w:r>
      <w:r w:rsidRPr="00136FBE">
        <w:rPr>
          <w:rFonts w:ascii="仿宋" w:eastAsia="仿宋" w:hAnsi="仿宋" w:cs="仿宋"/>
          <w:color w:val="000000"/>
          <w:sz w:val="32"/>
          <w:szCs w:val="32"/>
        </w:rPr>
        <w:t>48</w:t>
      </w:r>
      <w:r w:rsidRPr="00136FBE">
        <w:rPr>
          <w:rFonts w:ascii="仿宋" w:eastAsia="仿宋" w:hAnsi="仿宋" w:cs="仿宋" w:hint="eastAsia"/>
          <w:color w:val="000000"/>
          <w:sz w:val="32"/>
          <w:szCs w:val="32"/>
        </w:rPr>
        <w:t>个小时。产品在无菌条件下配制后在</w:t>
      </w:r>
      <w:r w:rsidRPr="00136FBE">
        <w:rPr>
          <w:rFonts w:ascii="仿宋" w:eastAsia="仿宋" w:hAnsi="仿宋" w:cs="仿宋"/>
          <w:color w:val="000000"/>
          <w:sz w:val="32"/>
          <w:szCs w:val="32"/>
        </w:rPr>
        <w:t>2</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8</w:t>
      </w:r>
      <w:r w:rsidRPr="00136FBE">
        <w:rPr>
          <w:rFonts w:ascii="仿宋" w:eastAsia="仿宋" w:hAnsi="仿宋" w:cs="仿宋" w:hint="eastAsia"/>
          <w:color w:val="000000"/>
          <w:sz w:val="32"/>
          <w:szCs w:val="32"/>
        </w:rPr>
        <w:t>℃条件下的储存时间不宜超过</w:t>
      </w:r>
      <w:r w:rsidRPr="00136FBE">
        <w:rPr>
          <w:rFonts w:ascii="仿宋" w:eastAsia="仿宋" w:hAnsi="仿宋" w:cs="仿宋"/>
          <w:color w:val="000000"/>
          <w:sz w:val="32"/>
          <w:szCs w:val="32"/>
        </w:rPr>
        <w:t>24</w:t>
      </w:r>
      <w:r w:rsidRPr="00136FBE">
        <w:rPr>
          <w:rFonts w:ascii="仿宋" w:eastAsia="仿宋" w:hAnsi="仿宋" w:cs="仿宋" w:hint="eastAsia"/>
          <w:color w:val="000000"/>
          <w:sz w:val="32"/>
          <w:szCs w:val="32"/>
        </w:rPr>
        <w:t>小时。</w:t>
      </w:r>
    </w:p>
    <w:p w14:paraId="02AE9A3A" w14:textId="77777777" w:rsidR="00B23A40" w:rsidRPr="00136FBE" w:rsidRDefault="00DD1A0D">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w:t>
      </w:r>
      <w:r w:rsidR="004467A6" w:rsidRPr="00136FBE">
        <w:rPr>
          <w:rFonts w:ascii="黑体" w:eastAsia="黑体" w:hAnsi="黑体" w:hint="eastAsia"/>
          <w:color w:val="000000"/>
          <w:sz w:val="32"/>
          <w:szCs w:val="32"/>
        </w:rPr>
        <w:t>四</w:t>
      </w:r>
      <w:r w:rsidRPr="00136FBE">
        <w:rPr>
          <w:rFonts w:ascii="黑体" w:eastAsia="黑体" w:hAnsi="黑体" w:hint="eastAsia"/>
          <w:color w:val="000000"/>
          <w:sz w:val="32"/>
          <w:szCs w:val="32"/>
        </w:rPr>
        <w:t xml:space="preserve">、呋喹替尼 </w:t>
      </w:r>
      <w:proofErr w:type="spellStart"/>
      <w:r w:rsidR="00F111D5" w:rsidRPr="00136FBE">
        <w:rPr>
          <w:rFonts w:ascii="黑体" w:eastAsia="黑体" w:hAnsi="黑体" w:hint="eastAsia"/>
          <w:color w:val="000000"/>
          <w:sz w:val="32"/>
          <w:szCs w:val="32"/>
        </w:rPr>
        <w:t>F</w:t>
      </w:r>
      <w:r w:rsidRPr="00136FBE">
        <w:rPr>
          <w:rFonts w:ascii="黑体" w:eastAsia="黑体" w:hAnsi="黑体"/>
          <w:color w:val="000000"/>
          <w:sz w:val="32"/>
          <w:szCs w:val="32"/>
        </w:rPr>
        <w:t>ruquintinib</w:t>
      </w:r>
      <w:proofErr w:type="spellEnd"/>
    </w:p>
    <w:p w14:paraId="7F5F5305"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硬胶囊剂：1mg、5mg</w:t>
      </w:r>
    </w:p>
    <w:p w14:paraId="0700F09E"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：本品单药适用于既往接受过氟尿嘧啶类、奥沙利铂和伊立替康为基础的化疗，以及既往接受过或不适合接受VEGF治疗、EGFR治疗（RAS野生型）的转移性结直肠癌（mCRC）患者。</w:t>
      </w:r>
    </w:p>
    <w:p w14:paraId="4A1B82F0"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1C7B0B1B"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1.用药前无需进行基因检测。</w:t>
      </w:r>
    </w:p>
    <w:p w14:paraId="3765BD16"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2.推荐剂量为每次5mg，</w:t>
      </w:r>
      <w:r w:rsidR="00EE767B" w:rsidRPr="00136FBE">
        <w:rPr>
          <w:rFonts w:ascii="仿宋" w:eastAsia="仿宋" w:hAnsi="仿宋" w:hint="eastAsia"/>
          <w:color w:val="000000"/>
          <w:sz w:val="32"/>
          <w:szCs w:val="32"/>
        </w:rPr>
        <w:t>每日一次</w:t>
      </w:r>
      <w:r w:rsidRPr="00136FBE">
        <w:rPr>
          <w:rFonts w:ascii="仿宋" w:eastAsia="仿宋" w:hAnsi="仿宋" w:hint="eastAsia"/>
          <w:color w:val="000000"/>
          <w:sz w:val="32"/>
          <w:szCs w:val="32"/>
        </w:rPr>
        <w:t>；连续服药3周，随后停药1周（每4周为一个治疗周期）。持续按治疗周期服</w:t>
      </w:r>
      <w:r w:rsidRPr="00136FBE">
        <w:rPr>
          <w:rFonts w:ascii="仿宋" w:eastAsia="仿宋" w:hAnsi="仿宋" w:hint="eastAsia"/>
          <w:color w:val="000000"/>
          <w:sz w:val="32"/>
          <w:szCs w:val="32"/>
        </w:rPr>
        <w:lastRenderedPageBreak/>
        <w:t>药，直至疾病进展或出现不可耐受的毒性。呋喹替尼可与食物同服或空腹口服，需整粒吞服。建议每日同一时段服药，如果服药后患者呕吐，无需补服；漏服剂量，不应在次日加服，应按常规服用下一次处方剂量。</w:t>
      </w:r>
    </w:p>
    <w:p w14:paraId="5513CA42"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中国人群常见的不良反应（发生率≥20%）为高血压、蛋白尿、手足皮肤反应、发声困难、出血、转氨酶升高、甲状腺功能检查异常、腹痛/腹部不适、口腔黏膜炎、疲乏/乏力、腹泻、感染、血胆红素升高以及食欲下降。目前尚未有药物性肝功能损伤的报告。</w:t>
      </w:r>
    </w:p>
    <w:p w14:paraId="73433AF0"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4.严重活动性出血、活动性消化性溃疡、未愈合的胃肠穿孔、消化道瘘患者禁用。重度</w:t>
      </w:r>
      <w:r w:rsidR="001E62D0" w:rsidRPr="00136FBE">
        <w:rPr>
          <w:rFonts w:ascii="仿宋" w:eastAsia="仿宋" w:hAnsi="仿宋" w:hint="eastAsia"/>
          <w:color w:val="000000"/>
          <w:sz w:val="32"/>
          <w:szCs w:val="32"/>
        </w:rPr>
        <w:t>肝肾功能损伤</w:t>
      </w:r>
      <w:r w:rsidRPr="00136FBE">
        <w:rPr>
          <w:rFonts w:ascii="仿宋" w:eastAsia="仿宋" w:hAnsi="仿宋" w:hint="eastAsia"/>
          <w:color w:val="000000"/>
          <w:sz w:val="32"/>
          <w:szCs w:val="32"/>
        </w:rPr>
        <w:t>患者禁用。妊娠、哺乳期妇女禁用。</w:t>
      </w:r>
    </w:p>
    <w:p w14:paraId="7538F7C7"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5.对本品任何成分过敏者禁用。</w:t>
      </w:r>
    </w:p>
    <w:p w14:paraId="25869165"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6.目前尚无本品药物相互作用的临床资料。</w:t>
      </w:r>
    </w:p>
    <w:p w14:paraId="36848C29" w14:textId="77777777" w:rsidR="00B23A40" w:rsidRPr="00136FBE" w:rsidRDefault="00B23A40">
      <w:pPr>
        <w:widowControl/>
        <w:spacing w:line="360" w:lineRule="auto"/>
        <w:jc w:val="center"/>
        <w:rPr>
          <w:rFonts w:ascii="仿宋" w:eastAsia="仿宋" w:hAnsi="仿宋" w:cs="Times New Roman"/>
          <w:b/>
          <w:bCs/>
          <w:sz w:val="32"/>
          <w:szCs w:val="32"/>
        </w:rPr>
      </w:pPr>
    </w:p>
    <w:p w14:paraId="1601CAC7" w14:textId="77777777" w:rsidR="00B23A40" w:rsidRPr="00136FBE" w:rsidRDefault="00DD1A0D">
      <w:pPr>
        <w:widowControl/>
        <w:spacing w:line="360" w:lineRule="auto"/>
        <w:jc w:val="center"/>
        <w:rPr>
          <w:rFonts w:ascii="宋体" w:cs="Times New Roman"/>
          <w:b/>
          <w:bCs/>
          <w:sz w:val="44"/>
          <w:szCs w:val="44"/>
        </w:rPr>
      </w:pPr>
      <w:r w:rsidRPr="00136FBE">
        <w:rPr>
          <w:rFonts w:ascii="宋体" w:hAnsi="宋体" w:cs="宋体" w:hint="eastAsia"/>
          <w:b/>
          <w:bCs/>
          <w:sz w:val="44"/>
          <w:szCs w:val="44"/>
        </w:rPr>
        <w:t>血液肿瘤用药</w:t>
      </w:r>
    </w:p>
    <w:p w14:paraId="5DCCEB83" w14:textId="77777777" w:rsidR="00B23A40" w:rsidRPr="00136FBE" w:rsidRDefault="00B23A40">
      <w:pPr>
        <w:widowControl/>
        <w:spacing w:line="360" w:lineRule="auto"/>
        <w:jc w:val="center"/>
        <w:rPr>
          <w:rFonts w:ascii="仿宋" w:eastAsia="仿宋" w:hAnsi="仿宋" w:cs="Times New Roman"/>
          <w:b/>
          <w:bCs/>
          <w:sz w:val="32"/>
          <w:szCs w:val="32"/>
        </w:rPr>
      </w:pPr>
    </w:p>
    <w:p w14:paraId="1973FBC6"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 xml:space="preserve">一、伊马替尼 </w:t>
      </w:r>
      <w:r w:rsidR="00F111D5" w:rsidRPr="00136FBE">
        <w:rPr>
          <w:rFonts w:ascii="黑体" w:eastAsia="黑体" w:hAnsi="黑体" w:cs="黑体" w:hint="eastAsia"/>
          <w:sz w:val="32"/>
          <w:szCs w:val="32"/>
        </w:rPr>
        <w:t>I</w:t>
      </w:r>
      <w:r w:rsidRPr="00136FBE">
        <w:rPr>
          <w:rFonts w:ascii="黑体" w:eastAsia="黑体" w:hAnsi="黑体" w:cs="黑体"/>
          <w:sz w:val="32"/>
          <w:szCs w:val="32"/>
        </w:rPr>
        <w:t>matinib</w:t>
      </w:r>
    </w:p>
    <w:p w14:paraId="118EA616"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w:t>
      </w:r>
      <w:r w:rsidRPr="00136FBE">
        <w:rPr>
          <w:rFonts w:ascii="仿宋" w:eastAsia="仿宋" w:hAnsi="仿宋" w:cs="仿宋"/>
          <w:sz w:val="32"/>
          <w:szCs w:val="32"/>
        </w:rPr>
        <w:t>1</w:t>
      </w:r>
      <w:r w:rsidRPr="00136FBE">
        <w:rPr>
          <w:rFonts w:ascii="仿宋" w:eastAsia="仿宋" w:hAnsi="仿宋" w:cs="仿宋" w:hint="eastAsia"/>
          <w:sz w:val="32"/>
          <w:szCs w:val="32"/>
        </w:rPr>
        <w:t>）片剂：</w:t>
      </w:r>
      <w:r w:rsidRPr="00136FBE">
        <w:rPr>
          <w:rFonts w:ascii="仿宋" w:eastAsia="仿宋" w:hAnsi="仿宋" w:cs="仿宋"/>
          <w:sz w:val="32"/>
          <w:szCs w:val="32"/>
        </w:rPr>
        <w:t>100mg</w:t>
      </w:r>
      <w:r w:rsidRPr="00136FBE">
        <w:rPr>
          <w:rFonts w:ascii="仿宋" w:eastAsia="仿宋" w:hAnsi="仿宋" w:cs="仿宋" w:hint="eastAsia"/>
          <w:sz w:val="32"/>
          <w:szCs w:val="32"/>
        </w:rPr>
        <w:t>、</w:t>
      </w:r>
      <w:r w:rsidRPr="00136FBE">
        <w:rPr>
          <w:rFonts w:ascii="仿宋" w:eastAsia="仿宋" w:hAnsi="仿宋" w:cs="仿宋"/>
          <w:sz w:val="32"/>
          <w:szCs w:val="32"/>
        </w:rPr>
        <w:t>400mg</w:t>
      </w:r>
      <w:r w:rsidRPr="00136FBE">
        <w:rPr>
          <w:rFonts w:ascii="仿宋" w:eastAsia="仿宋" w:hAnsi="仿宋" w:cs="仿宋" w:hint="eastAsia"/>
          <w:sz w:val="32"/>
          <w:szCs w:val="32"/>
        </w:rPr>
        <w:t>；（</w:t>
      </w:r>
      <w:r w:rsidRPr="00136FBE">
        <w:rPr>
          <w:rFonts w:ascii="仿宋" w:eastAsia="仿宋" w:hAnsi="仿宋" w:cs="仿宋"/>
          <w:sz w:val="32"/>
          <w:szCs w:val="32"/>
        </w:rPr>
        <w:t>2</w:t>
      </w:r>
      <w:r w:rsidRPr="00136FBE">
        <w:rPr>
          <w:rFonts w:ascii="仿宋" w:eastAsia="仿宋" w:hAnsi="仿宋" w:cs="仿宋" w:hint="eastAsia"/>
          <w:sz w:val="32"/>
          <w:szCs w:val="32"/>
        </w:rPr>
        <w:t>）胶囊：</w:t>
      </w:r>
      <w:r w:rsidRPr="00136FBE">
        <w:rPr>
          <w:rFonts w:ascii="仿宋" w:eastAsia="仿宋" w:hAnsi="仿宋" w:cs="仿宋"/>
          <w:sz w:val="32"/>
          <w:szCs w:val="32"/>
        </w:rPr>
        <w:t>50mg</w:t>
      </w:r>
      <w:r w:rsidRPr="00136FBE">
        <w:rPr>
          <w:rFonts w:ascii="仿宋" w:eastAsia="仿宋" w:hAnsi="仿宋" w:cs="仿宋" w:hint="eastAsia"/>
          <w:sz w:val="32"/>
          <w:szCs w:val="32"/>
        </w:rPr>
        <w:t>、</w:t>
      </w:r>
      <w:r w:rsidRPr="00136FBE">
        <w:rPr>
          <w:rFonts w:ascii="仿宋" w:eastAsia="仿宋" w:hAnsi="仿宋" w:cs="仿宋"/>
          <w:sz w:val="32"/>
          <w:szCs w:val="32"/>
        </w:rPr>
        <w:t>100mg</w:t>
      </w:r>
    </w:p>
    <w:p w14:paraId="28865496"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用于治疗费城染色体阳性的慢性髓性白血病（</w:t>
      </w:r>
      <w:proofErr w:type="spellStart"/>
      <w:r w:rsidRPr="00136FBE">
        <w:rPr>
          <w:rFonts w:ascii="仿宋" w:eastAsia="仿宋" w:hAnsi="仿宋" w:cs="仿宋"/>
          <w:sz w:val="32"/>
          <w:szCs w:val="32"/>
        </w:rPr>
        <w:t>Ph+CML</w:t>
      </w:r>
      <w:proofErr w:type="spellEnd"/>
      <w:r w:rsidRPr="00136FBE">
        <w:rPr>
          <w:rFonts w:ascii="仿宋" w:eastAsia="仿宋" w:hAnsi="仿宋" w:cs="仿宋" w:hint="eastAsia"/>
          <w:sz w:val="32"/>
          <w:szCs w:val="32"/>
        </w:rPr>
        <w:t>）的慢性期、加速期或急变期；联合化疗治疗新诊</w:t>
      </w:r>
      <w:r w:rsidRPr="00136FBE">
        <w:rPr>
          <w:rFonts w:ascii="仿宋" w:eastAsia="仿宋" w:hAnsi="仿宋" w:cs="仿宋" w:hint="eastAsia"/>
          <w:sz w:val="32"/>
          <w:szCs w:val="32"/>
        </w:rPr>
        <w:lastRenderedPageBreak/>
        <w:t>断的费城染色体阳性的急性淋巴细胞白血病（</w:t>
      </w:r>
      <w:proofErr w:type="spellStart"/>
      <w:r w:rsidRPr="00136FBE">
        <w:rPr>
          <w:rFonts w:ascii="仿宋" w:eastAsia="仿宋" w:hAnsi="仿宋" w:cs="仿宋"/>
          <w:sz w:val="32"/>
          <w:szCs w:val="32"/>
        </w:rPr>
        <w:t>Ph+ALL</w:t>
      </w:r>
      <w:proofErr w:type="spellEnd"/>
      <w:r w:rsidRPr="00136FBE">
        <w:rPr>
          <w:rFonts w:ascii="仿宋" w:eastAsia="仿宋" w:hAnsi="仿宋" w:cs="仿宋" w:hint="eastAsia"/>
          <w:sz w:val="32"/>
          <w:szCs w:val="32"/>
        </w:rPr>
        <w:t>）的儿童患者；用于治疗复发的或难治的费城染色体阳性的急性淋巴细胞白血病（</w:t>
      </w:r>
      <w:proofErr w:type="spellStart"/>
      <w:r w:rsidRPr="00136FBE">
        <w:rPr>
          <w:rFonts w:ascii="仿宋" w:eastAsia="仿宋" w:hAnsi="仿宋" w:cs="仿宋"/>
          <w:sz w:val="32"/>
          <w:szCs w:val="32"/>
        </w:rPr>
        <w:t>Ph+ALL</w:t>
      </w:r>
      <w:proofErr w:type="spellEnd"/>
      <w:r w:rsidRPr="00136FBE">
        <w:rPr>
          <w:rFonts w:ascii="仿宋" w:eastAsia="仿宋" w:hAnsi="仿宋" w:cs="仿宋" w:hint="eastAsia"/>
          <w:sz w:val="32"/>
          <w:szCs w:val="32"/>
        </w:rPr>
        <w:t>）的成人患者；用于治疗嗜酸粒细胞增多综合征（</w:t>
      </w:r>
      <w:r w:rsidRPr="00136FBE">
        <w:rPr>
          <w:rFonts w:ascii="仿宋" w:eastAsia="仿宋" w:hAnsi="仿宋" w:cs="仿宋"/>
          <w:sz w:val="32"/>
          <w:szCs w:val="32"/>
        </w:rPr>
        <w:t>HES</w:t>
      </w:r>
      <w:r w:rsidRPr="00136FBE">
        <w:rPr>
          <w:rFonts w:ascii="仿宋" w:eastAsia="仿宋" w:hAnsi="仿宋" w:cs="仿宋" w:hint="eastAsia"/>
          <w:sz w:val="32"/>
          <w:szCs w:val="32"/>
        </w:rPr>
        <w:t>）和</w:t>
      </w:r>
      <w:r w:rsidRPr="00136FBE">
        <w:rPr>
          <w:rFonts w:ascii="仿宋" w:eastAsia="仿宋" w:hAnsi="仿宋" w:cs="仿宋"/>
          <w:sz w:val="32"/>
          <w:szCs w:val="32"/>
        </w:rPr>
        <w:t>/</w:t>
      </w:r>
      <w:r w:rsidRPr="00136FBE">
        <w:rPr>
          <w:rFonts w:ascii="仿宋" w:eastAsia="仿宋" w:hAnsi="仿宋" w:cs="仿宋" w:hint="eastAsia"/>
          <w:sz w:val="32"/>
          <w:szCs w:val="32"/>
        </w:rPr>
        <w:t>或慢性嗜酸粒细胞白血病（</w:t>
      </w:r>
      <w:r w:rsidRPr="00136FBE">
        <w:rPr>
          <w:rFonts w:ascii="仿宋" w:eastAsia="仿宋" w:hAnsi="仿宋" w:cs="仿宋"/>
          <w:sz w:val="32"/>
          <w:szCs w:val="32"/>
        </w:rPr>
        <w:t>CEL</w:t>
      </w:r>
      <w:r w:rsidRPr="00136FBE">
        <w:rPr>
          <w:rFonts w:ascii="仿宋" w:eastAsia="仿宋" w:hAnsi="仿宋" w:cs="仿宋" w:hint="eastAsia"/>
          <w:sz w:val="32"/>
          <w:szCs w:val="32"/>
        </w:rPr>
        <w:t>）伴有</w:t>
      </w:r>
      <w:r w:rsidRPr="00136FBE">
        <w:rPr>
          <w:rFonts w:ascii="仿宋" w:eastAsia="仿宋" w:hAnsi="仿宋" w:cs="仿宋"/>
          <w:sz w:val="32"/>
          <w:szCs w:val="32"/>
        </w:rPr>
        <w:t>FIP1L1-PDGFR</w:t>
      </w:r>
      <w:r w:rsidRPr="00136FBE">
        <w:rPr>
          <w:rFonts w:ascii="仿宋" w:eastAsia="仿宋" w:hAnsi="仿宋" w:cs="仿宋" w:hint="eastAsia"/>
          <w:sz w:val="32"/>
          <w:szCs w:val="32"/>
        </w:rPr>
        <w:t>α融合基因的成年患者；用于治疗骨髓增生异常综合征</w:t>
      </w:r>
      <w:r w:rsidRPr="00136FBE">
        <w:rPr>
          <w:rFonts w:ascii="仿宋" w:eastAsia="仿宋" w:hAnsi="仿宋" w:cs="仿宋"/>
          <w:sz w:val="32"/>
          <w:szCs w:val="32"/>
        </w:rPr>
        <w:t>/</w:t>
      </w:r>
      <w:r w:rsidRPr="00136FBE">
        <w:rPr>
          <w:rFonts w:ascii="仿宋" w:eastAsia="仿宋" w:hAnsi="仿宋" w:cs="仿宋" w:hint="eastAsia"/>
          <w:sz w:val="32"/>
          <w:szCs w:val="32"/>
        </w:rPr>
        <w:t>骨髓增殖性疾病（</w:t>
      </w:r>
      <w:r w:rsidRPr="00136FBE">
        <w:rPr>
          <w:rFonts w:ascii="仿宋" w:eastAsia="仿宋" w:hAnsi="仿宋" w:cs="仿宋"/>
          <w:sz w:val="32"/>
          <w:szCs w:val="32"/>
        </w:rPr>
        <w:t>MDS/MPD</w:t>
      </w:r>
      <w:r w:rsidRPr="00136FBE">
        <w:rPr>
          <w:rFonts w:ascii="仿宋" w:eastAsia="仿宋" w:hAnsi="仿宋" w:cs="仿宋" w:hint="eastAsia"/>
          <w:sz w:val="32"/>
          <w:szCs w:val="32"/>
        </w:rPr>
        <w:t>）伴有血小板衍生生长因子受体（</w:t>
      </w:r>
      <w:r w:rsidRPr="00136FBE">
        <w:rPr>
          <w:rFonts w:ascii="仿宋" w:eastAsia="仿宋" w:hAnsi="仿宋" w:cs="仿宋"/>
          <w:sz w:val="32"/>
          <w:szCs w:val="32"/>
        </w:rPr>
        <w:t>PDGFR</w:t>
      </w:r>
      <w:r w:rsidRPr="00136FBE">
        <w:rPr>
          <w:rFonts w:ascii="仿宋" w:eastAsia="仿宋" w:hAnsi="仿宋" w:cs="仿宋" w:hint="eastAsia"/>
          <w:sz w:val="32"/>
          <w:szCs w:val="32"/>
        </w:rPr>
        <w:t>）基因重排的成年患者。</w:t>
      </w:r>
    </w:p>
    <w:p w14:paraId="4467D9FB"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5F2243B4"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用药前必须明确诊断费城染色体阳性或</w:t>
      </w:r>
      <w:r w:rsidRPr="00136FBE">
        <w:rPr>
          <w:rFonts w:ascii="仿宋" w:eastAsia="仿宋" w:hAnsi="仿宋" w:cs="仿宋"/>
          <w:sz w:val="32"/>
          <w:szCs w:val="32"/>
        </w:rPr>
        <w:t>BCR-ABL</w:t>
      </w:r>
      <w:r w:rsidRPr="00136FBE">
        <w:rPr>
          <w:rFonts w:ascii="仿宋" w:eastAsia="仿宋" w:hAnsi="仿宋" w:cs="仿宋" w:hint="eastAsia"/>
          <w:sz w:val="32"/>
          <w:szCs w:val="32"/>
        </w:rPr>
        <w:t>阳性的慢性髓性白血病或急性淋巴细胞白血病，或伴有</w:t>
      </w:r>
      <w:r w:rsidRPr="00136FBE">
        <w:rPr>
          <w:rFonts w:ascii="仿宋" w:eastAsia="仿宋" w:hAnsi="仿宋" w:cs="仿宋"/>
          <w:sz w:val="32"/>
          <w:szCs w:val="32"/>
        </w:rPr>
        <w:t>PDGFR</w:t>
      </w:r>
      <w:r w:rsidRPr="00136FBE">
        <w:rPr>
          <w:rFonts w:ascii="仿宋" w:eastAsia="仿宋" w:hAnsi="仿宋" w:cs="仿宋" w:hint="eastAsia"/>
          <w:sz w:val="32"/>
          <w:szCs w:val="32"/>
        </w:rPr>
        <w:t>基因重排的髓系增殖性肿瘤。</w:t>
      </w:r>
    </w:p>
    <w:p w14:paraId="408C423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应当按照相关疾病指南，治疗前做基线评估，治疗期间定期监测血液学、细胞遗传学和分子生物学反应。</w:t>
      </w:r>
    </w:p>
    <w:p w14:paraId="5FD4C1B8"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根据不同疾病种类和分期，选择初始治疗剂量，治疗中根据疗效和不良反应调整剂量。</w:t>
      </w:r>
    </w:p>
    <w:p w14:paraId="0018A13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常见不良事件（＞</w:t>
      </w:r>
      <w:r w:rsidRPr="00136FBE">
        <w:rPr>
          <w:rFonts w:ascii="仿宋" w:eastAsia="仿宋" w:hAnsi="仿宋" w:cs="仿宋"/>
          <w:sz w:val="32"/>
          <w:szCs w:val="32"/>
        </w:rPr>
        <w:t>10%</w:t>
      </w:r>
      <w:r w:rsidRPr="00136FBE">
        <w:rPr>
          <w:rFonts w:ascii="仿宋" w:eastAsia="仿宋" w:hAnsi="仿宋" w:cs="仿宋" w:hint="eastAsia"/>
          <w:sz w:val="32"/>
          <w:szCs w:val="32"/>
        </w:rPr>
        <w:t>）为中性粒细胞减少、血小板减少、贫血、头痛、消化不良、水肿、体重增加、恶心、呕吐、肌肉痉挛、肌肉骨骼痛、腹泻、皮疹、疲劳和腹痛。</w:t>
      </w:r>
    </w:p>
    <w:p w14:paraId="4BED67A3"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治疗期间因毒性不可耐受或耐药时，可选择二代药物替换。</w:t>
      </w:r>
    </w:p>
    <w:p w14:paraId="6DADBBF1" w14:textId="77777777" w:rsidR="00B23A40"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6</w:t>
      </w:r>
      <w:r w:rsidRPr="00136FBE">
        <w:rPr>
          <w:rFonts w:ascii="仿宋" w:eastAsia="仿宋" w:hAnsi="仿宋" w:cs="仿宋"/>
          <w:sz w:val="32"/>
          <w:szCs w:val="32"/>
        </w:rPr>
        <w:t>.</w:t>
      </w:r>
      <w:r w:rsidRPr="00136FBE">
        <w:rPr>
          <w:rFonts w:ascii="仿宋" w:eastAsia="仿宋" w:hAnsi="仿宋" w:cs="仿宋" w:hint="eastAsia"/>
          <w:sz w:val="32"/>
          <w:szCs w:val="32"/>
        </w:rPr>
        <w:t>伊马替尼用于成人初治</w:t>
      </w:r>
      <w:r w:rsidRPr="00136FBE">
        <w:rPr>
          <w:rFonts w:ascii="仿宋" w:eastAsia="仿宋" w:hAnsi="仿宋" w:cs="仿宋"/>
          <w:sz w:val="32"/>
          <w:szCs w:val="32"/>
        </w:rPr>
        <w:t>Ph+</w:t>
      </w:r>
      <w:r w:rsidRPr="00136FBE">
        <w:rPr>
          <w:rFonts w:ascii="仿宋" w:eastAsia="仿宋" w:hAnsi="仿宋" w:cs="仿宋" w:hint="eastAsia"/>
          <w:sz w:val="32"/>
          <w:szCs w:val="32"/>
        </w:rPr>
        <w:t>急性淋巴细胞白血病（全球其他国家已批准的适应证）。</w:t>
      </w:r>
    </w:p>
    <w:p w14:paraId="3D101153" w14:textId="77777777" w:rsidR="00B52418" w:rsidRPr="00B52418" w:rsidRDefault="00B52418" w:rsidP="00B52418">
      <w:pPr>
        <w:spacing w:line="360" w:lineRule="auto"/>
        <w:ind w:firstLineChars="200" w:firstLine="640"/>
        <w:rPr>
          <w:rFonts w:ascii="仿宋" w:eastAsia="仿宋" w:hAnsi="仿宋" w:cs="仿宋"/>
          <w:sz w:val="32"/>
          <w:szCs w:val="32"/>
        </w:rPr>
      </w:pPr>
      <w:r w:rsidRPr="00B52418">
        <w:rPr>
          <w:rFonts w:ascii="仿宋" w:eastAsia="仿宋" w:hAnsi="仿宋" w:cs="仿宋" w:hint="eastAsia"/>
          <w:sz w:val="32"/>
          <w:szCs w:val="32"/>
        </w:rPr>
        <w:lastRenderedPageBreak/>
        <w:t>7.本品是CYP3A4的底物，同时给予CYP3A4诱导剂后伊马替尼的血浆浓度降低，从而导致疗效减低，应避免伊马替尼与CYP3A4诱导剂同时服用。</w:t>
      </w:r>
    </w:p>
    <w:p w14:paraId="2C7571E6" w14:textId="77777777" w:rsidR="00B52418" w:rsidRPr="00136FBE" w:rsidRDefault="00B52418" w:rsidP="00B52418">
      <w:pPr>
        <w:spacing w:line="360" w:lineRule="auto"/>
        <w:ind w:firstLineChars="200" w:firstLine="640"/>
        <w:rPr>
          <w:rFonts w:ascii="仿宋" w:eastAsia="仿宋" w:hAnsi="仿宋" w:cs="仿宋"/>
          <w:sz w:val="32"/>
          <w:szCs w:val="32"/>
        </w:rPr>
      </w:pPr>
      <w:r w:rsidRPr="00B52418">
        <w:rPr>
          <w:rFonts w:ascii="仿宋" w:eastAsia="仿宋" w:hAnsi="仿宋" w:cs="仿宋" w:hint="eastAsia"/>
          <w:sz w:val="32"/>
          <w:szCs w:val="32"/>
        </w:rPr>
        <w:t>8.伊马替尼应在进餐时服用</w:t>
      </w:r>
      <w:r w:rsidR="00240460">
        <w:rPr>
          <w:rFonts w:ascii="仿宋" w:eastAsia="仿宋" w:hAnsi="仿宋" w:cs="仿宋" w:hint="eastAsia"/>
          <w:sz w:val="32"/>
          <w:szCs w:val="32"/>
        </w:rPr>
        <w:t>，</w:t>
      </w:r>
      <w:r w:rsidRPr="00B52418">
        <w:rPr>
          <w:rFonts w:ascii="仿宋" w:eastAsia="仿宋" w:hAnsi="仿宋" w:cs="仿宋" w:hint="eastAsia"/>
          <w:sz w:val="32"/>
          <w:szCs w:val="32"/>
        </w:rPr>
        <w:t>并饮一大杯水。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w:t>
      </w:r>
      <w:r>
        <w:rPr>
          <w:rFonts w:ascii="仿宋" w:eastAsia="仿宋" w:hAnsi="仿宋" w:cs="仿宋" w:hint="eastAsia"/>
          <w:sz w:val="32"/>
          <w:szCs w:val="32"/>
        </w:rPr>
        <w:t>液</w:t>
      </w:r>
      <w:r w:rsidRPr="00B52418">
        <w:rPr>
          <w:rFonts w:ascii="仿宋" w:eastAsia="仿宋" w:hAnsi="仿宋" w:cs="仿宋" w:hint="eastAsia"/>
          <w:sz w:val="32"/>
          <w:szCs w:val="32"/>
        </w:rPr>
        <w:t>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14:paraId="309F48BE"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 xml:space="preserve">二、达沙替尼 </w:t>
      </w:r>
      <w:proofErr w:type="spellStart"/>
      <w:r w:rsidR="00F111D5" w:rsidRPr="00136FBE">
        <w:rPr>
          <w:rFonts w:ascii="黑体" w:eastAsia="黑体" w:hAnsi="黑体" w:cs="黑体" w:hint="eastAsia"/>
          <w:sz w:val="32"/>
          <w:szCs w:val="32"/>
        </w:rPr>
        <w:t>D</w:t>
      </w:r>
      <w:r w:rsidRPr="00136FBE">
        <w:rPr>
          <w:rFonts w:ascii="黑体" w:eastAsia="黑体" w:hAnsi="黑体" w:cs="黑体"/>
          <w:sz w:val="32"/>
          <w:szCs w:val="32"/>
        </w:rPr>
        <w:t>asatinib</w:t>
      </w:r>
      <w:proofErr w:type="spellEnd"/>
    </w:p>
    <w:p w14:paraId="69B65FBC"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20mg</w:t>
      </w:r>
      <w:r w:rsidRPr="00136FBE">
        <w:rPr>
          <w:rFonts w:ascii="仿宋" w:eastAsia="仿宋" w:hAnsi="仿宋" w:cs="仿宋" w:hint="eastAsia"/>
          <w:sz w:val="32"/>
          <w:szCs w:val="32"/>
        </w:rPr>
        <w:t>、</w:t>
      </w:r>
      <w:r w:rsidRPr="00136FBE">
        <w:rPr>
          <w:rFonts w:ascii="仿宋" w:eastAsia="仿宋" w:hAnsi="仿宋" w:cs="仿宋"/>
          <w:sz w:val="32"/>
          <w:szCs w:val="32"/>
        </w:rPr>
        <w:t>50mg</w:t>
      </w:r>
      <w:r w:rsidRPr="00136FBE">
        <w:rPr>
          <w:rFonts w:ascii="仿宋" w:eastAsia="仿宋" w:hAnsi="仿宋" w:cs="仿宋" w:hint="eastAsia"/>
          <w:sz w:val="32"/>
          <w:szCs w:val="32"/>
        </w:rPr>
        <w:t>、</w:t>
      </w:r>
      <w:r w:rsidRPr="00136FBE">
        <w:rPr>
          <w:rFonts w:ascii="仿宋" w:eastAsia="仿宋" w:hAnsi="仿宋" w:cs="仿宋"/>
          <w:sz w:val="32"/>
          <w:szCs w:val="32"/>
        </w:rPr>
        <w:t>70mg</w:t>
      </w:r>
      <w:r w:rsidRPr="00136FBE">
        <w:rPr>
          <w:rFonts w:ascii="仿宋" w:eastAsia="仿宋" w:hAnsi="仿宋" w:cs="仿宋" w:hint="eastAsia"/>
          <w:sz w:val="32"/>
          <w:szCs w:val="32"/>
        </w:rPr>
        <w:t>、</w:t>
      </w:r>
      <w:r w:rsidRPr="00136FBE">
        <w:rPr>
          <w:rFonts w:ascii="仿宋" w:eastAsia="仿宋" w:hAnsi="仿宋" w:cs="仿宋"/>
          <w:sz w:val="32"/>
          <w:szCs w:val="32"/>
        </w:rPr>
        <w:t>100mg</w:t>
      </w:r>
    </w:p>
    <w:p w14:paraId="1483B0C7"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对伊马替尼耐药，或不耐受的费城染色体阳性慢性髓细胞白血病慢性期、加速期和急变期（急粒变和急淋变）成年患者。</w:t>
      </w:r>
    </w:p>
    <w:p w14:paraId="1B2170FA"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lastRenderedPageBreak/>
        <w:t>合理用药要点：</w:t>
      </w:r>
    </w:p>
    <w:p w14:paraId="6CF7E083"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用药前必须明确诊断费城染色体阳性或</w:t>
      </w:r>
      <w:r w:rsidRPr="00136FBE">
        <w:rPr>
          <w:rFonts w:ascii="仿宋" w:eastAsia="仿宋" w:hAnsi="仿宋" w:cs="仿宋"/>
          <w:sz w:val="32"/>
          <w:szCs w:val="32"/>
        </w:rPr>
        <w:t>BCR-ABL</w:t>
      </w:r>
      <w:r w:rsidRPr="00136FBE">
        <w:rPr>
          <w:rFonts w:ascii="仿宋" w:eastAsia="仿宋" w:hAnsi="仿宋" w:cs="仿宋" w:hint="eastAsia"/>
          <w:sz w:val="32"/>
          <w:szCs w:val="32"/>
        </w:rPr>
        <w:t>阳性的慢性髓性白血病或急性淋巴细胞白血病。</w:t>
      </w:r>
    </w:p>
    <w:p w14:paraId="7C6CFC8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应该按照相关疾病指南，治疗前做基线（包括</w:t>
      </w:r>
      <w:r w:rsidRPr="00136FBE">
        <w:rPr>
          <w:rFonts w:ascii="仿宋" w:eastAsia="仿宋" w:hAnsi="仿宋" w:cs="仿宋"/>
          <w:sz w:val="32"/>
          <w:szCs w:val="32"/>
        </w:rPr>
        <w:t>BCR-ABL</w:t>
      </w:r>
      <w:r w:rsidRPr="00136FBE">
        <w:rPr>
          <w:rFonts w:ascii="仿宋" w:eastAsia="仿宋" w:hAnsi="仿宋" w:cs="仿宋" w:hint="eastAsia"/>
          <w:sz w:val="32"/>
          <w:szCs w:val="32"/>
        </w:rPr>
        <w:t>突变）评估，治疗期间定期监测血液学、细胞遗传学和分子学反应。</w:t>
      </w:r>
    </w:p>
    <w:p w14:paraId="7C21638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根据不同疾病种类和分期，选择初始治疗剂量，治疗中根据疗效和不良反应调整剂量。</w:t>
      </w:r>
    </w:p>
    <w:p w14:paraId="27F4BFDD"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常见不良事件为中性粒细胞减少、血小板减少、贫血、胸腔积液、头痛、腹泻、疲劳等，少数有肺动脉高压。</w:t>
      </w:r>
    </w:p>
    <w:p w14:paraId="73713834"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本品是</w:t>
      </w:r>
      <w:r w:rsidRPr="00136FBE">
        <w:rPr>
          <w:rFonts w:ascii="仿宋" w:eastAsia="仿宋" w:hAnsi="仿宋" w:cs="仿宋"/>
          <w:sz w:val="32"/>
          <w:szCs w:val="32"/>
        </w:rPr>
        <w:t>CYP3A4</w:t>
      </w:r>
      <w:r w:rsidRPr="00136FBE">
        <w:rPr>
          <w:rFonts w:ascii="仿宋" w:eastAsia="仿宋" w:hAnsi="仿宋" w:cs="仿宋" w:hint="eastAsia"/>
          <w:sz w:val="32"/>
          <w:szCs w:val="32"/>
        </w:rPr>
        <w:t>的底物，不推荐联合强效的</w:t>
      </w:r>
      <w:r w:rsidRPr="00136FBE">
        <w:rPr>
          <w:rFonts w:ascii="仿宋" w:eastAsia="仿宋" w:hAnsi="仿宋" w:cs="仿宋"/>
          <w:sz w:val="32"/>
          <w:szCs w:val="32"/>
        </w:rPr>
        <w:t>CYP3A4</w:t>
      </w:r>
      <w:r w:rsidRPr="00136FBE">
        <w:rPr>
          <w:rFonts w:ascii="仿宋" w:eastAsia="仿宋" w:hAnsi="仿宋" w:cs="仿宋" w:hint="eastAsia"/>
          <w:sz w:val="32"/>
          <w:szCs w:val="32"/>
        </w:rPr>
        <w:t>抑制剂。如果无法避免合并用药，则应对毒性反应进行密切监测。</w:t>
      </w:r>
    </w:p>
    <w:p w14:paraId="59862890"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6</w:t>
      </w:r>
      <w:r w:rsidRPr="00136FBE">
        <w:rPr>
          <w:rFonts w:ascii="仿宋" w:eastAsia="仿宋" w:hAnsi="仿宋" w:cs="仿宋"/>
          <w:sz w:val="32"/>
          <w:szCs w:val="32"/>
        </w:rPr>
        <w:t>.</w:t>
      </w:r>
      <w:r w:rsidRPr="00136FBE">
        <w:rPr>
          <w:rFonts w:ascii="仿宋" w:eastAsia="仿宋" w:hAnsi="仿宋" w:cs="仿宋" w:hint="eastAsia"/>
          <w:sz w:val="32"/>
          <w:szCs w:val="32"/>
        </w:rPr>
        <w:t>达沙替尼用于成人</w:t>
      </w:r>
      <w:r w:rsidRPr="00136FBE">
        <w:rPr>
          <w:rFonts w:ascii="仿宋" w:eastAsia="仿宋" w:hAnsi="仿宋" w:cs="仿宋"/>
          <w:sz w:val="32"/>
          <w:szCs w:val="32"/>
        </w:rPr>
        <w:t>Ph+</w:t>
      </w:r>
      <w:r w:rsidRPr="00136FBE">
        <w:rPr>
          <w:rFonts w:ascii="仿宋" w:eastAsia="仿宋" w:hAnsi="仿宋" w:cs="仿宋" w:hint="eastAsia"/>
          <w:sz w:val="32"/>
          <w:szCs w:val="32"/>
        </w:rPr>
        <w:t>急性淋巴细胞白血病（FDA已批准）。</w:t>
      </w:r>
    </w:p>
    <w:p w14:paraId="0ACEF7F4"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 xml:space="preserve">三、尼洛替尼 </w:t>
      </w:r>
      <w:r w:rsidR="00F111D5" w:rsidRPr="00136FBE">
        <w:rPr>
          <w:rFonts w:ascii="黑体" w:eastAsia="黑体" w:hAnsi="黑体" w:cs="黑体" w:hint="eastAsia"/>
          <w:sz w:val="32"/>
          <w:szCs w:val="32"/>
        </w:rPr>
        <w:t>N</w:t>
      </w:r>
      <w:r w:rsidRPr="00136FBE">
        <w:rPr>
          <w:rFonts w:ascii="黑体" w:eastAsia="黑体" w:hAnsi="黑体" w:cs="黑体"/>
          <w:sz w:val="32"/>
          <w:szCs w:val="32"/>
        </w:rPr>
        <w:t>ilotinib</w:t>
      </w:r>
    </w:p>
    <w:p w14:paraId="410B04BC"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胶囊：</w:t>
      </w:r>
      <w:r w:rsidRPr="00136FBE">
        <w:rPr>
          <w:rFonts w:ascii="仿宋" w:eastAsia="仿宋" w:hAnsi="仿宋" w:cs="仿宋"/>
          <w:sz w:val="32"/>
          <w:szCs w:val="32"/>
        </w:rPr>
        <w:t>150mg</w:t>
      </w:r>
      <w:r w:rsidRPr="00136FBE">
        <w:rPr>
          <w:rFonts w:ascii="仿宋" w:eastAsia="仿宋" w:hAnsi="仿宋" w:cs="仿宋" w:hint="eastAsia"/>
          <w:sz w:val="32"/>
          <w:szCs w:val="32"/>
        </w:rPr>
        <w:t>、</w:t>
      </w:r>
      <w:r w:rsidRPr="00136FBE">
        <w:rPr>
          <w:rFonts w:ascii="仿宋" w:eastAsia="仿宋" w:hAnsi="仿宋" w:cs="仿宋"/>
          <w:sz w:val="32"/>
          <w:szCs w:val="32"/>
        </w:rPr>
        <w:t xml:space="preserve">200mg </w:t>
      </w:r>
    </w:p>
    <w:p w14:paraId="5EC189DF"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41D3073A"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新诊断的费城染色体阳性的慢性髓性白血病（</w:t>
      </w:r>
      <w:proofErr w:type="spellStart"/>
      <w:r w:rsidRPr="00136FBE">
        <w:rPr>
          <w:rFonts w:ascii="仿宋" w:eastAsia="仿宋" w:hAnsi="仿宋" w:cs="仿宋"/>
          <w:sz w:val="32"/>
          <w:szCs w:val="32"/>
        </w:rPr>
        <w:t>Ph+CML</w:t>
      </w:r>
      <w:proofErr w:type="spellEnd"/>
      <w:r w:rsidRPr="00136FBE">
        <w:rPr>
          <w:rFonts w:ascii="仿宋" w:eastAsia="仿宋" w:hAnsi="仿宋" w:cs="仿宋" w:hint="eastAsia"/>
          <w:sz w:val="32"/>
          <w:szCs w:val="32"/>
        </w:rPr>
        <w:t>）慢性期成人患者。</w:t>
      </w:r>
    </w:p>
    <w:p w14:paraId="57C92664" w14:textId="77777777" w:rsidR="00B23A40" w:rsidRPr="00136FBE" w:rsidRDefault="00DD1A0D">
      <w:pPr>
        <w:spacing w:line="360" w:lineRule="auto"/>
        <w:ind w:firstLineChars="200" w:firstLine="640"/>
        <w:rPr>
          <w:rFonts w:ascii="仿宋" w:eastAsia="仿宋" w:hAnsi="仿宋" w:cs="Times New Roman"/>
          <w:b/>
          <w:bCs/>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对既往治疗（包括伊马替尼）耐药或不耐受的费城染色体阳性的</w:t>
      </w:r>
      <w:proofErr w:type="spellStart"/>
      <w:r w:rsidRPr="00136FBE">
        <w:rPr>
          <w:rFonts w:ascii="仿宋" w:eastAsia="仿宋" w:hAnsi="仿宋" w:cs="仿宋"/>
          <w:sz w:val="32"/>
          <w:szCs w:val="32"/>
        </w:rPr>
        <w:t>Ph+CML</w:t>
      </w:r>
      <w:proofErr w:type="spellEnd"/>
      <w:r w:rsidRPr="00136FBE">
        <w:rPr>
          <w:rFonts w:ascii="仿宋" w:eastAsia="仿宋" w:hAnsi="仿宋" w:cs="仿宋" w:hint="eastAsia"/>
          <w:sz w:val="32"/>
          <w:szCs w:val="32"/>
        </w:rPr>
        <w:t>慢性期或加速期成人患者。</w:t>
      </w:r>
    </w:p>
    <w:p w14:paraId="5AD2C0DD"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lastRenderedPageBreak/>
        <w:t>合理用药要点：</w:t>
      </w:r>
    </w:p>
    <w:p w14:paraId="623DC5C2"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尼洛替尼不可用于低血钾、低血镁或长</w:t>
      </w:r>
      <w:r w:rsidRPr="00136FBE">
        <w:rPr>
          <w:rFonts w:ascii="仿宋" w:eastAsia="仿宋" w:hAnsi="仿宋" w:cs="仿宋"/>
          <w:sz w:val="32"/>
          <w:szCs w:val="32"/>
        </w:rPr>
        <w:t>QT</w:t>
      </w:r>
      <w:r w:rsidRPr="00136FBE">
        <w:rPr>
          <w:rFonts w:ascii="仿宋" w:eastAsia="仿宋" w:hAnsi="仿宋" w:cs="仿宋" w:hint="eastAsia"/>
          <w:sz w:val="32"/>
          <w:szCs w:val="32"/>
        </w:rPr>
        <w:t>综合征的患者。在使用尼洛替尼以前必须纠正低钾和低镁，并定期进行监测。</w:t>
      </w:r>
    </w:p>
    <w:p w14:paraId="76D89DC2" w14:textId="77777777" w:rsidR="00B23A40" w:rsidRPr="00136FBE" w:rsidRDefault="00DD1A0D">
      <w:pPr>
        <w:spacing w:line="360" w:lineRule="auto"/>
        <w:ind w:firstLineChars="200" w:firstLine="640"/>
        <w:rPr>
          <w:rFonts w:ascii="仿宋" w:eastAsia="仿宋" w:hAnsi="仿宋" w:cs="Times New Roman"/>
          <w:b/>
          <w:bCs/>
          <w:sz w:val="32"/>
          <w:szCs w:val="32"/>
        </w:rPr>
      </w:pPr>
      <w:r w:rsidRPr="00136FBE">
        <w:rPr>
          <w:rFonts w:ascii="仿宋" w:eastAsia="仿宋" w:hAnsi="仿宋" w:cs="Times New Roman" w:hint="eastAsia"/>
          <w:sz w:val="32"/>
          <w:szCs w:val="32"/>
        </w:rPr>
        <w:t>2.</w:t>
      </w:r>
      <w:r w:rsidRPr="00136FBE">
        <w:rPr>
          <w:rFonts w:ascii="仿宋" w:eastAsia="仿宋" w:hAnsi="仿宋" w:cs="仿宋" w:hint="eastAsia"/>
          <w:sz w:val="32"/>
          <w:szCs w:val="32"/>
        </w:rPr>
        <w:t>常见不良事件为中性粒细胞减少、血小板减少、贫血、食欲减退、皮疹、肌肉关节痛等。</w:t>
      </w:r>
    </w:p>
    <w:p w14:paraId="6F290619"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3</w:t>
      </w:r>
      <w:r w:rsidRPr="00136FBE">
        <w:rPr>
          <w:rFonts w:ascii="仿宋" w:eastAsia="仿宋" w:hAnsi="仿宋" w:cs="仿宋"/>
          <w:sz w:val="32"/>
          <w:szCs w:val="32"/>
        </w:rPr>
        <w:t>.</w:t>
      </w:r>
      <w:r w:rsidRPr="00136FBE">
        <w:rPr>
          <w:rFonts w:ascii="仿宋" w:eastAsia="仿宋" w:hAnsi="仿宋" w:cs="仿宋" w:hint="eastAsia"/>
          <w:sz w:val="32"/>
          <w:szCs w:val="32"/>
        </w:rPr>
        <w:t>避免联合可延长</w:t>
      </w:r>
      <w:r w:rsidRPr="00136FBE">
        <w:rPr>
          <w:rFonts w:ascii="仿宋" w:eastAsia="仿宋" w:hAnsi="仿宋" w:cs="仿宋"/>
          <w:sz w:val="32"/>
          <w:szCs w:val="32"/>
        </w:rPr>
        <w:t>QT</w:t>
      </w:r>
      <w:r w:rsidRPr="00136FBE">
        <w:rPr>
          <w:rFonts w:ascii="仿宋" w:eastAsia="仿宋" w:hAnsi="仿宋" w:cs="仿宋" w:hint="eastAsia"/>
          <w:sz w:val="32"/>
          <w:szCs w:val="32"/>
        </w:rPr>
        <w:t>间期的药物和</w:t>
      </w:r>
      <w:r w:rsidRPr="00136FBE">
        <w:rPr>
          <w:rFonts w:ascii="仿宋" w:eastAsia="仿宋" w:hAnsi="仿宋" w:cs="仿宋"/>
          <w:sz w:val="32"/>
          <w:szCs w:val="32"/>
        </w:rPr>
        <w:t>CYP3A4</w:t>
      </w:r>
      <w:r w:rsidRPr="00136FBE">
        <w:rPr>
          <w:rFonts w:ascii="仿宋" w:eastAsia="仿宋" w:hAnsi="仿宋" w:cs="仿宋" w:hint="eastAsia"/>
          <w:sz w:val="32"/>
          <w:szCs w:val="32"/>
        </w:rPr>
        <w:t>的强效抑制剂。</w:t>
      </w:r>
    </w:p>
    <w:p w14:paraId="13DBD93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4</w:t>
      </w:r>
      <w:r w:rsidRPr="00136FBE">
        <w:rPr>
          <w:rFonts w:ascii="仿宋" w:eastAsia="仿宋" w:hAnsi="仿宋" w:cs="仿宋"/>
          <w:sz w:val="32"/>
          <w:szCs w:val="32"/>
        </w:rPr>
        <w:t>.</w:t>
      </w:r>
      <w:r w:rsidRPr="00136FBE">
        <w:rPr>
          <w:rFonts w:ascii="仿宋" w:eastAsia="仿宋" w:hAnsi="仿宋" w:cs="仿宋" w:hint="eastAsia"/>
          <w:sz w:val="32"/>
          <w:szCs w:val="32"/>
        </w:rPr>
        <w:t>有肝功能损伤的患者建议减量。</w:t>
      </w:r>
    </w:p>
    <w:p w14:paraId="74287DEC"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5</w:t>
      </w:r>
      <w:r w:rsidRPr="00136FBE">
        <w:rPr>
          <w:rFonts w:ascii="仿宋" w:eastAsia="仿宋" w:hAnsi="仿宋" w:cs="仿宋"/>
          <w:sz w:val="32"/>
          <w:szCs w:val="32"/>
        </w:rPr>
        <w:t>.</w:t>
      </w:r>
      <w:r w:rsidRPr="00136FBE">
        <w:rPr>
          <w:rFonts w:ascii="仿宋" w:eastAsia="仿宋" w:hAnsi="仿宋" w:cs="仿宋" w:hint="eastAsia"/>
          <w:sz w:val="32"/>
          <w:szCs w:val="32"/>
        </w:rPr>
        <w:t>在开始给药前、</w:t>
      </w:r>
      <w:r w:rsidR="00CC53AB" w:rsidRPr="00CC53AB">
        <w:rPr>
          <w:rFonts w:ascii="仿宋" w:eastAsia="仿宋" w:hAnsi="仿宋" w:cs="仿宋" w:hint="eastAsia"/>
          <w:sz w:val="32"/>
          <w:szCs w:val="32"/>
        </w:rPr>
        <w:t>给药过程中、</w:t>
      </w:r>
      <w:r w:rsidRPr="00136FBE">
        <w:rPr>
          <w:rFonts w:ascii="仿宋" w:eastAsia="仿宋" w:hAnsi="仿宋" w:cs="仿宋" w:hint="eastAsia"/>
          <w:sz w:val="32"/>
          <w:szCs w:val="32"/>
        </w:rPr>
        <w:t>给药后</w:t>
      </w:r>
      <w:r w:rsidR="00DD132E">
        <w:rPr>
          <w:rFonts w:ascii="仿宋" w:eastAsia="仿宋" w:hAnsi="仿宋" w:cs="仿宋" w:hint="eastAsia"/>
          <w:sz w:val="32"/>
          <w:szCs w:val="32"/>
        </w:rPr>
        <w:t>均应</w:t>
      </w:r>
      <w:r w:rsidRPr="00136FBE">
        <w:rPr>
          <w:rFonts w:ascii="仿宋" w:eastAsia="仿宋" w:hAnsi="仿宋" w:cs="仿宋" w:hint="eastAsia"/>
          <w:sz w:val="32"/>
          <w:szCs w:val="32"/>
        </w:rPr>
        <w:t>定期进行心电图检查以监测</w:t>
      </w:r>
      <w:r w:rsidRPr="00136FBE">
        <w:rPr>
          <w:rFonts w:ascii="仿宋" w:eastAsia="仿宋" w:hAnsi="仿宋" w:cs="仿宋"/>
          <w:sz w:val="32"/>
          <w:szCs w:val="32"/>
        </w:rPr>
        <w:t>QTc</w:t>
      </w:r>
      <w:r w:rsidRPr="00136FBE">
        <w:rPr>
          <w:rFonts w:ascii="仿宋" w:eastAsia="仿宋" w:hAnsi="仿宋" w:cs="仿宋" w:hint="eastAsia"/>
          <w:sz w:val="32"/>
          <w:szCs w:val="32"/>
        </w:rPr>
        <w:t>，并且在任何进行剂量调整时也应如此。</w:t>
      </w:r>
    </w:p>
    <w:p w14:paraId="5073C55D"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 xml:space="preserve">四、伊布替尼 </w:t>
      </w:r>
      <w:r w:rsidR="00F111D5" w:rsidRPr="00136FBE">
        <w:rPr>
          <w:rFonts w:ascii="黑体" w:eastAsia="黑体" w:hAnsi="黑体" w:cs="黑体" w:hint="eastAsia"/>
          <w:sz w:val="32"/>
          <w:szCs w:val="32"/>
        </w:rPr>
        <w:t>I</w:t>
      </w:r>
      <w:r w:rsidRPr="00136FBE">
        <w:rPr>
          <w:rFonts w:ascii="黑体" w:eastAsia="黑体" w:hAnsi="黑体" w:cs="黑体"/>
          <w:sz w:val="32"/>
          <w:szCs w:val="32"/>
        </w:rPr>
        <w:t>brutinib</w:t>
      </w:r>
    </w:p>
    <w:p w14:paraId="046759BB"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胶囊：</w:t>
      </w:r>
      <w:r w:rsidRPr="00136FBE">
        <w:rPr>
          <w:rFonts w:ascii="仿宋" w:eastAsia="仿宋" w:hAnsi="仿宋" w:cs="仿宋"/>
          <w:sz w:val="32"/>
          <w:szCs w:val="32"/>
        </w:rPr>
        <w:t xml:space="preserve">140mg </w:t>
      </w:r>
    </w:p>
    <w:p w14:paraId="0BE9FF5A"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2AF5DDD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单药适用于既往至少接受过一种治疗的套细胞淋巴瘤患者的治疗。</w:t>
      </w:r>
    </w:p>
    <w:p w14:paraId="354B3E4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单药治疗初治及复发的慢性淋巴细胞白血病</w:t>
      </w:r>
      <w:r w:rsidRPr="00136FBE">
        <w:rPr>
          <w:rFonts w:ascii="仿宋" w:eastAsia="仿宋" w:hAnsi="仿宋" w:cs="仿宋"/>
          <w:sz w:val="32"/>
          <w:szCs w:val="32"/>
        </w:rPr>
        <w:t>/</w:t>
      </w:r>
      <w:r w:rsidRPr="00136FBE">
        <w:rPr>
          <w:rFonts w:ascii="仿宋" w:eastAsia="仿宋" w:hAnsi="仿宋" w:cs="仿宋" w:hint="eastAsia"/>
          <w:sz w:val="32"/>
          <w:szCs w:val="32"/>
        </w:rPr>
        <w:t>小淋巴细胞淋巴瘤患者的治疗。</w:t>
      </w:r>
    </w:p>
    <w:p w14:paraId="22A192E6"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单药或与利妥昔单抗联合治疗初治及复发的华氏巨球蛋白血症。</w:t>
      </w:r>
    </w:p>
    <w:p w14:paraId="2B8D3841"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63B3E004"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伊布替尼用于CLL治疗前，应进行严格临床评估，如</w:t>
      </w:r>
      <w:r w:rsidRPr="00136FBE">
        <w:rPr>
          <w:rFonts w:ascii="仿宋" w:eastAsia="仿宋" w:hAnsi="仿宋" w:cs="仿宋" w:hint="eastAsia"/>
          <w:sz w:val="32"/>
          <w:szCs w:val="32"/>
        </w:rPr>
        <w:lastRenderedPageBreak/>
        <w:t>果患者有明确del(17p)，</w:t>
      </w:r>
      <w:r w:rsidR="009905A1" w:rsidRPr="009905A1">
        <w:rPr>
          <w:rFonts w:ascii="仿宋" w:eastAsia="仿宋" w:hAnsi="仿宋" w:cs="仿宋" w:hint="eastAsia"/>
          <w:sz w:val="32"/>
          <w:szCs w:val="32"/>
        </w:rPr>
        <w:t>选BTK抑制剂治疗</w:t>
      </w:r>
      <w:r w:rsidRPr="00136FBE">
        <w:rPr>
          <w:rFonts w:ascii="仿宋" w:eastAsia="仿宋" w:hAnsi="仿宋" w:cs="仿宋" w:hint="eastAsia"/>
          <w:sz w:val="32"/>
          <w:szCs w:val="32"/>
        </w:rPr>
        <w:t>。</w:t>
      </w:r>
    </w:p>
    <w:p w14:paraId="06A5E17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2.用药前必须明确诊断套细胞淋巴瘤或慢性淋巴细胞白血病或华氏巨球蛋白血症，根据诊断不同，治疗剂量不同。</w:t>
      </w:r>
    </w:p>
    <w:p w14:paraId="24C6FD7A"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3</w:t>
      </w:r>
      <w:r w:rsidRPr="00136FBE">
        <w:rPr>
          <w:rFonts w:ascii="仿宋" w:eastAsia="仿宋" w:hAnsi="仿宋" w:cs="仿宋"/>
          <w:sz w:val="32"/>
          <w:szCs w:val="32"/>
        </w:rPr>
        <w:t>.</w:t>
      </w:r>
      <w:r w:rsidRPr="00136FBE">
        <w:rPr>
          <w:rFonts w:ascii="仿宋" w:eastAsia="仿宋" w:hAnsi="仿宋" w:cs="仿宋" w:hint="eastAsia"/>
          <w:sz w:val="32"/>
          <w:szCs w:val="32"/>
        </w:rPr>
        <w:t>应该按照相关疾病指南，治疗前做基线评估，治疗期间定期监测治疗反应及毒性。</w:t>
      </w:r>
    </w:p>
    <w:p w14:paraId="00F6FF1A" w14:textId="77777777" w:rsidR="00B23A40" w:rsidRPr="00136FBE" w:rsidRDefault="00DD1A0D">
      <w:pPr>
        <w:spacing w:line="360" w:lineRule="auto"/>
        <w:ind w:firstLineChars="200" w:firstLine="640"/>
        <w:rPr>
          <w:rFonts w:ascii="仿宋" w:eastAsia="仿宋" w:hAnsi="仿宋" w:cs="Times New Roman"/>
          <w:color w:val="000000"/>
          <w:sz w:val="32"/>
          <w:szCs w:val="32"/>
        </w:rPr>
      </w:pPr>
      <w:r w:rsidRPr="00136FBE">
        <w:rPr>
          <w:rFonts w:ascii="仿宋" w:eastAsia="仿宋" w:hAnsi="仿宋" w:cs="仿宋" w:hint="eastAsia"/>
          <w:sz w:val="32"/>
          <w:szCs w:val="32"/>
        </w:rPr>
        <w:t>4</w:t>
      </w:r>
      <w:r w:rsidRPr="00136FBE">
        <w:rPr>
          <w:rFonts w:ascii="仿宋" w:eastAsia="仿宋" w:hAnsi="仿宋" w:cs="仿宋"/>
          <w:sz w:val="32"/>
          <w:szCs w:val="32"/>
        </w:rPr>
        <w:t>.</w:t>
      </w:r>
      <w:r w:rsidRPr="00136FBE">
        <w:rPr>
          <w:rFonts w:ascii="仿宋" w:eastAsia="仿宋" w:hAnsi="仿宋" w:cs="仿宋" w:hint="eastAsia"/>
          <w:sz w:val="32"/>
          <w:szCs w:val="32"/>
        </w:rPr>
        <w:t>治疗</w:t>
      </w:r>
      <w:r w:rsidRPr="00136FBE">
        <w:rPr>
          <w:rFonts w:ascii="仿宋" w:eastAsia="仿宋" w:hAnsi="仿宋" w:cs="仿宋"/>
          <w:sz w:val="32"/>
          <w:szCs w:val="32"/>
        </w:rPr>
        <w:t>MCL</w:t>
      </w:r>
      <w:r w:rsidRPr="00136FBE">
        <w:rPr>
          <w:rFonts w:ascii="仿宋" w:eastAsia="仿宋" w:hAnsi="仿宋" w:cs="仿宋" w:hint="eastAsia"/>
          <w:sz w:val="32"/>
          <w:szCs w:val="32"/>
        </w:rPr>
        <w:t>的推荐剂量为</w:t>
      </w:r>
      <w:r w:rsidRPr="00136FBE">
        <w:rPr>
          <w:rFonts w:ascii="仿宋" w:eastAsia="仿宋" w:hAnsi="仿宋" w:cs="仿宋"/>
          <w:sz w:val="32"/>
          <w:szCs w:val="32"/>
        </w:rPr>
        <w:t>560mg</w:t>
      </w:r>
      <w:r w:rsidRPr="00136FBE">
        <w:rPr>
          <w:rFonts w:ascii="仿宋" w:eastAsia="仿宋" w:hAnsi="仿宋" w:cs="仿宋" w:hint="eastAsia"/>
          <w:sz w:val="32"/>
          <w:szCs w:val="32"/>
        </w:rPr>
        <w:t>，每日一次直至疾病进展或出现不可接受的毒性；</w:t>
      </w:r>
      <w:r w:rsidRPr="00136FBE">
        <w:rPr>
          <w:rFonts w:ascii="仿宋" w:eastAsia="仿宋" w:hAnsi="仿宋" w:cs="仿宋" w:hint="eastAsia"/>
          <w:color w:val="000000"/>
          <w:sz w:val="32"/>
          <w:szCs w:val="32"/>
        </w:rPr>
        <w:t>治疗</w:t>
      </w:r>
      <w:r w:rsidRPr="00136FBE">
        <w:rPr>
          <w:rFonts w:ascii="仿宋" w:eastAsia="仿宋" w:hAnsi="仿宋" w:cs="仿宋"/>
          <w:color w:val="000000"/>
          <w:sz w:val="32"/>
          <w:szCs w:val="32"/>
        </w:rPr>
        <w:t>CLL/SLL</w:t>
      </w:r>
      <w:r w:rsidRPr="00136FBE">
        <w:rPr>
          <w:rFonts w:ascii="仿宋" w:eastAsia="仿宋" w:hAnsi="仿宋" w:cs="仿宋" w:hint="eastAsia"/>
          <w:color w:val="000000"/>
          <w:sz w:val="32"/>
          <w:szCs w:val="32"/>
        </w:rPr>
        <w:t>和</w:t>
      </w:r>
      <w:r w:rsidRPr="00136FBE">
        <w:rPr>
          <w:rFonts w:ascii="仿宋" w:eastAsia="仿宋" w:hAnsi="仿宋" w:cs="仿宋" w:hint="eastAsia"/>
          <w:sz w:val="32"/>
          <w:szCs w:val="32"/>
        </w:rPr>
        <w:t>华氏巨球蛋白血症</w:t>
      </w:r>
      <w:r w:rsidRPr="00136FBE">
        <w:rPr>
          <w:rFonts w:ascii="仿宋" w:eastAsia="仿宋" w:hAnsi="仿宋" w:cs="仿宋" w:hint="eastAsia"/>
          <w:color w:val="000000"/>
          <w:sz w:val="32"/>
          <w:szCs w:val="32"/>
        </w:rPr>
        <w:t>的推荐剂量为</w:t>
      </w:r>
      <w:r w:rsidRPr="00136FBE">
        <w:rPr>
          <w:rFonts w:ascii="仿宋" w:eastAsia="仿宋" w:hAnsi="仿宋" w:cs="仿宋"/>
          <w:color w:val="000000"/>
          <w:sz w:val="32"/>
          <w:szCs w:val="32"/>
        </w:rPr>
        <w:t>420mg</w:t>
      </w:r>
      <w:r w:rsidRPr="00136FBE">
        <w:rPr>
          <w:rFonts w:ascii="仿宋" w:eastAsia="仿宋" w:hAnsi="仿宋" w:cs="仿宋" w:hint="eastAsia"/>
          <w:color w:val="000000"/>
          <w:sz w:val="32"/>
          <w:szCs w:val="32"/>
        </w:rPr>
        <w:t>，每日一次直至疾病进展或出现不可接受的毒性。</w:t>
      </w:r>
    </w:p>
    <w:p w14:paraId="1EA52A64"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5</w:t>
      </w:r>
      <w:r w:rsidRPr="00136FBE">
        <w:rPr>
          <w:rFonts w:ascii="仿宋" w:eastAsia="仿宋" w:hAnsi="仿宋" w:cs="仿宋"/>
          <w:sz w:val="32"/>
          <w:szCs w:val="32"/>
        </w:rPr>
        <w:t>.</w:t>
      </w:r>
      <w:r w:rsidRPr="00136FBE">
        <w:rPr>
          <w:rFonts w:ascii="仿宋" w:eastAsia="仿宋" w:hAnsi="仿宋" w:cs="仿宋" w:hint="eastAsia"/>
          <w:color w:val="000000"/>
          <w:sz w:val="32"/>
          <w:szCs w:val="32"/>
        </w:rPr>
        <w:t>轻度肝功能损伤患者的推荐剂量是每天</w:t>
      </w:r>
      <w:r w:rsidRPr="00136FBE">
        <w:rPr>
          <w:rFonts w:ascii="仿宋" w:eastAsia="仿宋" w:hAnsi="仿宋" w:cs="仿宋"/>
          <w:color w:val="000000"/>
          <w:sz w:val="32"/>
          <w:szCs w:val="32"/>
        </w:rPr>
        <w:t>140mg</w:t>
      </w:r>
      <w:r w:rsidRPr="00136FBE">
        <w:rPr>
          <w:rFonts w:ascii="仿宋" w:eastAsia="仿宋" w:hAnsi="仿宋" w:cs="仿宋" w:hint="eastAsia"/>
          <w:color w:val="000000"/>
          <w:sz w:val="32"/>
          <w:szCs w:val="32"/>
        </w:rPr>
        <w:t>。</w:t>
      </w:r>
      <w:r w:rsidR="00B73A0E" w:rsidRPr="00136FBE">
        <w:rPr>
          <w:rFonts w:ascii="仿宋" w:eastAsia="仿宋" w:hAnsi="仿宋" w:cs="仿宋" w:hint="eastAsia"/>
          <w:color w:val="000000"/>
          <w:sz w:val="32"/>
          <w:szCs w:val="32"/>
        </w:rPr>
        <w:t>中重度</w:t>
      </w:r>
      <w:r w:rsidRPr="00136FBE">
        <w:rPr>
          <w:rFonts w:ascii="仿宋" w:eastAsia="仿宋" w:hAnsi="仿宋" w:cs="仿宋" w:hint="eastAsia"/>
          <w:color w:val="000000"/>
          <w:sz w:val="32"/>
          <w:szCs w:val="32"/>
        </w:rPr>
        <w:t>肝功能损伤患者应避免使用。</w:t>
      </w:r>
    </w:p>
    <w:p w14:paraId="4157FCAB" w14:textId="77777777" w:rsidR="00B23A40" w:rsidRPr="00136FBE" w:rsidRDefault="00DD1A0D">
      <w:pPr>
        <w:spacing w:line="360" w:lineRule="auto"/>
        <w:ind w:firstLineChars="200" w:firstLine="640"/>
        <w:rPr>
          <w:rFonts w:ascii="仿宋" w:eastAsia="仿宋" w:hAnsi="仿宋" w:cs="Times New Roman"/>
          <w:color w:val="000000"/>
          <w:sz w:val="32"/>
          <w:szCs w:val="32"/>
        </w:rPr>
      </w:pPr>
      <w:r w:rsidRPr="00136FBE">
        <w:rPr>
          <w:rFonts w:ascii="仿宋" w:eastAsia="仿宋" w:hAnsi="仿宋" w:cs="仿宋" w:hint="eastAsia"/>
          <w:color w:val="000000"/>
          <w:sz w:val="32"/>
          <w:szCs w:val="32"/>
        </w:rPr>
        <w:t>6</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口服给药，每日一次，每天的用药时间大致固定。应用水送服整粒胶囊。请勿打开、弄破或咀嚼胶囊。如果未在计划时间服用本品，可以在当天尽快服用，第二天继续在正常计划时间服药。请勿额外服用本品以弥补漏服剂量。</w:t>
      </w:r>
    </w:p>
    <w:p w14:paraId="6785164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color w:val="000000"/>
          <w:sz w:val="32"/>
          <w:szCs w:val="32"/>
        </w:rPr>
        <w:t>7</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出现任何≥</w:t>
      </w: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级非血液学毒性、≥</w:t>
      </w: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级伴感染或发热的中性粒细胞减少症或者</w:t>
      </w:r>
      <w:r w:rsidRPr="00136FBE">
        <w:rPr>
          <w:rFonts w:ascii="仿宋" w:eastAsia="仿宋" w:hAnsi="仿宋" w:cs="仿宋"/>
          <w:color w:val="000000"/>
          <w:sz w:val="32"/>
          <w:szCs w:val="32"/>
        </w:rPr>
        <w:t>4</w:t>
      </w:r>
      <w:r w:rsidRPr="00136FBE">
        <w:rPr>
          <w:rFonts w:ascii="仿宋" w:eastAsia="仿宋" w:hAnsi="仿宋" w:cs="仿宋" w:hint="eastAsia"/>
          <w:color w:val="000000"/>
          <w:sz w:val="32"/>
          <w:szCs w:val="32"/>
        </w:rPr>
        <w:t>级血液学毒性时，应中断治疗。待毒性症状消退至</w:t>
      </w:r>
      <w:r w:rsidRPr="00136FBE">
        <w:rPr>
          <w:rFonts w:ascii="仿宋" w:eastAsia="仿宋" w:hAnsi="仿宋" w:cs="仿宋"/>
          <w:color w:val="000000"/>
          <w:sz w:val="32"/>
          <w:szCs w:val="32"/>
        </w:rPr>
        <w:t>1</w:t>
      </w:r>
      <w:r w:rsidRPr="00136FBE">
        <w:rPr>
          <w:rFonts w:ascii="仿宋" w:eastAsia="仿宋" w:hAnsi="仿宋" w:cs="仿宋" w:hint="eastAsia"/>
          <w:color w:val="000000"/>
          <w:sz w:val="32"/>
          <w:szCs w:val="32"/>
        </w:rPr>
        <w:t>级或基线水平（恢复）时，可以起始剂量重新开始治疗。如果该毒性再次发生，应将剂量减少</w:t>
      </w:r>
      <w:r w:rsidRPr="00136FBE">
        <w:rPr>
          <w:rFonts w:ascii="仿宋" w:eastAsia="仿宋" w:hAnsi="仿宋" w:cs="仿宋"/>
          <w:color w:val="000000"/>
          <w:sz w:val="32"/>
          <w:szCs w:val="32"/>
        </w:rPr>
        <w:t>140mg</w:t>
      </w:r>
      <w:r w:rsidR="00985C52"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如有需要，可以考虑再减少</w:t>
      </w:r>
      <w:r w:rsidRPr="00136FBE">
        <w:rPr>
          <w:rFonts w:ascii="仿宋" w:eastAsia="仿宋" w:hAnsi="仿宋" w:cs="仿宋"/>
          <w:color w:val="000000"/>
          <w:sz w:val="32"/>
          <w:szCs w:val="32"/>
        </w:rPr>
        <w:t>140mg</w:t>
      </w:r>
      <w:r w:rsidRPr="00136FBE">
        <w:rPr>
          <w:rFonts w:ascii="仿宋" w:eastAsia="仿宋" w:hAnsi="仿宋" w:cs="仿宋" w:hint="eastAsia"/>
          <w:color w:val="000000"/>
          <w:sz w:val="32"/>
          <w:szCs w:val="32"/>
        </w:rPr>
        <w:t>。如果在两次剂量降低后该毒性仍然存在或再次发生，应停用。</w:t>
      </w:r>
    </w:p>
    <w:p w14:paraId="77B3B3F2" w14:textId="77777777" w:rsidR="00B23A40" w:rsidRDefault="00DD1A0D">
      <w:pPr>
        <w:spacing w:line="360" w:lineRule="auto"/>
        <w:ind w:firstLineChars="200" w:firstLine="640"/>
        <w:rPr>
          <w:rFonts w:ascii="仿宋" w:eastAsia="仿宋" w:hAnsi="仿宋" w:cs="仿宋"/>
          <w:color w:val="000000"/>
          <w:sz w:val="32"/>
          <w:szCs w:val="32"/>
        </w:rPr>
      </w:pPr>
      <w:r w:rsidRPr="00136FBE">
        <w:rPr>
          <w:rFonts w:ascii="仿宋" w:eastAsia="仿宋" w:hAnsi="仿宋" w:cs="仿宋" w:hint="eastAsia"/>
          <w:sz w:val="32"/>
          <w:szCs w:val="32"/>
        </w:rPr>
        <w:t>8</w:t>
      </w:r>
      <w:r w:rsidRPr="00136FBE">
        <w:rPr>
          <w:rFonts w:ascii="仿宋" w:eastAsia="仿宋" w:hAnsi="仿宋" w:cs="仿宋"/>
          <w:sz w:val="32"/>
          <w:szCs w:val="32"/>
        </w:rPr>
        <w:t>.</w:t>
      </w:r>
      <w:r w:rsidRPr="00136FBE">
        <w:rPr>
          <w:rFonts w:ascii="仿宋" w:eastAsia="仿宋" w:hAnsi="仿宋" w:cs="仿宋" w:hint="eastAsia"/>
          <w:sz w:val="32"/>
          <w:szCs w:val="32"/>
        </w:rPr>
        <w:t>接受本药治疗的</w:t>
      </w:r>
      <w:r w:rsidRPr="00136FBE">
        <w:rPr>
          <w:rFonts w:ascii="仿宋" w:eastAsia="仿宋" w:hAnsi="仿宋" w:cs="仿宋"/>
          <w:color w:val="000000"/>
          <w:sz w:val="32"/>
          <w:szCs w:val="32"/>
        </w:rPr>
        <w:t>MCL</w:t>
      </w:r>
      <w:r w:rsidRPr="00136FBE">
        <w:rPr>
          <w:rFonts w:ascii="仿宋" w:eastAsia="仿宋" w:hAnsi="仿宋" w:cs="仿宋" w:hint="eastAsia"/>
          <w:color w:val="000000"/>
          <w:sz w:val="32"/>
          <w:szCs w:val="32"/>
        </w:rPr>
        <w:t>患者最常发生的不良反应（≥</w:t>
      </w:r>
      <w:r w:rsidRPr="00136FBE">
        <w:rPr>
          <w:rFonts w:ascii="仿宋" w:eastAsia="仿宋" w:hAnsi="仿宋" w:cs="仿宋"/>
          <w:color w:val="000000"/>
          <w:sz w:val="32"/>
          <w:szCs w:val="32"/>
        </w:rPr>
        <w:t>20%</w:t>
      </w:r>
      <w:r w:rsidRPr="00136FBE">
        <w:rPr>
          <w:rFonts w:ascii="仿宋" w:eastAsia="仿宋" w:hAnsi="仿宋" w:cs="仿宋" w:hint="eastAsia"/>
          <w:color w:val="000000"/>
          <w:sz w:val="32"/>
          <w:szCs w:val="32"/>
        </w:rPr>
        <w:t>）</w:t>
      </w:r>
      <w:r w:rsidRPr="00136FBE">
        <w:rPr>
          <w:rFonts w:ascii="仿宋" w:eastAsia="仿宋" w:hAnsi="仿宋" w:cs="仿宋" w:hint="eastAsia"/>
          <w:color w:val="000000"/>
          <w:sz w:val="32"/>
          <w:szCs w:val="32"/>
        </w:rPr>
        <w:lastRenderedPageBreak/>
        <w:t>是腹泻、出血（如青肿）、疲乏、骨骼肌肉疼痛、恶心、上呼吸道感染、咳嗽和皮疹。最常见的</w:t>
      </w: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级或</w:t>
      </w:r>
      <w:r w:rsidRPr="00136FBE">
        <w:rPr>
          <w:rFonts w:ascii="仿宋" w:eastAsia="仿宋" w:hAnsi="仿宋" w:cs="仿宋"/>
          <w:color w:val="000000"/>
          <w:sz w:val="32"/>
          <w:szCs w:val="32"/>
        </w:rPr>
        <w:t>4</w:t>
      </w:r>
      <w:r w:rsidRPr="00136FBE">
        <w:rPr>
          <w:rFonts w:ascii="仿宋" w:eastAsia="仿宋" w:hAnsi="仿宋" w:cs="仿宋" w:hint="eastAsia"/>
          <w:color w:val="000000"/>
          <w:sz w:val="32"/>
          <w:szCs w:val="32"/>
        </w:rPr>
        <w:t>级不良反应（≥</w:t>
      </w:r>
      <w:r w:rsidRPr="00136FBE">
        <w:rPr>
          <w:rFonts w:ascii="仿宋" w:eastAsia="仿宋" w:hAnsi="仿宋" w:cs="仿宋"/>
          <w:color w:val="000000"/>
          <w:sz w:val="32"/>
          <w:szCs w:val="32"/>
        </w:rPr>
        <w:t>5%</w:t>
      </w:r>
      <w:r w:rsidRPr="00136FBE">
        <w:rPr>
          <w:rFonts w:ascii="仿宋" w:eastAsia="仿宋" w:hAnsi="仿宋" w:cs="仿宋" w:hint="eastAsia"/>
          <w:color w:val="000000"/>
          <w:sz w:val="32"/>
          <w:szCs w:val="32"/>
        </w:rPr>
        <w:t>）是中性粒细胞减少症、血小板减少症、感染性肺炎和贫血。接受本药治疗的</w:t>
      </w:r>
      <w:r w:rsidRPr="00136FBE">
        <w:rPr>
          <w:rFonts w:ascii="仿宋" w:eastAsia="仿宋" w:hAnsi="仿宋" w:cs="仿宋"/>
          <w:color w:val="000000"/>
          <w:sz w:val="32"/>
          <w:szCs w:val="32"/>
        </w:rPr>
        <w:t>CLL</w:t>
      </w:r>
      <w:r w:rsidRPr="00136FBE">
        <w:rPr>
          <w:rFonts w:ascii="仿宋" w:eastAsia="仿宋" w:hAnsi="仿宋" w:cs="仿宋" w:hint="eastAsia"/>
          <w:color w:val="000000"/>
          <w:sz w:val="32"/>
          <w:szCs w:val="32"/>
        </w:rPr>
        <w:t>或</w:t>
      </w:r>
      <w:r w:rsidRPr="00136FBE">
        <w:rPr>
          <w:rFonts w:ascii="仿宋" w:eastAsia="仿宋" w:hAnsi="仿宋" w:cs="仿宋"/>
          <w:color w:val="000000"/>
          <w:sz w:val="32"/>
          <w:szCs w:val="32"/>
        </w:rPr>
        <w:t>SLL</w:t>
      </w:r>
      <w:r w:rsidRPr="00136FBE">
        <w:rPr>
          <w:rFonts w:ascii="仿宋" w:eastAsia="仿宋" w:hAnsi="仿宋" w:cs="仿宋" w:hint="eastAsia"/>
          <w:color w:val="000000"/>
          <w:sz w:val="32"/>
          <w:szCs w:val="32"/>
        </w:rPr>
        <w:t>患者最常发生的不良反应（≥</w:t>
      </w:r>
      <w:r w:rsidRPr="00136FBE">
        <w:rPr>
          <w:rFonts w:ascii="仿宋" w:eastAsia="仿宋" w:hAnsi="仿宋" w:cs="仿宋"/>
          <w:color w:val="000000"/>
          <w:sz w:val="32"/>
          <w:szCs w:val="32"/>
        </w:rPr>
        <w:t>20%</w:t>
      </w:r>
      <w:r w:rsidRPr="00136FBE">
        <w:rPr>
          <w:rFonts w:ascii="仿宋" w:eastAsia="仿宋" w:hAnsi="仿宋" w:cs="仿宋" w:hint="eastAsia"/>
          <w:color w:val="000000"/>
          <w:sz w:val="32"/>
          <w:szCs w:val="32"/>
        </w:rPr>
        <w:t>）是中性粒细胞减少症、血小板减少症、贫血、腹泻、骨骼肌肉疼痛、恶心、皮疹、青肿、疲乏、发热和出血。</w:t>
      </w:r>
    </w:p>
    <w:p w14:paraId="440B402D" w14:textId="77777777" w:rsidR="008E19C2" w:rsidRPr="00136FBE" w:rsidRDefault="008E19C2" w:rsidP="008E19C2">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 xml:space="preserve">五、利妥昔单抗 </w:t>
      </w:r>
      <w:r w:rsidR="00F111D5" w:rsidRPr="00136FBE">
        <w:rPr>
          <w:rFonts w:ascii="黑体" w:eastAsia="黑体" w:hAnsi="黑体" w:cs="黑体" w:hint="eastAsia"/>
          <w:sz w:val="32"/>
          <w:szCs w:val="32"/>
        </w:rPr>
        <w:t>R</w:t>
      </w:r>
      <w:r w:rsidRPr="00136FBE">
        <w:rPr>
          <w:rFonts w:ascii="黑体" w:eastAsia="黑体" w:hAnsi="黑体" w:cs="黑体"/>
          <w:sz w:val="32"/>
          <w:szCs w:val="32"/>
        </w:rPr>
        <w:t>ituximab</w:t>
      </w:r>
    </w:p>
    <w:p w14:paraId="7EA9E286" w14:textId="77777777" w:rsidR="008E19C2" w:rsidRPr="00136FBE" w:rsidRDefault="008E19C2" w:rsidP="008E19C2">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：注射液：</w:t>
      </w:r>
      <w:r w:rsidRPr="00136FBE">
        <w:rPr>
          <w:rFonts w:ascii="仿宋" w:eastAsia="仿宋" w:hAnsi="仿宋" w:cs="仿宋"/>
          <w:sz w:val="32"/>
          <w:szCs w:val="32"/>
        </w:rPr>
        <w:t>100mg</w:t>
      </w:r>
      <w:r w:rsidRPr="00136FBE">
        <w:rPr>
          <w:rFonts w:ascii="仿宋" w:eastAsia="仿宋" w:hAnsi="仿宋" w:cs="仿宋" w:hint="eastAsia"/>
          <w:sz w:val="32"/>
          <w:szCs w:val="32"/>
        </w:rPr>
        <w:t>（</w:t>
      </w:r>
      <w:r w:rsidRPr="00136FBE">
        <w:rPr>
          <w:rFonts w:ascii="仿宋" w:eastAsia="仿宋" w:hAnsi="仿宋" w:cs="仿宋"/>
          <w:sz w:val="32"/>
          <w:szCs w:val="32"/>
        </w:rPr>
        <w:t>10ml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r w:rsidRPr="00136FBE">
        <w:rPr>
          <w:rFonts w:ascii="仿宋" w:eastAsia="仿宋" w:hAnsi="仿宋" w:cs="仿宋"/>
          <w:sz w:val="32"/>
          <w:szCs w:val="32"/>
        </w:rPr>
        <w:t>500mg</w:t>
      </w:r>
      <w:r w:rsidRPr="00136FBE">
        <w:rPr>
          <w:rFonts w:ascii="仿宋" w:eastAsia="仿宋" w:hAnsi="仿宋" w:cs="仿宋" w:hint="eastAsia"/>
          <w:sz w:val="32"/>
          <w:szCs w:val="32"/>
        </w:rPr>
        <w:t>（</w:t>
      </w:r>
      <w:r w:rsidRPr="00136FBE">
        <w:rPr>
          <w:rFonts w:ascii="仿宋" w:eastAsia="仿宋" w:hAnsi="仿宋" w:cs="仿宋"/>
          <w:sz w:val="32"/>
          <w:szCs w:val="32"/>
        </w:rPr>
        <w:t>50ml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56642943" w14:textId="77777777" w:rsidR="008E19C2" w:rsidRPr="00136FBE" w:rsidRDefault="008E19C2" w:rsidP="008E19C2">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5B8FCF79" w14:textId="77777777" w:rsidR="008E19C2" w:rsidRPr="00136FBE"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有治疗指征的滤泡性非霍奇金淋巴瘤。</w:t>
      </w:r>
    </w:p>
    <w:p w14:paraId="37173085" w14:textId="77777777" w:rsidR="008E19C2" w:rsidRPr="00136FBE" w:rsidRDefault="008E19C2" w:rsidP="008E19C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w:t>
      </w:r>
      <w:r w:rsidRPr="00136FBE">
        <w:rPr>
          <w:rFonts w:ascii="仿宋" w:eastAsia="仿宋" w:hAnsi="仿宋" w:cs="仿宋"/>
          <w:sz w:val="32"/>
          <w:szCs w:val="32"/>
        </w:rPr>
        <w:t>.CD20</w:t>
      </w:r>
      <w:r w:rsidRPr="00136FBE">
        <w:rPr>
          <w:rFonts w:ascii="仿宋" w:eastAsia="仿宋" w:hAnsi="仿宋" w:cs="仿宋" w:hint="eastAsia"/>
          <w:sz w:val="32"/>
          <w:szCs w:val="32"/>
        </w:rPr>
        <w:t>阳性弥漫大</w:t>
      </w:r>
      <w:r w:rsidRPr="00136FBE">
        <w:rPr>
          <w:rFonts w:ascii="仿宋" w:eastAsia="仿宋" w:hAnsi="仿宋" w:cs="仿宋"/>
          <w:sz w:val="32"/>
          <w:szCs w:val="32"/>
        </w:rPr>
        <w:t>B</w:t>
      </w:r>
      <w:r w:rsidRPr="00136FBE">
        <w:rPr>
          <w:rFonts w:ascii="仿宋" w:eastAsia="仿宋" w:hAnsi="仿宋" w:cs="仿宋" w:hint="eastAsia"/>
          <w:sz w:val="32"/>
          <w:szCs w:val="32"/>
        </w:rPr>
        <w:t>细胞性非霍奇金淋巴瘤（</w:t>
      </w:r>
      <w:r w:rsidRPr="00136FBE">
        <w:rPr>
          <w:rFonts w:ascii="仿宋" w:eastAsia="仿宋" w:hAnsi="仿宋" w:cs="仿宋"/>
          <w:sz w:val="32"/>
          <w:szCs w:val="32"/>
        </w:rPr>
        <w:t>DLBCL</w:t>
      </w:r>
      <w:r w:rsidRPr="00136FBE">
        <w:rPr>
          <w:rFonts w:ascii="仿宋" w:eastAsia="仿宋" w:hAnsi="仿宋" w:cs="仿宋" w:hint="eastAsia"/>
          <w:sz w:val="32"/>
          <w:szCs w:val="32"/>
        </w:rPr>
        <w:t>）。</w:t>
      </w:r>
    </w:p>
    <w:p w14:paraId="0FAD36CF" w14:textId="77777777" w:rsidR="008E19C2" w:rsidRPr="00136FBE"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3.单药用于利妥昔单抗联合化疗后达完全或部分缓解后滤泡性淋巴瘤（FL）患者的维持治疗。</w:t>
      </w:r>
    </w:p>
    <w:p w14:paraId="031C6A89" w14:textId="77777777" w:rsidR="008E19C2"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4.联合氟达拉滨和环磷酰胺（FC）用于初治复发性/难治性慢性淋巴细胞白血病（CLL）的治疗。</w:t>
      </w:r>
    </w:p>
    <w:p w14:paraId="742FBA3F" w14:textId="77777777" w:rsidR="008E19C2" w:rsidRPr="00136FBE" w:rsidRDefault="008E19C2" w:rsidP="008E19C2">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6608F0BB" w14:textId="77777777" w:rsidR="008E19C2" w:rsidRPr="00136FBE"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接受</w:t>
      </w:r>
      <w:r w:rsidRPr="00136FBE">
        <w:rPr>
          <w:rFonts w:ascii="仿宋" w:eastAsia="仿宋" w:hAnsi="仿宋" w:cs="仿宋" w:hint="eastAsia"/>
          <w:color w:val="000000"/>
          <w:sz w:val="32"/>
          <w:szCs w:val="32"/>
        </w:rPr>
        <w:t>利妥昔单抗治疗后最常见的不良反应是输注相关反应，</w:t>
      </w:r>
      <w:r w:rsidRPr="00136FBE">
        <w:rPr>
          <w:rFonts w:ascii="仿宋" w:eastAsia="仿宋" w:hAnsi="仿宋" w:cs="仿宋" w:hint="eastAsia"/>
          <w:sz w:val="32"/>
          <w:szCs w:val="32"/>
        </w:rPr>
        <w:t>主要在首次输注时发生，</w:t>
      </w:r>
      <w:r w:rsidRPr="00136FBE">
        <w:rPr>
          <w:rFonts w:ascii="仿宋" w:eastAsia="仿宋" w:hAnsi="仿宋" w:cs="仿宋" w:hint="eastAsia"/>
          <w:color w:val="000000"/>
          <w:sz w:val="32"/>
          <w:szCs w:val="32"/>
        </w:rPr>
        <w:t>症状可表现为：恶心、瘙痒、发热、风疹</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皮疹、畏寒、寒战、喷嚏、血管神经性水肿、咽喉刺激、咳嗽和支气管痉挛，同时伴有或不伴有与药物治疗相关的低血压或高血压</w:t>
      </w:r>
      <w:r w:rsidRPr="00136FBE">
        <w:rPr>
          <w:rFonts w:ascii="仿宋" w:eastAsia="仿宋" w:hAnsi="仿宋" w:cs="仿宋" w:hint="eastAsia"/>
          <w:sz w:val="32"/>
          <w:szCs w:val="32"/>
        </w:rPr>
        <w:t>。每次滴注利妥昔单抗前应预</w:t>
      </w:r>
      <w:r w:rsidRPr="00136FBE">
        <w:rPr>
          <w:rFonts w:ascii="仿宋" w:eastAsia="仿宋" w:hAnsi="仿宋" w:cs="仿宋" w:hint="eastAsia"/>
          <w:sz w:val="32"/>
          <w:szCs w:val="32"/>
        </w:rPr>
        <w:lastRenderedPageBreak/>
        <w:t>先使用抗过敏药物。如果所使用的治疗方案不包括糖皮质激素时，还应该预先使用糖皮质激素。</w:t>
      </w:r>
    </w:p>
    <w:p w14:paraId="000831CB" w14:textId="77777777" w:rsidR="008E19C2" w:rsidRPr="00136FBE"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color w:val="000000"/>
          <w:sz w:val="32"/>
          <w:szCs w:val="32"/>
        </w:rPr>
        <w:t>在接受利妥昔单抗和抑制细胞增殖药物化疗的患者中，已报告发生乙型肝炎再激活的病例。应在开始利妥昔单抗治疗前对所有患者根据当地指南进行乙肝病毒（</w:t>
      </w:r>
      <w:r w:rsidRPr="00136FBE">
        <w:rPr>
          <w:rFonts w:ascii="仿宋" w:eastAsia="仿宋" w:hAnsi="仿宋" w:cs="仿宋"/>
          <w:color w:val="000000"/>
          <w:sz w:val="32"/>
          <w:szCs w:val="32"/>
        </w:rPr>
        <w:t>HBV</w:t>
      </w:r>
      <w:r w:rsidRPr="00136FBE">
        <w:rPr>
          <w:rFonts w:ascii="仿宋" w:eastAsia="仿宋" w:hAnsi="仿宋" w:cs="仿宋" w:hint="eastAsia"/>
          <w:color w:val="000000"/>
          <w:sz w:val="32"/>
          <w:szCs w:val="32"/>
        </w:rPr>
        <w:t>）的筛查，至少应包括乙肝表面抗原（</w:t>
      </w:r>
      <w:r w:rsidRPr="00136FBE">
        <w:rPr>
          <w:rFonts w:ascii="仿宋" w:eastAsia="仿宋" w:hAnsi="仿宋" w:cs="仿宋"/>
          <w:color w:val="000000"/>
          <w:sz w:val="32"/>
          <w:szCs w:val="32"/>
        </w:rPr>
        <w:t>HBsAg</w:t>
      </w:r>
      <w:r w:rsidRPr="00136FBE">
        <w:rPr>
          <w:rFonts w:ascii="仿宋" w:eastAsia="仿宋" w:hAnsi="仿宋" w:cs="仿宋" w:hint="eastAsia"/>
          <w:color w:val="000000"/>
          <w:sz w:val="32"/>
          <w:szCs w:val="32"/>
        </w:rPr>
        <w:t>）和乙肝核心抗体（</w:t>
      </w:r>
      <w:proofErr w:type="spellStart"/>
      <w:r w:rsidRPr="00136FBE">
        <w:rPr>
          <w:rFonts w:ascii="仿宋" w:eastAsia="仿宋" w:hAnsi="仿宋" w:cs="仿宋"/>
          <w:color w:val="000000"/>
          <w:sz w:val="32"/>
          <w:szCs w:val="32"/>
        </w:rPr>
        <w:t>HBcAb</w:t>
      </w:r>
      <w:proofErr w:type="spellEnd"/>
      <w:r w:rsidRPr="00136FBE">
        <w:rPr>
          <w:rFonts w:ascii="仿宋" w:eastAsia="仿宋" w:hAnsi="仿宋" w:cs="仿宋" w:hint="eastAsia"/>
          <w:color w:val="000000"/>
          <w:sz w:val="32"/>
          <w:szCs w:val="32"/>
        </w:rPr>
        <w:t>）</w:t>
      </w:r>
      <w:r w:rsidRPr="00136FBE">
        <w:rPr>
          <w:rFonts w:ascii="仿宋" w:eastAsia="仿宋" w:hAnsi="仿宋" w:cs="仿宋" w:hint="eastAsia"/>
          <w:color w:val="000000"/>
          <w:w w:val="97"/>
          <w:sz w:val="32"/>
          <w:szCs w:val="32"/>
        </w:rPr>
        <w:t>指标。不应对活动性乙肝患者使用利妥昔单抗进行治疗。</w:t>
      </w:r>
    </w:p>
    <w:p w14:paraId="556AF5E3" w14:textId="77777777" w:rsidR="008E19C2" w:rsidRPr="00136FBE"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禁用于严重活动性感染或免疫应答严重损伤（如低球蛋白血症，</w:t>
      </w:r>
      <w:r w:rsidRPr="00136FBE">
        <w:rPr>
          <w:rFonts w:ascii="仿宋" w:eastAsia="仿宋" w:hAnsi="仿宋" w:cs="仿宋"/>
          <w:sz w:val="32"/>
          <w:szCs w:val="32"/>
        </w:rPr>
        <w:t>CD4</w:t>
      </w:r>
      <w:r w:rsidRPr="00136FBE">
        <w:rPr>
          <w:rFonts w:ascii="仿宋" w:eastAsia="仿宋" w:hAnsi="仿宋" w:cs="仿宋" w:hint="eastAsia"/>
          <w:sz w:val="32"/>
          <w:szCs w:val="32"/>
        </w:rPr>
        <w:t>或</w:t>
      </w:r>
      <w:r w:rsidRPr="00136FBE">
        <w:rPr>
          <w:rFonts w:ascii="仿宋" w:eastAsia="仿宋" w:hAnsi="仿宋" w:cs="仿宋"/>
          <w:sz w:val="32"/>
          <w:szCs w:val="32"/>
        </w:rPr>
        <w:t>CD8</w:t>
      </w:r>
      <w:r w:rsidRPr="00136FBE">
        <w:rPr>
          <w:rFonts w:ascii="仿宋" w:eastAsia="仿宋" w:hAnsi="仿宋" w:cs="仿宋" w:hint="eastAsia"/>
          <w:sz w:val="32"/>
          <w:szCs w:val="32"/>
        </w:rPr>
        <w:t>细胞计数严重下降）患者及严重心衰</w:t>
      </w:r>
      <w:r w:rsidRPr="00136FBE">
        <w:rPr>
          <w:rFonts w:ascii="仿宋" w:eastAsia="仿宋" w:hAnsi="仿宋" w:cs="仿宋"/>
          <w:color w:val="000000"/>
          <w:sz w:val="32"/>
          <w:szCs w:val="32"/>
        </w:rPr>
        <w:t>[</w:t>
      </w:r>
      <w:r w:rsidRPr="00136FBE">
        <w:rPr>
          <w:rFonts w:ascii="仿宋" w:eastAsia="仿宋" w:hAnsi="仿宋" w:cs="仿宋" w:hint="eastAsia"/>
          <w:color w:val="000000"/>
          <w:sz w:val="32"/>
          <w:szCs w:val="32"/>
        </w:rPr>
        <w:t>纽约心脏病学会（</w:t>
      </w:r>
      <w:r w:rsidRPr="00136FBE">
        <w:rPr>
          <w:rFonts w:ascii="仿宋" w:eastAsia="仿宋" w:hAnsi="仿宋" w:cs="仿宋"/>
          <w:color w:val="000000"/>
          <w:sz w:val="32"/>
          <w:szCs w:val="32"/>
        </w:rPr>
        <w:t>NYHA</w:t>
      </w:r>
      <w:r w:rsidRPr="00136FBE">
        <w:rPr>
          <w:rFonts w:ascii="仿宋" w:eastAsia="仿宋" w:hAnsi="仿宋" w:cs="仿宋" w:hint="eastAsia"/>
          <w:color w:val="000000"/>
          <w:sz w:val="32"/>
          <w:szCs w:val="32"/>
        </w:rPr>
        <w:t>）</w:t>
      </w:r>
      <w:r w:rsidRPr="00136FBE">
        <w:rPr>
          <w:rFonts w:ascii="仿宋" w:eastAsia="仿宋" w:hAnsi="仿宋" w:cs="仿宋" w:hint="eastAsia"/>
          <w:sz w:val="32"/>
          <w:szCs w:val="32"/>
        </w:rPr>
        <w:t>分类</w:t>
      </w:r>
      <w:bookmarkStart w:id="1" w:name="_Hlk59362002"/>
      <w:r w:rsidRPr="00136FBE">
        <w:rPr>
          <w:rFonts w:ascii="仿宋" w:eastAsia="仿宋" w:hAnsi="仿宋" w:cs="仿宋" w:hint="eastAsia"/>
          <w:sz w:val="32"/>
          <w:szCs w:val="32"/>
        </w:rPr>
        <w:t>Ⅳ</w:t>
      </w:r>
      <w:bookmarkEnd w:id="1"/>
      <w:r w:rsidRPr="00136FBE">
        <w:rPr>
          <w:rFonts w:ascii="仿宋" w:eastAsia="仿宋" w:hAnsi="仿宋" w:cs="仿宋" w:hint="eastAsia"/>
          <w:sz w:val="32"/>
          <w:szCs w:val="32"/>
        </w:rPr>
        <w:t>级</w:t>
      </w:r>
      <w:r w:rsidRPr="00136FBE">
        <w:rPr>
          <w:rFonts w:ascii="仿宋" w:eastAsia="仿宋" w:hAnsi="仿宋" w:cs="仿宋"/>
          <w:color w:val="000000"/>
          <w:sz w:val="32"/>
          <w:szCs w:val="32"/>
        </w:rPr>
        <w:t>]</w:t>
      </w:r>
      <w:r w:rsidRPr="00136FBE">
        <w:rPr>
          <w:rFonts w:ascii="仿宋" w:eastAsia="仿宋" w:hAnsi="仿宋" w:cs="仿宋" w:hint="eastAsia"/>
          <w:sz w:val="32"/>
          <w:szCs w:val="32"/>
        </w:rPr>
        <w:t>患者；妊娠期间禁止利妥昔单抗与甲氨蝶呤联合用药。</w:t>
      </w:r>
    </w:p>
    <w:p w14:paraId="0367E7B4" w14:textId="77777777" w:rsidR="008E19C2" w:rsidRPr="00136FBE" w:rsidRDefault="008E19C2" w:rsidP="008E19C2">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4.</w:t>
      </w:r>
      <w:r w:rsidRPr="00136FBE">
        <w:rPr>
          <w:rFonts w:ascii="仿宋" w:eastAsia="仿宋" w:hAnsi="仿宋" w:cs="仿宋" w:hint="eastAsia"/>
          <w:color w:val="000000"/>
          <w:sz w:val="32"/>
          <w:szCs w:val="32"/>
        </w:rPr>
        <w:t>利妥昔单抗给药需要严格遵循说明书用法用量，尤其需要注意起始滴速的控制。</w:t>
      </w:r>
    </w:p>
    <w:p w14:paraId="44308429" w14:textId="77777777" w:rsidR="008E19C2" w:rsidRPr="00136FBE" w:rsidRDefault="008E19C2" w:rsidP="008E19C2">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5.对用药患者进行严密监护，监测是否发生细胞因子释放综合征及肿瘤溶解综合征。</w:t>
      </w:r>
    </w:p>
    <w:p w14:paraId="144AF356" w14:textId="77777777" w:rsidR="008E19C2" w:rsidRDefault="008E19C2" w:rsidP="008E19C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w:t>
      </w:r>
      <w:r w:rsidRPr="00136FBE">
        <w:rPr>
          <w:rFonts w:ascii="仿宋" w:eastAsia="仿宋" w:hAnsi="仿宋" w:cs="仿宋"/>
          <w:sz w:val="32"/>
          <w:szCs w:val="32"/>
        </w:rPr>
        <w:t>.</w:t>
      </w:r>
      <w:r w:rsidRPr="00136FBE">
        <w:rPr>
          <w:rFonts w:ascii="仿宋" w:eastAsia="仿宋" w:hAnsi="仿宋" w:cs="仿宋" w:hint="eastAsia"/>
          <w:sz w:val="32"/>
          <w:szCs w:val="32"/>
        </w:rPr>
        <w:t>预先存在肺功能不全或肿瘤肺浸润的患者必须进行胸部影像学检查。</w:t>
      </w:r>
    </w:p>
    <w:p w14:paraId="1A65E6F0" w14:textId="77777777" w:rsidR="00576AAB" w:rsidRPr="00136FBE" w:rsidRDefault="00576AAB" w:rsidP="008E19C2">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7.使用利妥昔单抗</w:t>
      </w:r>
      <w:r w:rsidRPr="008810E7">
        <w:rPr>
          <w:rFonts w:ascii="仿宋" w:eastAsia="仿宋" w:hAnsi="仿宋" w:cs="Times New Roman" w:hint="eastAsia"/>
          <w:sz w:val="32"/>
          <w:szCs w:val="32"/>
        </w:rPr>
        <w:t>治疗的患者不宜使用活病毒疫苗进行接种，可以接受非活疫苗的接种，但对非活疫苗的应答率可能会下降。</w:t>
      </w:r>
    </w:p>
    <w:p w14:paraId="52593D9C" w14:textId="77777777" w:rsidR="00FA16A9" w:rsidRPr="00136FBE" w:rsidRDefault="00FA16A9" w:rsidP="00F111D5">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六、维布妥昔单抗</w:t>
      </w:r>
      <w:r w:rsidRPr="00136FBE">
        <w:rPr>
          <w:rFonts w:ascii="黑体" w:eastAsia="黑体" w:hAnsi="黑体"/>
          <w:color w:val="000000"/>
          <w:sz w:val="32"/>
          <w:szCs w:val="32"/>
        </w:rPr>
        <w:t xml:space="preserve">Brentuximab </w:t>
      </w:r>
      <w:proofErr w:type="spellStart"/>
      <w:r w:rsidRPr="00136FBE">
        <w:rPr>
          <w:rFonts w:ascii="黑体" w:eastAsia="黑体" w:hAnsi="黑体"/>
          <w:color w:val="000000"/>
          <w:sz w:val="32"/>
          <w:szCs w:val="32"/>
        </w:rPr>
        <w:t>Vedotin</w:t>
      </w:r>
      <w:proofErr w:type="spellEnd"/>
    </w:p>
    <w:p w14:paraId="449D5AE5" w14:textId="77777777" w:rsidR="00FA16A9" w:rsidRPr="00136FBE" w:rsidRDefault="00FA16A9" w:rsidP="00FA16A9">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lastRenderedPageBreak/>
        <w:t>制剂与规格：</w:t>
      </w:r>
      <w:r w:rsidRPr="00136FBE">
        <w:rPr>
          <w:rFonts w:ascii="仿宋" w:eastAsia="仿宋" w:hAnsi="仿宋" w:hint="eastAsia"/>
          <w:color w:val="000000"/>
          <w:sz w:val="32"/>
          <w:szCs w:val="32"/>
        </w:rPr>
        <w:t>粉针剂：</w:t>
      </w:r>
      <w:r w:rsidRPr="00136FBE">
        <w:rPr>
          <w:rFonts w:ascii="仿宋" w:eastAsia="仿宋" w:hAnsi="仿宋"/>
          <w:color w:val="000000"/>
          <w:sz w:val="32"/>
          <w:szCs w:val="32"/>
        </w:rPr>
        <w:t>5</w:t>
      </w:r>
      <w:r w:rsidRPr="00136FBE">
        <w:rPr>
          <w:rFonts w:ascii="仿宋" w:eastAsia="仿宋" w:hAnsi="仿宋" w:hint="eastAsia"/>
          <w:color w:val="000000"/>
          <w:sz w:val="32"/>
          <w:szCs w:val="32"/>
        </w:rPr>
        <w:t>0mg/瓶</w:t>
      </w:r>
    </w:p>
    <w:p w14:paraId="63B4D922" w14:textId="77777777" w:rsidR="00061FA5" w:rsidRPr="00061FA5" w:rsidRDefault="00061FA5" w:rsidP="00061FA5">
      <w:pPr>
        <w:spacing w:line="360" w:lineRule="auto"/>
        <w:ind w:firstLineChars="200" w:firstLine="643"/>
        <w:rPr>
          <w:rFonts w:ascii="仿宋" w:eastAsia="仿宋" w:hAnsi="仿宋"/>
          <w:bCs/>
          <w:color w:val="000000"/>
          <w:sz w:val="32"/>
          <w:szCs w:val="32"/>
        </w:rPr>
      </w:pPr>
      <w:r>
        <w:rPr>
          <w:rFonts w:ascii="仿宋" w:eastAsia="仿宋" w:hAnsi="仿宋" w:hint="eastAsia"/>
          <w:b/>
          <w:color w:val="000000"/>
          <w:sz w:val="32"/>
          <w:szCs w:val="32"/>
        </w:rPr>
        <w:t>适应证</w:t>
      </w:r>
      <w:r w:rsidRPr="00061FA5">
        <w:rPr>
          <w:rFonts w:ascii="仿宋" w:eastAsia="仿宋" w:hAnsi="仿宋" w:hint="eastAsia"/>
          <w:b/>
          <w:color w:val="000000"/>
          <w:sz w:val="32"/>
          <w:szCs w:val="32"/>
        </w:rPr>
        <w:t>：</w:t>
      </w:r>
      <w:r w:rsidR="005B7187" w:rsidRPr="005B7187">
        <w:rPr>
          <w:rFonts w:ascii="仿宋" w:eastAsia="仿宋" w:hAnsi="仿宋" w:hint="eastAsia"/>
          <w:bCs/>
          <w:color w:val="000000"/>
          <w:sz w:val="32"/>
          <w:szCs w:val="32"/>
        </w:rPr>
        <w:t>复发性或难治性系统性间变性大细胞淋巴瘤（</w:t>
      </w:r>
      <w:proofErr w:type="spellStart"/>
      <w:r w:rsidR="005B7187" w:rsidRPr="005B7187">
        <w:rPr>
          <w:rFonts w:ascii="仿宋" w:eastAsia="仿宋" w:hAnsi="仿宋"/>
          <w:bCs/>
          <w:color w:val="000000"/>
          <w:sz w:val="32"/>
          <w:szCs w:val="32"/>
        </w:rPr>
        <w:t>sALCL</w:t>
      </w:r>
      <w:proofErr w:type="spellEnd"/>
      <w:r w:rsidR="005B7187" w:rsidRPr="005B7187">
        <w:rPr>
          <w:rFonts w:ascii="仿宋" w:eastAsia="仿宋" w:hAnsi="仿宋" w:hint="eastAsia"/>
          <w:bCs/>
          <w:color w:val="000000"/>
          <w:sz w:val="32"/>
          <w:szCs w:val="32"/>
        </w:rPr>
        <w:t>）患者。复发性或难治性经典型霍奇金淋巴瘤（</w:t>
      </w:r>
      <w:proofErr w:type="spellStart"/>
      <w:r w:rsidR="005B7187" w:rsidRPr="005B7187">
        <w:rPr>
          <w:rFonts w:ascii="仿宋" w:eastAsia="仿宋" w:hAnsi="仿宋"/>
          <w:bCs/>
          <w:color w:val="000000"/>
          <w:sz w:val="32"/>
          <w:szCs w:val="32"/>
        </w:rPr>
        <w:t>cHL</w:t>
      </w:r>
      <w:proofErr w:type="spellEnd"/>
      <w:r w:rsidR="005B7187" w:rsidRPr="005B7187">
        <w:rPr>
          <w:rFonts w:ascii="仿宋" w:eastAsia="仿宋" w:hAnsi="仿宋" w:hint="eastAsia"/>
          <w:bCs/>
          <w:color w:val="000000"/>
          <w:sz w:val="32"/>
          <w:szCs w:val="32"/>
        </w:rPr>
        <w:t>）患者。</w:t>
      </w:r>
    </w:p>
    <w:p w14:paraId="2BFAD44E" w14:textId="77777777" w:rsidR="00061FA5" w:rsidRPr="00061FA5" w:rsidRDefault="00061FA5" w:rsidP="00061FA5">
      <w:pPr>
        <w:spacing w:line="360" w:lineRule="auto"/>
        <w:ind w:firstLineChars="200" w:firstLine="643"/>
        <w:rPr>
          <w:rFonts w:ascii="仿宋" w:eastAsia="仿宋" w:hAnsi="仿宋"/>
          <w:b/>
          <w:color w:val="000000"/>
          <w:sz w:val="32"/>
          <w:szCs w:val="32"/>
        </w:rPr>
      </w:pPr>
      <w:r w:rsidRPr="00061FA5">
        <w:rPr>
          <w:rFonts w:ascii="仿宋" w:eastAsia="仿宋" w:hAnsi="仿宋" w:hint="eastAsia"/>
          <w:b/>
          <w:color w:val="000000"/>
          <w:sz w:val="32"/>
          <w:szCs w:val="32"/>
        </w:rPr>
        <w:t>合理用药要点：</w:t>
      </w:r>
    </w:p>
    <w:p w14:paraId="50AF7DD7"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1.周围神经病变：维</w:t>
      </w:r>
      <w:r w:rsidRPr="005B7187">
        <w:rPr>
          <w:rFonts w:ascii="仿宋" w:eastAsia="仿宋" w:hAnsi="仿宋" w:hint="eastAsia"/>
          <w:bCs/>
          <w:color w:val="000000"/>
          <w:sz w:val="32"/>
          <w:szCs w:val="32"/>
        </w:rPr>
        <w:t>布妥昔单抗治疗可引起感觉和运动性周围神经病变且具有累积效应，可能需要推迟给药或终止治疗。</w:t>
      </w:r>
    </w:p>
    <w:p w14:paraId="777B8236"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2.输</w:t>
      </w:r>
      <w:r w:rsidRPr="005B7187">
        <w:rPr>
          <w:rFonts w:ascii="仿宋" w:eastAsia="仿宋" w:hAnsi="仿宋" w:hint="eastAsia"/>
          <w:bCs/>
          <w:color w:val="000000"/>
          <w:sz w:val="32"/>
          <w:szCs w:val="32"/>
        </w:rPr>
        <w:t>注相关反应：单药治疗输液反应发生率为</w:t>
      </w:r>
      <w:r w:rsidRPr="005B7187">
        <w:rPr>
          <w:rFonts w:ascii="仿宋" w:eastAsia="仿宋" w:hAnsi="仿宋"/>
          <w:bCs/>
          <w:color w:val="000000"/>
          <w:sz w:val="32"/>
          <w:szCs w:val="32"/>
        </w:rPr>
        <w:t>13%，3级事件发生率9.8%。超敏反应发生少见，如发生应立即终止输注并给予相应处理。</w:t>
      </w:r>
    </w:p>
    <w:p w14:paraId="583F3B0A"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3.血液毒性：每次给药前，应</w:t>
      </w:r>
      <w:r w:rsidRPr="005B7187">
        <w:rPr>
          <w:rFonts w:ascii="仿宋" w:eastAsia="仿宋" w:hAnsi="仿宋" w:hint="eastAsia"/>
          <w:bCs/>
          <w:color w:val="000000"/>
          <w:sz w:val="32"/>
          <w:szCs w:val="32"/>
        </w:rPr>
        <w:t>监测全血细胞计数。</w:t>
      </w:r>
    </w:p>
    <w:p w14:paraId="0CC8DE5B"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4.肿瘤溶解综合征：肿瘤增殖迅速和肿瘤负荷高的患者发生肿瘤溶解综合征的风险较高，应密切监测并采取适当的措施。</w:t>
      </w:r>
    </w:p>
    <w:p w14:paraId="1106F5DE"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5.严重皮肤反应：包括Stevens-Johnson综合征（SJS）和中毒性表皮坏死松解症（TEN）。若发生应</w:t>
      </w:r>
      <w:r w:rsidR="00061FA5">
        <w:rPr>
          <w:rFonts w:ascii="仿宋" w:eastAsia="仿宋" w:hAnsi="仿宋" w:hint="eastAsia"/>
          <w:bCs/>
          <w:color w:val="000000"/>
          <w:sz w:val="32"/>
          <w:szCs w:val="32"/>
        </w:rPr>
        <w:t>终止</w:t>
      </w:r>
      <w:r w:rsidRPr="005B7187">
        <w:rPr>
          <w:rFonts w:ascii="仿宋" w:eastAsia="仿宋" w:hAnsi="仿宋" w:hint="eastAsia"/>
          <w:bCs/>
          <w:color w:val="000000"/>
          <w:sz w:val="32"/>
          <w:szCs w:val="32"/>
        </w:rPr>
        <w:t>维布妥昔单抗给药，并应提供适当治疗。</w:t>
      </w:r>
    </w:p>
    <w:p w14:paraId="531310F3"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6.肺毒性：包括肺炎、间质性肺病和急性呼吸窘迫综合征（ARDS），应监测并避免与博来霉素合并使用。</w:t>
      </w:r>
    </w:p>
    <w:p w14:paraId="1D7E292C" w14:textId="77777777" w:rsidR="00061FA5" w:rsidRP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7.维</w:t>
      </w:r>
      <w:r w:rsidRPr="005B7187">
        <w:rPr>
          <w:rFonts w:ascii="仿宋" w:eastAsia="仿宋" w:hAnsi="仿宋" w:hint="eastAsia"/>
          <w:bCs/>
          <w:color w:val="000000"/>
          <w:sz w:val="32"/>
          <w:szCs w:val="32"/>
        </w:rPr>
        <w:t>布妥昔单抗与</w:t>
      </w:r>
      <w:r w:rsidRPr="005B7187">
        <w:rPr>
          <w:rFonts w:ascii="仿宋" w:eastAsia="仿宋" w:hAnsi="仿宋"/>
          <w:bCs/>
          <w:color w:val="000000"/>
          <w:sz w:val="32"/>
          <w:szCs w:val="32"/>
        </w:rPr>
        <w:t>CYP3A4途径代谢的药物存在相互作用（CYP3A4抑制剂/诱导剂）：如与酮康</w:t>
      </w:r>
      <w:r w:rsidRPr="005B7187">
        <w:rPr>
          <w:rFonts w:ascii="仿宋" w:eastAsia="仿宋" w:hAnsi="仿宋" w:hint="eastAsia"/>
          <w:bCs/>
          <w:color w:val="000000"/>
          <w:sz w:val="32"/>
          <w:szCs w:val="32"/>
        </w:rPr>
        <w:t>唑可能会提高中性粒</w:t>
      </w:r>
      <w:r w:rsidRPr="005B7187">
        <w:rPr>
          <w:rFonts w:ascii="仿宋" w:eastAsia="仿宋" w:hAnsi="仿宋" w:hint="eastAsia"/>
          <w:bCs/>
          <w:color w:val="000000"/>
          <w:sz w:val="32"/>
          <w:szCs w:val="32"/>
        </w:rPr>
        <w:lastRenderedPageBreak/>
        <w:t>细胞减少症的发生率；利福平对维布妥昔单抗的血浆暴露量没有影响。</w:t>
      </w:r>
    </w:p>
    <w:p w14:paraId="0BFE503C" w14:textId="77777777" w:rsidR="00061FA5"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8.重度肾损害患者的毒性增加：主要是其共价</w:t>
      </w:r>
      <w:r w:rsidRPr="005B7187">
        <w:rPr>
          <w:rFonts w:ascii="仿宋" w:eastAsia="仿宋" w:hAnsi="仿宋" w:hint="eastAsia"/>
          <w:bCs/>
          <w:color w:val="000000"/>
          <w:sz w:val="32"/>
          <w:szCs w:val="32"/>
        </w:rPr>
        <w:t>耦连的微管抑制剂单甲基澳瑞他汀</w:t>
      </w:r>
      <w:r w:rsidRPr="005B7187">
        <w:rPr>
          <w:rFonts w:ascii="仿宋" w:eastAsia="仿宋" w:hAnsi="仿宋"/>
          <w:bCs/>
          <w:color w:val="000000"/>
          <w:sz w:val="32"/>
          <w:szCs w:val="32"/>
        </w:rPr>
        <w:t>E</w:t>
      </w:r>
      <w:r w:rsidR="00061FA5">
        <w:rPr>
          <w:rFonts w:ascii="仿宋" w:eastAsia="仿宋" w:hAnsi="仿宋" w:hint="eastAsia"/>
          <w:bCs/>
          <w:color w:val="000000"/>
          <w:sz w:val="32"/>
          <w:szCs w:val="32"/>
        </w:rPr>
        <w:t>（</w:t>
      </w:r>
      <w:r w:rsidRPr="005B7187">
        <w:rPr>
          <w:rFonts w:ascii="仿宋" w:eastAsia="仿宋" w:hAnsi="仿宋"/>
          <w:bCs/>
          <w:color w:val="000000"/>
          <w:sz w:val="32"/>
          <w:szCs w:val="32"/>
        </w:rPr>
        <w:t>MMAE</w:t>
      </w:r>
      <w:r w:rsidR="00061FA5">
        <w:rPr>
          <w:rFonts w:ascii="仿宋" w:eastAsia="仿宋" w:hAnsi="仿宋" w:hint="eastAsia"/>
          <w:bCs/>
          <w:color w:val="000000"/>
          <w:sz w:val="32"/>
          <w:szCs w:val="32"/>
        </w:rPr>
        <w:t>）</w:t>
      </w:r>
      <w:r w:rsidRPr="005B7187">
        <w:rPr>
          <w:rFonts w:ascii="仿宋" w:eastAsia="仿宋" w:hAnsi="仿宋" w:hint="eastAsia"/>
          <w:bCs/>
          <w:color w:val="000000"/>
          <w:sz w:val="32"/>
          <w:szCs w:val="32"/>
        </w:rPr>
        <w:t>集聚引起，重度肾损害</w:t>
      </w:r>
      <w:r w:rsidRPr="005B7187">
        <w:rPr>
          <w:rFonts w:ascii="仿宋" w:eastAsia="仿宋" w:hAnsi="仿宋"/>
          <w:bCs/>
          <w:color w:val="000000"/>
          <w:sz w:val="32"/>
          <w:szCs w:val="32"/>
        </w:rPr>
        <w:t>[肌酐清除率（</w:t>
      </w:r>
      <w:proofErr w:type="spellStart"/>
      <w:r w:rsidRPr="005B7187">
        <w:rPr>
          <w:rFonts w:ascii="仿宋" w:eastAsia="仿宋" w:hAnsi="仿宋"/>
          <w:bCs/>
          <w:color w:val="000000"/>
          <w:sz w:val="32"/>
          <w:szCs w:val="32"/>
        </w:rPr>
        <w:t>CrCL</w:t>
      </w:r>
      <w:proofErr w:type="spellEnd"/>
      <w:r w:rsidRPr="005B7187">
        <w:rPr>
          <w:rFonts w:ascii="仿宋" w:eastAsia="仿宋" w:hAnsi="仿宋" w:hint="eastAsia"/>
          <w:bCs/>
          <w:color w:val="000000"/>
          <w:sz w:val="32"/>
          <w:szCs w:val="32"/>
        </w:rPr>
        <w:t>）</w:t>
      </w:r>
      <w:r w:rsidR="00061FA5" w:rsidRPr="00136FBE">
        <w:rPr>
          <w:rFonts w:ascii="仿宋" w:eastAsia="仿宋" w:hAnsi="仿宋" w:cs="仿宋" w:hint="eastAsia"/>
          <w:color w:val="000000"/>
          <w:sz w:val="32"/>
          <w:szCs w:val="32"/>
        </w:rPr>
        <w:t>＜</w:t>
      </w:r>
      <w:r w:rsidRPr="005B7187">
        <w:rPr>
          <w:rFonts w:ascii="仿宋" w:eastAsia="仿宋" w:hAnsi="仿宋"/>
          <w:bCs/>
          <w:color w:val="000000"/>
          <w:sz w:val="32"/>
          <w:szCs w:val="32"/>
        </w:rPr>
        <w:t>30ml</w:t>
      </w:r>
      <w:r w:rsidR="006019E9">
        <w:rPr>
          <w:rFonts w:ascii="仿宋" w:eastAsia="仿宋" w:hAnsi="仿宋" w:hint="eastAsia"/>
          <w:bCs/>
          <w:color w:val="000000"/>
          <w:sz w:val="32"/>
          <w:szCs w:val="32"/>
        </w:rPr>
        <w:t>/分钟</w:t>
      </w:r>
      <w:r w:rsidRPr="005B7187">
        <w:rPr>
          <w:rFonts w:ascii="仿宋" w:eastAsia="仿宋" w:hAnsi="仿宋"/>
          <w:bCs/>
          <w:color w:val="000000"/>
          <w:sz w:val="32"/>
          <w:szCs w:val="32"/>
        </w:rPr>
        <w:t>]患者避免使用维</w:t>
      </w:r>
      <w:r w:rsidRPr="005B7187">
        <w:rPr>
          <w:rFonts w:ascii="仿宋" w:eastAsia="仿宋" w:hAnsi="仿宋" w:hint="eastAsia"/>
          <w:bCs/>
          <w:color w:val="000000"/>
          <w:sz w:val="32"/>
          <w:szCs w:val="32"/>
        </w:rPr>
        <w:t>布妥昔单抗。</w:t>
      </w:r>
    </w:p>
    <w:p w14:paraId="3658B9B5" w14:textId="77777777" w:rsidR="00061FA5" w:rsidRPr="00061FA5" w:rsidRDefault="00061FA5" w:rsidP="00061FA5">
      <w:pPr>
        <w:spacing w:line="360" w:lineRule="auto"/>
        <w:ind w:firstLineChars="200" w:firstLine="640"/>
        <w:rPr>
          <w:rFonts w:ascii="仿宋" w:eastAsia="仿宋" w:hAnsi="仿宋"/>
          <w:bCs/>
          <w:color w:val="000000"/>
          <w:sz w:val="32"/>
          <w:szCs w:val="32"/>
        </w:rPr>
      </w:pPr>
      <w:r w:rsidRPr="00061FA5">
        <w:rPr>
          <w:rFonts w:ascii="仿宋" w:eastAsia="仿宋" w:hAnsi="仿宋" w:hint="eastAsia"/>
          <w:bCs/>
          <w:color w:val="000000"/>
          <w:sz w:val="32"/>
          <w:szCs w:val="32"/>
        </w:rPr>
        <w:t>9.美国FDA获批的其他适应证：先前接受过系统治疗的原发性皮肤间变性大细胞淋巴瘤或CD30阳性蕈样真菌病成人患者；联合化疗治疗初治</w:t>
      </w:r>
      <w:r w:rsidRPr="00136FBE">
        <w:rPr>
          <w:rFonts w:ascii="仿宋" w:eastAsia="仿宋" w:hAnsi="仿宋" w:hint="eastAsia"/>
          <w:color w:val="000000"/>
          <w:sz w:val="32"/>
          <w:szCs w:val="32"/>
        </w:rPr>
        <w:t>Ⅲ</w:t>
      </w:r>
      <w:r w:rsidRPr="00061FA5">
        <w:rPr>
          <w:rFonts w:ascii="仿宋" w:eastAsia="仿宋" w:hAnsi="仿宋" w:hint="eastAsia"/>
          <w:bCs/>
          <w:color w:val="000000"/>
          <w:sz w:val="32"/>
          <w:szCs w:val="32"/>
        </w:rPr>
        <w:t>或</w:t>
      </w:r>
      <w:r w:rsidRPr="00136FBE">
        <w:rPr>
          <w:rFonts w:ascii="仿宋" w:eastAsia="仿宋" w:hAnsi="仿宋" w:cs="仿宋" w:hint="eastAsia"/>
          <w:sz w:val="32"/>
          <w:szCs w:val="32"/>
        </w:rPr>
        <w:t>Ⅳ</w:t>
      </w:r>
      <w:r w:rsidRPr="00061FA5">
        <w:rPr>
          <w:rFonts w:ascii="仿宋" w:eastAsia="仿宋" w:hAnsi="仿宋" w:hint="eastAsia"/>
          <w:bCs/>
          <w:color w:val="000000"/>
          <w:sz w:val="32"/>
          <w:szCs w:val="32"/>
        </w:rPr>
        <w:t>期经典型霍奇金淋巴瘤、初治系统性间变性大细胞淋巴瘤或其他表达CD30的外周T细胞淋巴瘤患者。</w:t>
      </w:r>
    </w:p>
    <w:p w14:paraId="04D9192B" w14:textId="77777777" w:rsidR="00B23A40" w:rsidRPr="00136FBE" w:rsidRDefault="009E6080">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七</w:t>
      </w:r>
      <w:r w:rsidR="00DD1A0D" w:rsidRPr="00136FBE">
        <w:rPr>
          <w:rFonts w:ascii="黑体" w:eastAsia="黑体" w:hAnsi="黑体" w:cs="黑体" w:hint="eastAsia"/>
          <w:sz w:val="32"/>
          <w:szCs w:val="32"/>
        </w:rPr>
        <w:t xml:space="preserve">、西达本胺 </w:t>
      </w:r>
      <w:proofErr w:type="spellStart"/>
      <w:r w:rsidR="00F111D5" w:rsidRPr="00136FBE">
        <w:rPr>
          <w:rFonts w:ascii="黑体" w:eastAsia="黑体" w:hAnsi="黑体" w:cs="黑体" w:hint="eastAsia"/>
          <w:sz w:val="32"/>
          <w:szCs w:val="32"/>
        </w:rPr>
        <w:t>C</w:t>
      </w:r>
      <w:r w:rsidR="00DD1A0D" w:rsidRPr="00136FBE">
        <w:rPr>
          <w:rFonts w:ascii="黑体" w:eastAsia="黑体" w:hAnsi="黑体" w:cs="黑体"/>
          <w:sz w:val="32"/>
          <w:szCs w:val="32"/>
        </w:rPr>
        <w:t>hidamide</w:t>
      </w:r>
      <w:proofErr w:type="spellEnd"/>
    </w:p>
    <w:p w14:paraId="17A733E1"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 xml:space="preserve">5mg </w:t>
      </w:r>
    </w:p>
    <w:p w14:paraId="047E0D7E"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color w:val="000000"/>
          <w:sz w:val="32"/>
          <w:szCs w:val="32"/>
        </w:rPr>
        <w:t>适用于既往至少接受过一次全身化疗的复发或难治的外周</w:t>
      </w:r>
      <w:r w:rsidRPr="00136FBE">
        <w:rPr>
          <w:rFonts w:ascii="仿宋" w:eastAsia="仿宋" w:hAnsi="仿宋" w:cs="仿宋"/>
          <w:color w:val="000000"/>
          <w:sz w:val="32"/>
          <w:szCs w:val="32"/>
        </w:rPr>
        <w:t>T</w:t>
      </w:r>
      <w:r w:rsidRPr="00136FBE">
        <w:rPr>
          <w:rFonts w:ascii="仿宋" w:eastAsia="仿宋" w:hAnsi="仿宋" w:cs="仿宋" w:hint="eastAsia"/>
          <w:color w:val="000000"/>
          <w:sz w:val="32"/>
          <w:szCs w:val="32"/>
        </w:rPr>
        <w:t>细胞淋巴瘤（</w:t>
      </w:r>
      <w:r w:rsidRPr="00136FBE">
        <w:rPr>
          <w:rFonts w:ascii="仿宋" w:eastAsia="仿宋" w:hAnsi="仿宋" w:cs="仿宋"/>
          <w:color w:val="000000"/>
          <w:sz w:val="32"/>
          <w:szCs w:val="32"/>
        </w:rPr>
        <w:t>PTCL</w:t>
      </w:r>
      <w:r w:rsidRPr="00136FBE">
        <w:rPr>
          <w:rFonts w:ascii="仿宋" w:eastAsia="仿宋" w:hAnsi="仿宋" w:cs="仿宋" w:hint="eastAsia"/>
          <w:color w:val="000000"/>
          <w:sz w:val="32"/>
          <w:szCs w:val="32"/>
        </w:rPr>
        <w:t>）患者。</w:t>
      </w:r>
    </w:p>
    <w:p w14:paraId="72D84A93"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6EB1E542" w14:textId="77777777" w:rsidR="00B23A40" w:rsidRPr="00136FBE" w:rsidRDefault="00DD1A0D">
      <w:pPr>
        <w:spacing w:line="360" w:lineRule="auto"/>
        <w:ind w:firstLineChars="200" w:firstLine="640"/>
        <w:rPr>
          <w:rFonts w:ascii="仿宋" w:eastAsia="仿宋" w:hAnsi="仿宋" w:cs="Times New Roman"/>
          <w:color w:val="000000"/>
          <w:sz w:val="32"/>
          <w:szCs w:val="32"/>
        </w:rPr>
      </w:pPr>
      <w:r w:rsidRPr="00136FBE">
        <w:rPr>
          <w:rFonts w:ascii="仿宋" w:eastAsia="仿宋" w:hAnsi="仿宋" w:cs="仿宋"/>
          <w:sz w:val="32"/>
          <w:szCs w:val="32"/>
        </w:rPr>
        <w:t>1.</w:t>
      </w:r>
      <w:r w:rsidRPr="00136FBE">
        <w:rPr>
          <w:rFonts w:ascii="仿宋" w:eastAsia="仿宋" w:hAnsi="仿宋" w:cs="仿宋" w:hint="eastAsia"/>
          <w:color w:val="000000"/>
          <w:sz w:val="32"/>
          <w:szCs w:val="32"/>
        </w:rPr>
        <w:t>成人推荐每次服药</w:t>
      </w:r>
      <w:r w:rsidRPr="00136FBE">
        <w:rPr>
          <w:rFonts w:ascii="仿宋" w:eastAsia="仿宋" w:hAnsi="仿宋" w:cs="仿宋"/>
          <w:color w:val="000000"/>
          <w:sz w:val="32"/>
          <w:szCs w:val="32"/>
        </w:rPr>
        <w:t>30mg</w:t>
      </w:r>
      <w:r w:rsidRPr="00136FBE">
        <w:rPr>
          <w:rFonts w:ascii="仿宋" w:eastAsia="仿宋" w:hAnsi="仿宋" w:cs="仿宋" w:hint="eastAsia"/>
          <w:color w:val="000000"/>
          <w:sz w:val="32"/>
          <w:szCs w:val="32"/>
        </w:rPr>
        <w:t>，每周服药两次，两次服药间隔不应少于</w:t>
      </w: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天（如周一和周四、周二和周五、周三和周六等），早餐后</w:t>
      </w:r>
      <w:r w:rsidRPr="00136FBE">
        <w:rPr>
          <w:rFonts w:ascii="仿宋" w:eastAsia="仿宋" w:hAnsi="仿宋" w:cs="仿宋"/>
          <w:color w:val="000000"/>
          <w:sz w:val="32"/>
          <w:szCs w:val="32"/>
        </w:rPr>
        <w:t>30</w:t>
      </w:r>
      <w:r w:rsidRPr="00136FBE">
        <w:rPr>
          <w:rFonts w:ascii="仿宋" w:eastAsia="仿宋" w:hAnsi="仿宋" w:cs="仿宋" w:hint="eastAsia"/>
          <w:color w:val="000000"/>
          <w:sz w:val="32"/>
          <w:szCs w:val="32"/>
        </w:rPr>
        <w:t>分钟服用。若病情未进展或未出现不能耐受的不良反应，建议持续服药。</w:t>
      </w:r>
    </w:p>
    <w:p w14:paraId="39B4F88F" w14:textId="77777777" w:rsidR="00B23A40" w:rsidRPr="00136FBE" w:rsidRDefault="00DD1A0D">
      <w:pPr>
        <w:spacing w:line="360" w:lineRule="auto"/>
        <w:ind w:firstLineChars="200" w:firstLine="640"/>
        <w:rPr>
          <w:rFonts w:ascii="仿宋" w:eastAsia="仿宋" w:hAnsi="仿宋" w:cs="Times New Roman"/>
          <w:color w:val="000000"/>
          <w:sz w:val="32"/>
          <w:szCs w:val="32"/>
        </w:rPr>
      </w:pPr>
      <w:r w:rsidRPr="00136FBE">
        <w:rPr>
          <w:rFonts w:ascii="仿宋" w:eastAsia="仿宋" w:hAnsi="仿宋" w:cs="仿宋"/>
          <w:color w:val="000000"/>
          <w:sz w:val="32"/>
          <w:szCs w:val="32"/>
        </w:rPr>
        <w:t>2.</w:t>
      </w:r>
      <w:r w:rsidRPr="00136FBE">
        <w:rPr>
          <w:rFonts w:ascii="仿宋" w:eastAsia="仿宋" w:hAnsi="仿宋" w:cs="仿宋" w:hint="eastAsia"/>
          <w:color w:val="000000"/>
          <w:sz w:val="32"/>
          <w:szCs w:val="32"/>
        </w:rPr>
        <w:t>剂量调整：</w:t>
      </w: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级或</w:t>
      </w:r>
      <w:r w:rsidRPr="00136FBE">
        <w:rPr>
          <w:rFonts w:ascii="仿宋" w:eastAsia="仿宋" w:hAnsi="仿宋" w:cs="仿宋"/>
          <w:color w:val="000000"/>
          <w:sz w:val="32"/>
          <w:szCs w:val="32"/>
        </w:rPr>
        <w:t>4</w:t>
      </w:r>
      <w:r w:rsidRPr="00136FBE">
        <w:rPr>
          <w:rFonts w:ascii="仿宋" w:eastAsia="仿宋" w:hAnsi="仿宋" w:cs="仿宋" w:hint="eastAsia"/>
          <w:color w:val="000000"/>
          <w:sz w:val="32"/>
          <w:szCs w:val="32"/>
        </w:rPr>
        <w:t>级中性粒细胞减少（中性粒细胞计数＜</w:t>
      </w:r>
      <w:r w:rsidRPr="00136FBE">
        <w:rPr>
          <w:rFonts w:ascii="仿宋" w:eastAsia="仿宋" w:hAnsi="仿宋" w:cs="仿宋"/>
          <w:color w:val="000000"/>
          <w:sz w:val="32"/>
          <w:szCs w:val="32"/>
        </w:rPr>
        <w:t>1.0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color w:val="000000"/>
          <w:sz w:val="32"/>
          <w:szCs w:val="32"/>
        </w:rPr>
        <w:t>）、血小板减少（血小板计数＜</w:t>
      </w:r>
      <w:r w:rsidRPr="00136FBE">
        <w:rPr>
          <w:rFonts w:ascii="仿宋" w:eastAsia="仿宋" w:hAnsi="仿宋" w:cs="仿宋"/>
          <w:color w:val="000000"/>
          <w:sz w:val="32"/>
          <w:szCs w:val="32"/>
        </w:rPr>
        <w:t>50.0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color w:val="000000"/>
          <w:sz w:val="32"/>
          <w:szCs w:val="32"/>
        </w:rPr>
        <w:t>）、贫血（血红蛋白降低至</w:t>
      </w:r>
      <w:bookmarkStart w:id="2" w:name="_Hlk59362033"/>
      <w:r w:rsidRPr="00136FBE">
        <w:rPr>
          <w:rFonts w:ascii="仿宋" w:eastAsia="仿宋" w:hAnsi="仿宋" w:cs="仿宋" w:hint="eastAsia"/>
          <w:color w:val="000000"/>
          <w:sz w:val="32"/>
          <w:szCs w:val="32"/>
        </w:rPr>
        <w:t>＜</w:t>
      </w:r>
      <w:bookmarkEnd w:id="2"/>
      <w:r w:rsidRPr="00136FBE">
        <w:rPr>
          <w:rFonts w:ascii="仿宋" w:eastAsia="仿宋" w:hAnsi="仿宋" w:cs="仿宋"/>
          <w:color w:val="000000"/>
          <w:sz w:val="32"/>
          <w:szCs w:val="32"/>
        </w:rPr>
        <w:t>8.0g/dl</w:t>
      </w:r>
      <w:r w:rsidRPr="00136FBE">
        <w:rPr>
          <w:rFonts w:ascii="仿宋" w:eastAsia="仿宋" w:hAnsi="仿宋" w:cs="仿宋" w:hint="eastAsia"/>
          <w:color w:val="000000"/>
          <w:sz w:val="32"/>
          <w:szCs w:val="32"/>
        </w:rPr>
        <w:t>）时，暂停用药。</w:t>
      </w:r>
      <w:r w:rsidRPr="00136FBE">
        <w:rPr>
          <w:rFonts w:ascii="仿宋" w:eastAsia="仿宋" w:hAnsi="仿宋" w:cs="仿宋" w:hint="eastAsia"/>
          <w:color w:val="000000"/>
          <w:sz w:val="32"/>
          <w:szCs w:val="32"/>
        </w:rPr>
        <w:lastRenderedPageBreak/>
        <w:t>待中性粒细胞绝对值恢复至≥</w:t>
      </w:r>
      <w:r w:rsidRPr="00136FBE">
        <w:rPr>
          <w:rFonts w:ascii="仿宋" w:eastAsia="仿宋" w:hAnsi="仿宋" w:cs="仿宋"/>
          <w:color w:val="000000"/>
          <w:sz w:val="32"/>
          <w:szCs w:val="32"/>
        </w:rPr>
        <w:t>1.5</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color w:val="000000"/>
          <w:sz w:val="32"/>
          <w:szCs w:val="32"/>
        </w:rPr>
        <w:t>、血小板恢复至≥</w:t>
      </w:r>
      <w:r w:rsidRPr="00136FBE">
        <w:rPr>
          <w:rFonts w:ascii="仿宋" w:eastAsia="仿宋" w:hAnsi="仿宋" w:cs="仿宋"/>
          <w:color w:val="000000"/>
          <w:sz w:val="32"/>
          <w:szCs w:val="32"/>
        </w:rPr>
        <w:t>75.0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color w:val="000000"/>
          <w:sz w:val="32"/>
          <w:szCs w:val="32"/>
        </w:rPr>
        <w:t>、血红蛋白恢复至≥</w:t>
      </w:r>
      <w:r w:rsidRPr="00136FBE">
        <w:rPr>
          <w:rFonts w:ascii="仿宋" w:eastAsia="仿宋" w:hAnsi="仿宋" w:cs="仿宋"/>
          <w:color w:val="000000"/>
          <w:sz w:val="32"/>
          <w:szCs w:val="32"/>
        </w:rPr>
        <w:t>9.0g/dl</w:t>
      </w:r>
      <w:r w:rsidRPr="00136FBE">
        <w:rPr>
          <w:rFonts w:ascii="仿宋" w:eastAsia="仿宋" w:hAnsi="仿宋" w:cs="仿宋" w:hint="eastAsia"/>
          <w:color w:val="000000"/>
          <w:sz w:val="32"/>
          <w:szCs w:val="32"/>
        </w:rPr>
        <w:t>，并经连续两次检查确认，可继续治疗。如之前的不良反应为</w:t>
      </w: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级，恢复用药时可采用原剂量或剂量降低至</w:t>
      </w:r>
      <w:r w:rsidRPr="00136FBE">
        <w:rPr>
          <w:rFonts w:ascii="仿宋" w:eastAsia="仿宋" w:hAnsi="仿宋" w:cs="仿宋"/>
          <w:color w:val="000000"/>
          <w:sz w:val="32"/>
          <w:szCs w:val="32"/>
        </w:rPr>
        <w:t>20mg/</w:t>
      </w:r>
      <w:r w:rsidRPr="00136FBE">
        <w:rPr>
          <w:rFonts w:ascii="仿宋" w:eastAsia="仿宋" w:hAnsi="仿宋" w:cs="仿宋" w:hint="eastAsia"/>
          <w:color w:val="000000"/>
          <w:sz w:val="32"/>
          <w:szCs w:val="32"/>
        </w:rPr>
        <w:t>次；如之前的不良反应为</w:t>
      </w:r>
      <w:r w:rsidRPr="00136FBE">
        <w:rPr>
          <w:rFonts w:ascii="仿宋" w:eastAsia="仿宋" w:hAnsi="仿宋" w:cs="仿宋"/>
          <w:color w:val="000000"/>
          <w:sz w:val="32"/>
          <w:szCs w:val="32"/>
        </w:rPr>
        <w:t>4</w:t>
      </w:r>
      <w:r w:rsidRPr="00136FBE">
        <w:rPr>
          <w:rFonts w:ascii="仿宋" w:eastAsia="仿宋" w:hAnsi="仿宋" w:cs="仿宋" w:hint="eastAsia"/>
          <w:color w:val="000000"/>
          <w:sz w:val="32"/>
          <w:szCs w:val="32"/>
        </w:rPr>
        <w:t>级，恢复用药时剂量应降低至</w:t>
      </w:r>
      <w:r w:rsidRPr="00136FBE">
        <w:rPr>
          <w:rFonts w:ascii="仿宋" w:eastAsia="仿宋" w:hAnsi="仿宋" w:cs="仿宋"/>
          <w:color w:val="000000"/>
          <w:sz w:val="32"/>
          <w:szCs w:val="32"/>
        </w:rPr>
        <w:t>20mg/</w:t>
      </w:r>
      <w:r w:rsidRPr="00136FBE">
        <w:rPr>
          <w:rFonts w:ascii="仿宋" w:eastAsia="仿宋" w:hAnsi="仿宋" w:cs="仿宋" w:hint="eastAsia"/>
          <w:color w:val="000000"/>
          <w:sz w:val="32"/>
          <w:szCs w:val="32"/>
        </w:rPr>
        <w:t>次。</w:t>
      </w:r>
    </w:p>
    <w:p w14:paraId="6EB048DC" w14:textId="77777777" w:rsidR="00B23A40" w:rsidRPr="00136FBE" w:rsidRDefault="00DD1A0D">
      <w:pPr>
        <w:spacing w:line="360" w:lineRule="auto"/>
        <w:ind w:firstLineChars="200" w:firstLine="640"/>
        <w:rPr>
          <w:rFonts w:ascii="仿宋" w:eastAsia="仿宋" w:hAnsi="仿宋" w:cs="Times New Roman"/>
          <w:color w:val="000000"/>
          <w:sz w:val="32"/>
          <w:szCs w:val="32"/>
        </w:rPr>
      </w:pPr>
      <w:r w:rsidRPr="00136FBE">
        <w:rPr>
          <w:rFonts w:ascii="仿宋" w:eastAsia="仿宋" w:hAnsi="仿宋" w:cs="仿宋"/>
          <w:color w:val="000000"/>
          <w:sz w:val="32"/>
          <w:szCs w:val="32"/>
        </w:rPr>
        <w:t>3.</w:t>
      </w:r>
      <w:r w:rsidRPr="00136FBE">
        <w:rPr>
          <w:rFonts w:ascii="仿宋" w:eastAsia="仿宋" w:hAnsi="仿宋" w:cs="仿宋" w:hint="eastAsia"/>
          <w:color w:val="000000"/>
          <w:sz w:val="32"/>
          <w:szCs w:val="32"/>
        </w:rPr>
        <w:t>常见不良反应有：血液学不良反应，包括血小板计数减少、白细胞或中性粒细胞计数减少、血红蛋白降低；全身不良反应，包括乏力、发热；胃肠道不良反应，包括腹泻、恶心和呕吐；代谢及营养系统不良反应，包括食欲下降、低钾血症和低钙血症；以及头晕、皮疹等；极少数患者心电图会出现</w:t>
      </w:r>
      <w:r w:rsidRPr="00136FBE">
        <w:rPr>
          <w:rFonts w:ascii="仿宋" w:eastAsia="仿宋" w:hAnsi="仿宋" w:cs="仿宋"/>
          <w:color w:val="000000"/>
          <w:sz w:val="32"/>
          <w:szCs w:val="32"/>
        </w:rPr>
        <w:t>QT</w:t>
      </w:r>
      <w:r w:rsidRPr="00136FBE">
        <w:rPr>
          <w:rFonts w:ascii="仿宋" w:eastAsia="仿宋" w:hAnsi="仿宋" w:cs="仿宋" w:hint="eastAsia"/>
          <w:color w:val="000000"/>
          <w:sz w:val="32"/>
          <w:szCs w:val="32"/>
        </w:rPr>
        <w:t>间期延长。</w:t>
      </w:r>
    </w:p>
    <w:p w14:paraId="7BE801A0" w14:textId="77777777" w:rsidR="00B23A40" w:rsidRPr="00136FBE" w:rsidRDefault="00DD1A0D">
      <w:pPr>
        <w:spacing w:line="360" w:lineRule="auto"/>
        <w:ind w:firstLineChars="200" w:firstLine="640"/>
        <w:rPr>
          <w:rFonts w:ascii="仿宋" w:eastAsia="仿宋" w:hAnsi="仿宋" w:cs="Times New Roman"/>
          <w:color w:val="000000"/>
          <w:sz w:val="32"/>
          <w:szCs w:val="32"/>
        </w:rPr>
      </w:pPr>
      <w:r w:rsidRPr="00136FBE">
        <w:rPr>
          <w:rFonts w:ascii="仿宋" w:eastAsia="仿宋" w:hAnsi="仿宋" w:cs="仿宋"/>
          <w:color w:val="000000"/>
          <w:sz w:val="32"/>
          <w:szCs w:val="32"/>
        </w:rPr>
        <w:t>4.</w:t>
      </w:r>
      <w:r w:rsidRPr="00136FBE">
        <w:rPr>
          <w:rFonts w:ascii="仿宋" w:eastAsia="仿宋" w:hAnsi="仿宋" w:cs="仿宋" w:hint="eastAsia"/>
          <w:color w:val="000000"/>
          <w:sz w:val="32"/>
          <w:szCs w:val="32"/>
        </w:rPr>
        <w:t>妊娠期女性患者、严重心功能不全患者（</w:t>
      </w:r>
      <w:r w:rsidRPr="00136FBE">
        <w:rPr>
          <w:rFonts w:ascii="仿宋" w:eastAsia="仿宋" w:hAnsi="仿宋" w:cs="仿宋"/>
          <w:color w:val="000000"/>
          <w:sz w:val="32"/>
          <w:szCs w:val="32"/>
        </w:rPr>
        <w:t>NYHA</w:t>
      </w:r>
      <w:r w:rsidRPr="00136FBE">
        <w:rPr>
          <w:rFonts w:ascii="仿宋" w:eastAsia="仿宋" w:hAnsi="仿宋" w:cs="仿宋" w:hint="eastAsia"/>
          <w:color w:val="000000"/>
          <w:sz w:val="32"/>
          <w:szCs w:val="32"/>
        </w:rPr>
        <w:t xml:space="preserve">心功能不全分级Ⅳ级）禁用。 </w:t>
      </w:r>
    </w:p>
    <w:p w14:paraId="0E9351F0" w14:textId="77777777" w:rsidR="00B23A40" w:rsidRPr="00136FBE" w:rsidRDefault="009E6080">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八</w:t>
      </w:r>
      <w:r w:rsidR="00DD1A0D" w:rsidRPr="00136FBE">
        <w:rPr>
          <w:rFonts w:ascii="黑体" w:eastAsia="黑体" w:hAnsi="黑体" w:cs="黑体" w:hint="eastAsia"/>
          <w:sz w:val="32"/>
          <w:szCs w:val="32"/>
        </w:rPr>
        <w:t xml:space="preserve">、硼替佐米 </w:t>
      </w:r>
      <w:r w:rsidR="00F111D5" w:rsidRPr="00136FBE">
        <w:rPr>
          <w:rFonts w:ascii="黑体" w:eastAsia="黑体" w:hAnsi="黑体" w:cs="黑体" w:hint="eastAsia"/>
          <w:sz w:val="32"/>
          <w:szCs w:val="32"/>
        </w:rPr>
        <w:t>B</w:t>
      </w:r>
      <w:r w:rsidR="00DD1A0D" w:rsidRPr="00136FBE">
        <w:rPr>
          <w:rFonts w:ascii="黑体" w:eastAsia="黑体" w:hAnsi="黑体" w:cs="黑体"/>
          <w:sz w:val="32"/>
          <w:szCs w:val="32"/>
        </w:rPr>
        <w:t>ortezomib</w:t>
      </w:r>
    </w:p>
    <w:p w14:paraId="44BB0C93"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注射剂：</w:t>
      </w:r>
      <w:r w:rsidRPr="00136FBE">
        <w:rPr>
          <w:rFonts w:ascii="仿宋" w:eastAsia="仿宋" w:hAnsi="仿宋" w:cs="仿宋"/>
          <w:sz w:val="32"/>
          <w:szCs w:val="32"/>
        </w:rPr>
        <w:t>1mg</w:t>
      </w:r>
      <w:r w:rsidRPr="00136FBE">
        <w:rPr>
          <w:rFonts w:ascii="仿宋" w:eastAsia="仿宋" w:hAnsi="仿宋" w:cs="仿宋" w:hint="eastAsia"/>
          <w:sz w:val="32"/>
          <w:szCs w:val="32"/>
        </w:rPr>
        <w:t>、</w:t>
      </w:r>
      <w:r w:rsidRPr="00136FBE">
        <w:rPr>
          <w:rFonts w:ascii="仿宋" w:eastAsia="仿宋" w:hAnsi="仿宋" w:cs="仿宋"/>
          <w:sz w:val="32"/>
          <w:szCs w:val="32"/>
        </w:rPr>
        <w:t xml:space="preserve">3.5mg </w:t>
      </w:r>
    </w:p>
    <w:p w14:paraId="56DE3992"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26536B89"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00A95D4A" w:rsidRPr="00A95D4A">
        <w:rPr>
          <w:rFonts w:ascii="仿宋" w:eastAsia="仿宋" w:hAnsi="仿宋" w:cs="仿宋" w:hint="eastAsia"/>
          <w:sz w:val="32"/>
          <w:szCs w:val="32"/>
        </w:rPr>
        <w:t>复发或难治性套细胞淋巴瘤或既往未经治疗的且不适合接受造血干细胞栘植的套细胞淋</w:t>
      </w:r>
      <w:r w:rsidR="00A95D4A">
        <w:rPr>
          <w:rFonts w:ascii="仿宋" w:eastAsia="仿宋" w:hAnsi="仿宋" w:cs="仿宋" w:hint="eastAsia"/>
          <w:sz w:val="32"/>
          <w:szCs w:val="32"/>
        </w:rPr>
        <w:t>巴瘤成人患者</w:t>
      </w:r>
      <w:r w:rsidRPr="00136FBE">
        <w:rPr>
          <w:rFonts w:ascii="仿宋" w:eastAsia="仿宋" w:hAnsi="仿宋" w:cs="仿宋" w:hint="eastAsia"/>
          <w:sz w:val="32"/>
          <w:szCs w:val="32"/>
        </w:rPr>
        <w:t>。</w:t>
      </w:r>
    </w:p>
    <w:p w14:paraId="695123E9" w14:textId="77777777" w:rsidR="00B23A40" w:rsidRPr="00136FBE" w:rsidRDefault="00DD1A0D">
      <w:pPr>
        <w:spacing w:line="360" w:lineRule="auto"/>
        <w:ind w:firstLineChars="200" w:firstLine="640"/>
        <w:rPr>
          <w:rFonts w:ascii="仿宋" w:eastAsia="仿宋" w:hAnsi="仿宋" w:cs="Times New Roman"/>
          <w:b/>
          <w:bCs/>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初治及复发难治性多发性骨髓瘤。</w:t>
      </w:r>
    </w:p>
    <w:p w14:paraId="68DB83E0" w14:textId="77777777" w:rsidR="00B23A40" w:rsidRPr="00136FBE" w:rsidRDefault="00DD1A0D">
      <w:pPr>
        <w:spacing w:line="360" w:lineRule="auto"/>
        <w:ind w:firstLineChars="200" w:firstLine="643"/>
        <w:rPr>
          <w:rFonts w:ascii="仿宋" w:eastAsia="仿宋" w:hAnsi="仿宋" w:cs="仿宋"/>
          <w:b/>
          <w:bCs/>
          <w:sz w:val="32"/>
          <w:szCs w:val="32"/>
        </w:rPr>
      </w:pPr>
      <w:r w:rsidRPr="00136FBE">
        <w:rPr>
          <w:rFonts w:ascii="仿宋" w:eastAsia="仿宋" w:hAnsi="仿宋" w:cs="仿宋" w:hint="eastAsia"/>
          <w:b/>
          <w:bCs/>
          <w:sz w:val="32"/>
          <w:szCs w:val="32"/>
        </w:rPr>
        <w:t>合理用药要点：</w:t>
      </w:r>
    </w:p>
    <w:p w14:paraId="485F073C"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bCs/>
          <w:sz w:val="32"/>
          <w:szCs w:val="32"/>
        </w:rPr>
        <w:t>1.</w:t>
      </w:r>
      <w:r w:rsidRPr="00136FBE">
        <w:rPr>
          <w:rFonts w:ascii="仿宋" w:eastAsia="仿宋" w:hAnsi="仿宋" w:cs="仿宋" w:hint="eastAsia"/>
          <w:sz w:val="32"/>
          <w:szCs w:val="32"/>
        </w:rPr>
        <w:t>在接受本品治疗的患者中，应考虑抗病毒药物的预防治疗，降低带状疱疹再激活的风险。</w:t>
      </w:r>
    </w:p>
    <w:p w14:paraId="00A560FE"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lastRenderedPageBreak/>
        <w:t>2.本品含有甘露醇，在患者初次试用药物时，需要询问过敏史及既往病史，警惕高肿瘤负荷患者发生肿瘤溶解综合征。</w:t>
      </w:r>
    </w:p>
    <w:p w14:paraId="63869BBB"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3.计算给药体积需仔细。</w:t>
      </w:r>
    </w:p>
    <w:p w14:paraId="3E113C43"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4.药物具有细胞毒性，配制时需要戴手套和防护用品，避免皮肤直接接触。</w:t>
      </w:r>
    </w:p>
    <w:p w14:paraId="3641A7CA"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5</w:t>
      </w:r>
      <w:r w:rsidRPr="00136FBE">
        <w:rPr>
          <w:rFonts w:ascii="仿宋" w:eastAsia="仿宋" w:hAnsi="仿宋" w:cs="仿宋"/>
          <w:sz w:val="32"/>
          <w:szCs w:val="32"/>
        </w:rPr>
        <w:t>.</w:t>
      </w:r>
      <w:r w:rsidRPr="00136FBE">
        <w:rPr>
          <w:rFonts w:ascii="仿宋" w:eastAsia="仿宋" w:hAnsi="仿宋" w:cs="仿宋" w:hint="eastAsia"/>
          <w:sz w:val="32"/>
          <w:szCs w:val="32"/>
        </w:rPr>
        <w:t>肾功能损伤患者使用无需减量，进行透析的患者应在透析后使用。</w:t>
      </w:r>
    </w:p>
    <w:p w14:paraId="0FCEB4DF" w14:textId="77777777" w:rsidR="00B23A40" w:rsidRPr="00136FBE" w:rsidRDefault="00DD1A0D">
      <w:pPr>
        <w:spacing w:line="360" w:lineRule="auto"/>
        <w:ind w:firstLineChars="200" w:firstLine="640"/>
        <w:rPr>
          <w:rFonts w:ascii="仿宋" w:eastAsia="仿宋" w:hAnsi="仿宋" w:cs="仿宋"/>
          <w:b/>
          <w:bCs/>
          <w:sz w:val="32"/>
          <w:szCs w:val="32"/>
        </w:rPr>
      </w:pPr>
      <w:r w:rsidRPr="00136FBE">
        <w:rPr>
          <w:rFonts w:ascii="仿宋" w:eastAsia="仿宋" w:hAnsi="仿宋" w:cs="仿宋" w:hint="eastAsia"/>
          <w:sz w:val="32"/>
          <w:szCs w:val="32"/>
        </w:rPr>
        <w:t>6.不良反应包括神经系统症状（包括肠梗阻）、病毒激活、血液系统骨髓抑制等，少见情况还可以出现急性肺损伤、胰腺炎等。</w:t>
      </w:r>
    </w:p>
    <w:p w14:paraId="07FD833E"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7</w:t>
      </w:r>
      <w:r w:rsidRPr="00136FBE">
        <w:rPr>
          <w:rFonts w:ascii="仿宋" w:eastAsia="仿宋" w:hAnsi="仿宋" w:cs="仿宋"/>
          <w:sz w:val="32"/>
          <w:szCs w:val="32"/>
        </w:rPr>
        <w:t>.</w:t>
      </w:r>
      <w:r w:rsidRPr="00136FBE">
        <w:rPr>
          <w:rFonts w:ascii="仿宋" w:eastAsia="仿宋" w:hAnsi="仿宋" w:cs="仿宋" w:hint="eastAsia"/>
          <w:sz w:val="32"/>
          <w:szCs w:val="32"/>
        </w:rPr>
        <w:t>不推荐联用强效的</w:t>
      </w:r>
      <w:r w:rsidRPr="00136FBE">
        <w:rPr>
          <w:rFonts w:ascii="仿宋" w:eastAsia="仿宋" w:hAnsi="仿宋" w:cs="仿宋"/>
          <w:sz w:val="32"/>
          <w:szCs w:val="32"/>
        </w:rPr>
        <w:t>CYP3A4</w:t>
      </w:r>
      <w:r w:rsidRPr="00136FBE">
        <w:rPr>
          <w:rFonts w:ascii="仿宋" w:eastAsia="仿宋" w:hAnsi="仿宋" w:cs="仿宋" w:hint="eastAsia"/>
          <w:sz w:val="32"/>
          <w:szCs w:val="32"/>
        </w:rPr>
        <w:t>抑制剂。如果无法避免合并用药，则应对毒性反应进行密切监测。</w:t>
      </w:r>
    </w:p>
    <w:p w14:paraId="23A085CA"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8</w:t>
      </w:r>
      <w:r w:rsidRPr="00136FBE">
        <w:rPr>
          <w:rFonts w:ascii="仿宋" w:eastAsia="仿宋" w:hAnsi="仿宋" w:cs="仿宋"/>
          <w:sz w:val="32"/>
          <w:szCs w:val="32"/>
        </w:rPr>
        <w:t>.</w:t>
      </w:r>
      <w:r w:rsidRPr="00136FBE">
        <w:rPr>
          <w:rFonts w:ascii="仿宋" w:eastAsia="仿宋" w:hAnsi="仿宋" w:cs="仿宋" w:hint="eastAsia"/>
          <w:sz w:val="32"/>
          <w:szCs w:val="32"/>
        </w:rPr>
        <w:t>硼替佐米皮下注射具有与静脉推注同样的疗效，且神经病变发生率更低。</w:t>
      </w:r>
    </w:p>
    <w:p w14:paraId="60396CEC"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9</w:t>
      </w:r>
      <w:r w:rsidRPr="00136FBE">
        <w:rPr>
          <w:rFonts w:ascii="仿宋" w:eastAsia="仿宋" w:hAnsi="仿宋" w:cs="仿宋"/>
          <w:sz w:val="32"/>
          <w:szCs w:val="32"/>
        </w:rPr>
        <w:t>.</w:t>
      </w:r>
      <w:r w:rsidRPr="00136FBE">
        <w:rPr>
          <w:rFonts w:ascii="仿宋" w:eastAsia="仿宋" w:hAnsi="仿宋" w:cs="仿宋" w:hint="eastAsia"/>
          <w:sz w:val="32"/>
          <w:szCs w:val="32"/>
        </w:rPr>
        <w:t>多发性骨髓瘤需要具有治疗指征，即以下其中之一：肾功能异常、血钙升高、贫血及骨质破坏、血清游离轻链比值大于</w:t>
      </w:r>
      <w:r w:rsidRPr="00136FBE">
        <w:rPr>
          <w:rFonts w:ascii="仿宋" w:eastAsia="仿宋" w:hAnsi="仿宋" w:cs="仿宋"/>
          <w:sz w:val="32"/>
          <w:szCs w:val="32"/>
        </w:rPr>
        <w:t>100</w:t>
      </w:r>
      <w:r w:rsidRPr="00136FBE">
        <w:rPr>
          <w:rFonts w:ascii="仿宋" w:eastAsia="仿宋" w:hAnsi="仿宋" w:cs="仿宋" w:hint="eastAsia"/>
          <w:sz w:val="32"/>
          <w:szCs w:val="32"/>
        </w:rPr>
        <w:t>、骨髓中克隆浆细胞大于</w:t>
      </w:r>
      <w:r w:rsidRPr="00136FBE">
        <w:rPr>
          <w:rFonts w:ascii="仿宋" w:eastAsia="仿宋" w:hAnsi="仿宋" w:cs="仿宋"/>
          <w:sz w:val="32"/>
          <w:szCs w:val="32"/>
        </w:rPr>
        <w:t>60%</w:t>
      </w:r>
      <w:r w:rsidRPr="00136FBE">
        <w:rPr>
          <w:rFonts w:ascii="仿宋" w:eastAsia="仿宋" w:hAnsi="仿宋" w:cs="仿宋" w:hint="eastAsia"/>
          <w:sz w:val="32"/>
          <w:szCs w:val="32"/>
        </w:rPr>
        <w:t>、核磁证实</w:t>
      </w:r>
      <w:r w:rsidRPr="00136FBE">
        <w:rPr>
          <w:rFonts w:ascii="仿宋" w:eastAsia="仿宋" w:hAnsi="仿宋" w:cs="仿宋"/>
          <w:sz w:val="32"/>
          <w:szCs w:val="32"/>
        </w:rPr>
        <w:t>2</w:t>
      </w:r>
      <w:r w:rsidRPr="00136FBE">
        <w:rPr>
          <w:rFonts w:ascii="仿宋" w:eastAsia="仿宋" w:hAnsi="仿宋" w:cs="仿宋" w:hint="eastAsia"/>
          <w:sz w:val="32"/>
          <w:szCs w:val="32"/>
        </w:rPr>
        <w:t>处或以上骨质破坏才需要治疗。不符合以上标准的冒烟性多发性骨髓瘤目前不建议进行治疗，包括硼替佐米的治疗。</w:t>
      </w:r>
    </w:p>
    <w:p w14:paraId="16149212"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10</w:t>
      </w:r>
      <w:r w:rsidRPr="00136FBE">
        <w:rPr>
          <w:rFonts w:ascii="仿宋" w:eastAsia="仿宋" w:hAnsi="仿宋" w:cs="仿宋"/>
          <w:sz w:val="32"/>
          <w:szCs w:val="32"/>
        </w:rPr>
        <w:t>.</w:t>
      </w:r>
      <w:r w:rsidRPr="00136FBE">
        <w:rPr>
          <w:rFonts w:ascii="仿宋" w:eastAsia="仿宋" w:hAnsi="仿宋" w:cs="仿宋" w:hint="eastAsia"/>
          <w:sz w:val="32"/>
          <w:szCs w:val="32"/>
        </w:rPr>
        <w:t>硼替佐米应用于初治套细胞淋巴瘤（</w:t>
      </w:r>
      <w:r w:rsidRPr="00136FBE">
        <w:rPr>
          <w:rFonts w:ascii="仿宋" w:eastAsia="仿宋" w:hAnsi="仿宋" w:cs="仿宋"/>
          <w:sz w:val="32"/>
          <w:szCs w:val="32"/>
        </w:rPr>
        <w:t>FDA</w:t>
      </w:r>
      <w:r w:rsidRPr="00136FBE">
        <w:rPr>
          <w:rFonts w:ascii="仿宋" w:eastAsia="仿宋" w:hAnsi="仿宋" w:cs="仿宋" w:hint="eastAsia"/>
          <w:sz w:val="32"/>
          <w:szCs w:val="32"/>
        </w:rPr>
        <w:t>已获批，基于</w:t>
      </w:r>
      <w:r w:rsidRPr="00136FBE">
        <w:rPr>
          <w:rFonts w:ascii="仿宋" w:eastAsia="仿宋" w:hAnsi="仿宋" w:cs="仿宋"/>
          <w:sz w:val="32"/>
          <w:szCs w:val="32"/>
        </w:rPr>
        <w:t>LYM-3002</w:t>
      </w:r>
      <w:r w:rsidRPr="00136FBE">
        <w:rPr>
          <w:rFonts w:ascii="仿宋" w:eastAsia="仿宋" w:hAnsi="仿宋" w:cs="仿宋" w:hint="eastAsia"/>
          <w:sz w:val="32"/>
          <w:szCs w:val="32"/>
        </w:rPr>
        <w:t>研究）。</w:t>
      </w:r>
    </w:p>
    <w:p w14:paraId="2E348B71"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lastRenderedPageBreak/>
        <w:t>※</w:t>
      </w:r>
      <w:r w:rsidRPr="00136FBE">
        <w:rPr>
          <w:rFonts w:ascii="仿宋" w:eastAsia="仿宋" w:hAnsi="仿宋" w:cs="仿宋" w:hint="eastAsia"/>
          <w:sz w:val="32"/>
          <w:szCs w:val="32"/>
        </w:rPr>
        <w:t>11</w:t>
      </w:r>
      <w:r w:rsidRPr="00136FBE">
        <w:rPr>
          <w:rFonts w:ascii="仿宋" w:eastAsia="仿宋" w:hAnsi="仿宋" w:cs="仿宋"/>
          <w:sz w:val="32"/>
          <w:szCs w:val="32"/>
        </w:rPr>
        <w:t>.</w:t>
      </w:r>
      <w:r w:rsidRPr="00136FBE">
        <w:rPr>
          <w:rFonts w:ascii="仿宋" w:eastAsia="仿宋" w:hAnsi="仿宋" w:cs="仿宋" w:hint="eastAsia"/>
          <w:sz w:val="32"/>
          <w:szCs w:val="32"/>
        </w:rPr>
        <w:t>华氏巨球蛋白血症（</w:t>
      </w:r>
      <w:r w:rsidRPr="00136FBE">
        <w:rPr>
          <w:rFonts w:ascii="仿宋" w:eastAsia="仿宋" w:hAnsi="仿宋" w:cs="仿宋"/>
          <w:sz w:val="32"/>
          <w:szCs w:val="32"/>
        </w:rPr>
        <w:t>FDA</w:t>
      </w:r>
      <w:r w:rsidRPr="00136FBE">
        <w:rPr>
          <w:rFonts w:ascii="仿宋" w:eastAsia="仿宋" w:hAnsi="仿宋" w:cs="仿宋" w:hint="eastAsia"/>
          <w:sz w:val="32"/>
          <w:szCs w:val="32"/>
        </w:rPr>
        <w:t>已批准）。</w:t>
      </w:r>
    </w:p>
    <w:p w14:paraId="30D62BCB"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12</w:t>
      </w:r>
      <w:r w:rsidRPr="00136FBE">
        <w:rPr>
          <w:rFonts w:ascii="仿宋" w:eastAsia="仿宋" w:hAnsi="仿宋" w:cs="仿宋"/>
          <w:sz w:val="32"/>
          <w:szCs w:val="32"/>
        </w:rPr>
        <w:t>.</w:t>
      </w:r>
      <w:r w:rsidRPr="00136FBE">
        <w:rPr>
          <w:rFonts w:ascii="仿宋" w:eastAsia="仿宋" w:hAnsi="仿宋" w:cs="仿宋" w:hint="eastAsia"/>
          <w:sz w:val="32"/>
          <w:szCs w:val="32"/>
        </w:rPr>
        <w:t>其他</w:t>
      </w:r>
      <w:r w:rsidR="00A801E2" w:rsidRPr="00136FBE">
        <w:rPr>
          <w:rFonts w:ascii="仿宋" w:eastAsia="仿宋" w:hAnsi="仿宋" w:cs="仿宋" w:hint="eastAsia"/>
          <w:sz w:val="32"/>
          <w:szCs w:val="32"/>
        </w:rPr>
        <w:t>罕见浆细胞病，如轻链</w:t>
      </w:r>
      <w:r w:rsidRPr="00136FBE">
        <w:rPr>
          <w:rFonts w:ascii="仿宋" w:eastAsia="仿宋" w:hAnsi="仿宋" w:cs="仿宋" w:hint="eastAsia"/>
          <w:sz w:val="32"/>
          <w:szCs w:val="32"/>
        </w:rPr>
        <w:t>淀粉样变性、</w:t>
      </w:r>
      <w:r w:rsidRPr="00136FBE">
        <w:rPr>
          <w:rFonts w:ascii="仿宋" w:eastAsia="仿宋" w:hAnsi="仿宋" w:cs="仿宋"/>
          <w:sz w:val="32"/>
          <w:szCs w:val="32"/>
        </w:rPr>
        <w:t>POEMS</w:t>
      </w:r>
      <w:r w:rsidRPr="00136FBE">
        <w:rPr>
          <w:rFonts w:ascii="仿宋" w:eastAsia="仿宋" w:hAnsi="仿宋" w:cs="仿宋" w:hint="eastAsia"/>
          <w:sz w:val="32"/>
          <w:szCs w:val="32"/>
        </w:rPr>
        <w:t>（仅Ⅰ～Ⅱ期数据）、</w:t>
      </w:r>
      <w:r w:rsidRPr="00136FBE">
        <w:rPr>
          <w:rFonts w:ascii="仿宋" w:eastAsia="仿宋" w:hAnsi="仿宋" w:cs="仿宋"/>
          <w:sz w:val="32"/>
          <w:szCs w:val="32"/>
        </w:rPr>
        <w:t>MGRS</w:t>
      </w:r>
      <w:r w:rsidRPr="00136FBE">
        <w:rPr>
          <w:rFonts w:ascii="仿宋" w:eastAsia="仿宋" w:hAnsi="仿宋" w:cs="仿宋" w:hint="eastAsia"/>
          <w:sz w:val="32"/>
          <w:szCs w:val="32"/>
        </w:rPr>
        <w:t>（意义未明单</w:t>
      </w:r>
      <w:r w:rsidRPr="00136FBE">
        <w:rPr>
          <w:rFonts w:ascii="仿宋" w:eastAsia="仿宋" w:hAnsi="仿宋" w:cs="仿宋" w:hint="eastAsia"/>
          <w:w w:val="98"/>
          <w:sz w:val="32"/>
          <w:szCs w:val="32"/>
        </w:rPr>
        <w:t>克隆免疫球蛋白血症伴肾脏损伤，仅有Ⅰ～Ⅱ期数据）等治疗。</w:t>
      </w:r>
    </w:p>
    <w:p w14:paraId="235AD800" w14:textId="77777777" w:rsidR="00B23A40" w:rsidRPr="00136FBE" w:rsidRDefault="009E6080">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九</w:t>
      </w:r>
      <w:r w:rsidR="00DD1A0D" w:rsidRPr="00136FBE">
        <w:rPr>
          <w:rFonts w:ascii="黑体" w:eastAsia="黑体" w:hAnsi="黑体" w:hint="eastAsia"/>
          <w:color w:val="000000"/>
          <w:sz w:val="32"/>
          <w:szCs w:val="32"/>
        </w:rPr>
        <w:t xml:space="preserve">、信迪利单抗 </w:t>
      </w:r>
      <w:proofErr w:type="spellStart"/>
      <w:r w:rsidR="00F111D5" w:rsidRPr="00136FBE">
        <w:rPr>
          <w:rFonts w:ascii="黑体" w:eastAsia="黑体" w:hAnsi="黑体" w:hint="eastAsia"/>
          <w:color w:val="000000"/>
          <w:sz w:val="32"/>
          <w:szCs w:val="32"/>
        </w:rPr>
        <w:t>S</w:t>
      </w:r>
      <w:r w:rsidR="00DD1A0D" w:rsidRPr="00136FBE">
        <w:rPr>
          <w:rFonts w:ascii="黑体" w:eastAsia="黑体" w:hAnsi="黑体"/>
          <w:color w:val="000000"/>
          <w:sz w:val="32"/>
          <w:szCs w:val="32"/>
        </w:rPr>
        <w:t>intilimab</w:t>
      </w:r>
      <w:proofErr w:type="spellEnd"/>
    </w:p>
    <w:p w14:paraId="6F1D35E3"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cs="仿宋" w:hint="eastAsia"/>
          <w:sz w:val="32"/>
          <w:szCs w:val="32"/>
        </w:rPr>
        <w:t>注射液：</w:t>
      </w:r>
      <w:r w:rsidRPr="00136FBE">
        <w:rPr>
          <w:rFonts w:ascii="仿宋" w:eastAsia="仿宋" w:hAnsi="仿宋" w:cs="仿宋"/>
          <w:sz w:val="32"/>
          <w:szCs w:val="32"/>
        </w:rPr>
        <w:t>100mg</w:t>
      </w:r>
      <w:r w:rsidRPr="00136FBE">
        <w:rPr>
          <w:rFonts w:ascii="仿宋" w:eastAsia="仿宋" w:hAnsi="仿宋" w:cs="仿宋" w:hint="eastAsia"/>
          <w:sz w:val="32"/>
          <w:szCs w:val="32"/>
        </w:rPr>
        <w:t>（10</w:t>
      </w:r>
      <w:r w:rsidRPr="00136FBE">
        <w:rPr>
          <w:rFonts w:ascii="仿宋" w:eastAsia="仿宋" w:hAnsi="仿宋" w:cs="仿宋"/>
          <w:sz w:val="32"/>
          <w:szCs w:val="32"/>
        </w:rPr>
        <w:t>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4EA94704"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本品适用于至少经过二线系统化疗的复发或难治经典型霍奇金淋巴瘤的治疗。</w:t>
      </w:r>
    </w:p>
    <w:p w14:paraId="4F16408A"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 xml:space="preserve">合理用药要点： </w:t>
      </w:r>
    </w:p>
    <w:p w14:paraId="23B6D10A"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1.用药前必须明确诊断为经典型霍奇金淋巴瘤。</w:t>
      </w:r>
    </w:p>
    <w:p w14:paraId="377E3D7B"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2.应该按照相关疾病指南，治疗前做基线评估，治疗期间定期监测治疗反应及毒性。</w:t>
      </w:r>
    </w:p>
    <w:p w14:paraId="01097127"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3.本品采用静脉输注的方式给药，静脉输注的推荐剂量为200mg，每3周给药一次，直至疾病进展或出现不可接受的毒性。</w:t>
      </w:r>
    </w:p>
    <w:p w14:paraId="624693FF"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有可能观察到非典型反应（例如最初几个月内肿瘤暂时增大或出现新的病灶，随后肿瘤缩小）。如果患者临床症状稳定或持续减轻，即使有疾病进展的初步证据，基于总体临床获益的判断，可考虑继续应用本品治疗，直至证实疾病进展。</w:t>
      </w:r>
    </w:p>
    <w:p w14:paraId="48A88BA2" w14:textId="77777777" w:rsidR="00B23A40" w:rsidRPr="00136FBE" w:rsidRDefault="00DD1A0D">
      <w:pPr>
        <w:ind w:firstLineChars="200" w:firstLine="640"/>
        <w:rPr>
          <w:rFonts w:ascii="仿宋" w:eastAsia="仿宋" w:hAnsi="仿宋"/>
          <w:b/>
          <w:color w:val="000000"/>
          <w:sz w:val="32"/>
          <w:szCs w:val="32"/>
        </w:rPr>
      </w:pPr>
      <w:r w:rsidRPr="00136FBE">
        <w:rPr>
          <w:rFonts w:ascii="仿宋" w:eastAsia="仿宋" w:hAnsi="仿宋" w:hint="eastAsia"/>
          <w:color w:val="000000"/>
          <w:sz w:val="32"/>
          <w:szCs w:val="32"/>
        </w:rPr>
        <w:t>5.如出现</w:t>
      </w:r>
      <w:r w:rsidR="00F319F1" w:rsidRPr="00136FBE">
        <w:rPr>
          <w:rFonts w:ascii="仿宋" w:eastAsia="仿宋" w:hAnsi="仿宋" w:hint="eastAsia"/>
          <w:color w:val="000000"/>
          <w:sz w:val="32"/>
          <w:szCs w:val="32"/>
        </w:rPr>
        <w:t>免疫相关性不良反应</w:t>
      </w:r>
      <w:r w:rsidRPr="00136FBE">
        <w:rPr>
          <w:rFonts w:ascii="仿宋" w:eastAsia="仿宋" w:hAnsi="仿宋" w:hint="eastAsia"/>
          <w:color w:val="000000"/>
          <w:sz w:val="32"/>
          <w:szCs w:val="32"/>
        </w:rPr>
        <w:t>，根据个体患者的安全性和耐受性，可能需要暂停给药或永久停药。不建议增加</w:t>
      </w:r>
      <w:r w:rsidRPr="00136FBE">
        <w:rPr>
          <w:rFonts w:ascii="仿宋" w:eastAsia="仿宋" w:hAnsi="仿宋" w:hint="eastAsia"/>
          <w:color w:val="000000"/>
          <w:w w:val="96"/>
          <w:sz w:val="32"/>
          <w:szCs w:val="32"/>
        </w:rPr>
        <w:t>或减</w:t>
      </w:r>
      <w:r w:rsidRPr="00136FBE">
        <w:rPr>
          <w:rFonts w:ascii="仿宋" w:eastAsia="仿宋" w:hAnsi="仿宋" w:hint="eastAsia"/>
          <w:color w:val="000000"/>
          <w:w w:val="96"/>
          <w:sz w:val="32"/>
          <w:szCs w:val="32"/>
        </w:rPr>
        <w:lastRenderedPageBreak/>
        <w:t>少剂量。有关暂停给药和永久停药的指南，详见</w:t>
      </w:r>
      <w:r w:rsidR="00441816" w:rsidRPr="00136FBE">
        <w:rPr>
          <w:rFonts w:ascii="仿宋" w:eastAsia="仿宋" w:hAnsi="仿宋" w:hint="eastAsia"/>
          <w:color w:val="000000"/>
          <w:w w:val="96"/>
          <w:sz w:val="32"/>
          <w:szCs w:val="32"/>
        </w:rPr>
        <w:t>附表1</w:t>
      </w:r>
      <w:r w:rsidRPr="00136FBE">
        <w:rPr>
          <w:rFonts w:ascii="仿宋" w:eastAsia="仿宋" w:hAnsi="仿宋" w:hint="eastAsia"/>
          <w:color w:val="000000"/>
          <w:w w:val="96"/>
          <w:sz w:val="32"/>
          <w:szCs w:val="32"/>
        </w:rPr>
        <w:t>所述。</w:t>
      </w:r>
    </w:p>
    <w:p w14:paraId="05019DAC"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6.目前本品尚无针对中重度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患者的研究数据，轻度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患者应在医生指导下慎用本品，如需使用，无需进行计量调整；</w:t>
      </w:r>
      <w:r w:rsidR="00B73A0E" w:rsidRPr="00136FBE">
        <w:rPr>
          <w:rFonts w:ascii="仿宋" w:eastAsia="仿宋" w:hAnsi="仿宋" w:hint="eastAsia"/>
          <w:color w:val="000000"/>
          <w:sz w:val="32"/>
          <w:szCs w:val="32"/>
        </w:rPr>
        <w:t>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患者不推荐使用。</w:t>
      </w:r>
    </w:p>
    <w:p w14:paraId="2A0A7E77"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7.目前本品尚无针对中重度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患者的研究数据，轻度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患者应在医生指导下慎用本品，如需使用，无需进行剂量调整；</w:t>
      </w:r>
      <w:r w:rsidR="00B73A0E" w:rsidRPr="00136FBE">
        <w:rPr>
          <w:rFonts w:ascii="仿宋" w:eastAsia="仿宋" w:hAnsi="仿宋" w:hint="eastAsia"/>
          <w:color w:val="000000"/>
          <w:sz w:val="32"/>
          <w:szCs w:val="32"/>
        </w:rPr>
        <w:t>中重度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患者不推荐使用。</w:t>
      </w:r>
    </w:p>
    <w:p w14:paraId="6FA270CC"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8.接受本品治疗的</w:t>
      </w:r>
      <w:r w:rsidR="00606E59" w:rsidRPr="00136FBE">
        <w:rPr>
          <w:rFonts w:ascii="仿宋" w:eastAsia="仿宋" w:hAnsi="仿宋" w:hint="eastAsia"/>
          <w:color w:val="000000"/>
          <w:sz w:val="32"/>
          <w:szCs w:val="32"/>
        </w:rPr>
        <w:t>霍奇金淋巴瘤</w:t>
      </w:r>
      <w:r w:rsidRPr="00136FBE">
        <w:rPr>
          <w:rFonts w:ascii="仿宋" w:eastAsia="仿宋" w:hAnsi="仿宋" w:hint="eastAsia"/>
          <w:color w:val="000000"/>
          <w:sz w:val="32"/>
          <w:szCs w:val="32"/>
        </w:rPr>
        <w:t>患者最常见的不良反应（≥10%）包括发热、甲状腺功能减退症、体重增加、肺炎、上呼吸道感染、皮疹、贫血、咳嗽。最常见的3级以上的不良反应包括体重增加、贫血、输液反应、呼吸道感染、感染性肺炎、免疫相关性肺炎。</w:t>
      </w:r>
    </w:p>
    <w:p w14:paraId="45CE2C95"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9.本品尚无在18岁以下儿童及青少年中的安全性和有效性数据。</w:t>
      </w:r>
    </w:p>
    <w:p w14:paraId="11912E51"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10.本品在</w:t>
      </w:r>
      <w:r w:rsidR="00320017" w:rsidRPr="00136FBE">
        <w:rPr>
          <w:rFonts w:ascii="仿宋" w:eastAsia="仿宋" w:hAnsi="仿宋" w:hint="eastAsia"/>
          <w:color w:val="000000"/>
          <w:sz w:val="32"/>
          <w:szCs w:val="32"/>
        </w:rPr>
        <w:t>≥65</w:t>
      </w:r>
      <w:r w:rsidRPr="00136FBE">
        <w:rPr>
          <w:rFonts w:ascii="仿宋" w:eastAsia="仿宋" w:hAnsi="仿宋" w:hint="eastAsia"/>
          <w:color w:val="000000"/>
          <w:sz w:val="32"/>
          <w:szCs w:val="32"/>
        </w:rPr>
        <w:t>岁的老年患者中应用数据有限，建议在医生的指导下慎用，如需使用，无需进行剂量调整。</w:t>
      </w:r>
    </w:p>
    <w:p w14:paraId="09AA9945"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11.不建议在妊娠期间使用本品治疗。</w:t>
      </w:r>
    </w:p>
    <w:p w14:paraId="70C69640"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12.因可能干扰本品药效学活性，应避免在开始本品治疗前使用全身性糖皮质激素及其他免疫抑制剂。但是如果为了治疗免疫相关性不良反应，可在开始本品治疗后使用全身糖皮质激素及其他免疫抑制剂。</w:t>
      </w:r>
    </w:p>
    <w:p w14:paraId="0D7EF935" w14:textId="77777777" w:rsidR="00B23A40" w:rsidRPr="00136FBE" w:rsidRDefault="009E6080">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w:t>
      </w:r>
      <w:r w:rsidR="00DD1A0D" w:rsidRPr="00136FBE">
        <w:rPr>
          <w:rFonts w:ascii="黑体" w:eastAsia="黑体" w:hAnsi="黑体" w:hint="eastAsia"/>
          <w:color w:val="000000"/>
          <w:sz w:val="32"/>
          <w:szCs w:val="32"/>
        </w:rPr>
        <w:t>、</w:t>
      </w:r>
      <w:r w:rsidR="00DD1A0D" w:rsidRPr="00136FBE">
        <w:rPr>
          <w:rFonts w:ascii="黑体" w:eastAsia="黑体" w:hAnsi="黑体"/>
          <w:color w:val="000000"/>
          <w:sz w:val="32"/>
          <w:szCs w:val="32"/>
        </w:rPr>
        <w:t>卡瑞利珠单抗</w:t>
      </w:r>
      <w:proofErr w:type="spellStart"/>
      <w:r w:rsidR="00DD1A0D" w:rsidRPr="00136FBE">
        <w:rPr>
          <w:rFonts w:ascii="黑体" w:eastAsia="黑体" w:hAnsi="黑体" w:hint="eastAsia"/>
          <w:color w:val="000000"/>
          <w:sz w:val="32"/>
          <w:szCs w:val="32"/>
        </w:rPr>
        <w:t>Camrelizumab</w:t>
      </w:r>
      <w:proofErr w:type="spellEnd"/>
    </w:p>
    <w:p w14:paraId="5B2B25B8" w14:textId="77777777" w:rsidR="00B23A40" w:rsidRPr="00136FBE" w:rsidRDefault="00DD1A0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lastRenderedPageBreak/>
        <w:t>制剂与规格：</w:t>
      </w:r>
      <w:r w:rsidR="00CD143E" w:rsidRPr="00136FBE">
        <w:rPr>
          <w:rFonts w:ascii="仿宋" w:eastAsia="仿宋" w:hAnsi="仿宋" w:hint="eastAsia"/>
          <w:color w:val="000000"/>
          <w:sz w:val="32"/>
          <w:szCs w:val="32"/>
        </w:rPr>
        <w:t>粉针剂：</w:t>
      </w:r>
      <w:r w:rsidRPr="00136FBE">
        <w:rPr>
          <w:rFonts w:ascii="仿宋" w:eastAsia="仿宋" w:hAnsi="仿宋" w:hint="eastAsia"/>
          <w:color w:val="000000"/>
          <w:sz w:val="32"/>
          <w:szCs w:val="32"/>
        </w:rPr>
        <w:t>200mg/瓶</w:t>
      </w:r>
    </w:p>
    <w:p w14:paraId="2152D7EA" w14:textId="77777777" w:rsidR="00B23A40" w:rsidRPr="00136FBE" w:rsidRDefault="00DD1A0D">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本品适用于至少经过二线系统化疗的复发或难治经典型霍奇金淋巴瘤患者的治疗。</w:t>
      </w:r>
    </w:p>
    <w:p w14:paraId="0231FE35" w14:textId="77777777" w:rsidR="00B23A40" w:rsidRPr="00136FBE" w:rsidRDefault="00DD1A0D">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52F1F4B2"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1.用药前必须明确诊断为经典型霍奇金淋巴瘤。</w:t>
      </w:r>
    </w:p>
    <w:p w14:paraId="27452869"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2.应该按照相关疾病指南，治疗前做基线评估，治疗期间定期监测治疗反应及毒性。</w:t>
      </w:r>
    </w:p>
    <w:p w14:paraId="232C0329"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3.本品采用静脉输注的方式给药，静脉输注的推荐剂量为200mg，每2周给药一次，直至疾病进展或出现不可接受的毒性。</w:t>
      </w:r>
    </w:p>
    <w:p w14:paraId="6A820C84"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4.有可能观察到非典型反应。如果患者临床症状稳定或持续减轻，即使有疾病进展的初步证据，基于总体临床获益的判断，可考虑继续应用本品治疗，直至证实疾病进展。</w:t>
      </w:r>
    </w:p>
    <w:p w14:paraId="1A270EE1"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5.如出现</w:t>
      </w:r>
      <w:r w:rsidR="00F319F1" w:rsidRPr="00136FBE">
        <w:rPr>
          <w:rFonts w:ascii="仿宋" w:eastAsia="仿宋" w:hAnsi="仿宋" w:hint="eastAsia"/>
          <w:color w:val="000000"/>
          <w:sz w:val="32"/>
          <w:szCs w:val="32"/>
        </w:rPr>
        <w:t>免疫相关性不良反应</w:t>
      </w:r>
      <w:r w:rsidRPr="00136FBE">
        <w:rPr>
          <w:rFonts w:ascii="仿宋" w:eastAsia="仿宋" w:hAnsi="仿宋" w:hint="eastAsia"/>
          <w:color w:val="000000"/>
          <w:sz w:val="32"/>
          <w:szCs w:val="32"/>
        </w:rPr>
        <w:t>，根据个体患者的安全性和耐受性，可能需要暂停给药或永久停药。不建议增加或减少剂量。有关暂停给药和永久停药的指南，详见</w:t>
      </w:r>
      <w:r w:rsidR="00F322A8" w:rsidRPr="00136FBE">
        <w:rPr>
          <w:rFonts w:ascii="仿宋" w:eastAsia="仿宋" w:hAnsi="仿宋" w:hint="eastAsia"/>
          <w:color w:val="000000"/>
          <w:sz w:val="32"/>
          <w:szCs w:val="32"/>
        </w:rPr>
        <w:t>附表1</w:t>
      </w:r>
      <w:r w:rsidRPr="00136FBE">
        <w:rPr>
          <w:rFonts w:ascii="仿宋" w:eastAsia="仿宋" w:hAnsi="仿宋" w:hint="eastAsia"/>
          <w:color w:val="000000"/>
          <w:sz w:val="32"/>
          <w:szCs w:val="32"/>
        </w:rPr>
        <w:t>所述。</w:t>
      </w:r>
    </w:p>
    <w:p w14:paraId="677288EE"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6.目前本品尚无针对中重度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患者的研究数据，</w:t>
      </w:r>
      <w:r w:rsidR="00B73A0E" w:rsidRPr="00136FBE">
        <w:rPr>
          <w:rFonts w:ascii="仿宋" w:eastAsia="仿宋" w:hAnsi="仿宋" w:hint="eastAsia"/>
          <w:color w:val="000000"/>
          <w:sz w:val="32"/>
          <w:szCs w:val="32"/>
        </w:rPr>
        <w:t>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患者不推荐使用。轻度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患者应在医生指导下慎用本品，如需使用，无需进行剂量调整。</w:t>
      </w:r>
    </w:p>
    <w:p w14:paraId="2FFBFF55"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7.目前本品尚无针对中重度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患者的研究数据，</w:t>
      </w:r>
      <w:r w:rsidR="00B73A0E" w:rsidRPr="00136FBE">
        <w:rPr>
          <w:rFonts w:ascii="仿宋" w:eastAsia="仿宋" w:hAnsi="仿宋" w:hint="eastAsia"/>
          <w:color w:val="000000"/>
          <w:sz w:val="32"/>
          <w:szCs w:val="32"/>
        </w:rPr>
        <w:t>中重度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患者不推荐使用。轻度</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患者应在医生指导下慎用本品，如需使用，无需进行剂量调整。</w:t>
      </w:r>
    </w:p>
    <w:p w14:paraId="717F36CB"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8.接受本药治疗的HL患者最常见的不良反应（≥10%）包括皮肤反应性毛细血管增生症、发热、甲状腺功能减退、上呼吸道感染、贫血、输液相关反应、咳嗽、口腔反应性毛细血管增生症、鼻咽炎、瘙痒症。最常见的3级以上的不良反应（≥2%）包括淋巴细胞计数降低、白细胞计数降低、中性粒细胞计数降低、γ-谷氨酰转移酶升高、带状疱疹、肺部炎症。</w:t>
      </w:r>
    </w:p>
    <w:p w14:paraId="3865FE8F"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9.本品尚无在18岁以下儿童及青少年中的安全性和有效性数据。</w:t>
      </w:r>
    </w:p>
    <w:p w14:paraId="3BE394AF"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10.本品在</w:t>
      </w:r>
      <w:r w:rsidR="00320017" w:rsidRPr="00136FBE">
        <w:rPr>
          <w:rFonts w:ascii="仿宋" w:eastAsia="仿宋" w:hAnsi="仿宋" w:hint="eastAsia"/>
          <w:color w:val="000000"/>
          <w:sz w:val="32"/>
          <w:szCs w:val="32"/>
        </w:rPr>
        <w:t>≥65</w:t>
      </w:r>
      <w:r w:rsidRPr="00136FBE">
        <w:rPr>
          <w:rFonts w:ascii="仿宋" w:eastAsia="仿宋" w:hAnsi="仿宋" w:hint="eastAsia"/>
          <w:color w:val="000000"/>
          <w:sz w:val="32"/>
          <w:szCs w:val="32"/>
        </w:rPr>
        <w:t>岁的老年患者中应用数据有限，建议在医生的指导下慎用，如需使用，无需进行剂量调整。</w:t>
      </w:r>
    </w:p>
    <w:p w14:paraId="24CBC429"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11.不建议在妊娠期间使用本品治疗。</w:t>
      </w:r>
    </w:p>
    <w:p w14:paraId="3831106B"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12.因可能干扰本品药效学活性，应避免在开始本品治疗前使用全身性糖皮质激素及其他免疫抑制剂。但是如果为了治疗免疫相关性不良反应，可在开始本品治疗后使用全身糖皮质激素及其他免疫抑制剂。</w:t>
      </w:r>
    </w:p>
    <w:p w14:paraId="4D4FA333"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13.反应性毛细血管增生症的处理：在接受本品治疗的患者中，共731例（74.1%）发生反应性毛细血管增生症。反应性毛细血管增生症，大多发生在体表皮肤，少数可见于口腔黏膜、鼻腔黏膜以及眼睑结膜。发生于皮肤的反应性毛细血管增生，初始多表现为体表鲜红色点状物，直径≤2mm，随着用药次数增加，病变范围可逐渐增大，多为结节状，也</w:t>
      </w:r>
      <w:r w:rsidRPr="00136FBE">
        <w:rPr>
          <w:rFonts w:ascii="仿宋" w:eastAsia="仿宋" w:hAnsi="仿宋" w:hint="eastAsia"/>
          <w:color w:val="000000"/>
          <w:sz w:val="32"/>
          <w:szCs w:val="32"/>
        </w:rPr>
        <w:lastRenderedPageBreak/>
        <w:t>有斑片状，颜色鲜红或暗红，需观察临床症状和体征，可按</w:t>
      </w:r>
      <w:r w:rsidR="00441816" w:rsidRPr="00136FBE">
        <w:rPr>
          <w:rFonts w:ascii="仿宋" w:eastAsia="仿宋" w:hAnsi="仿宋" w:hint="eastAsia"/>
          <w:color w:val="000000"/>
          <w:sz w:val="32"/>
          <w:szCs w:val="32"/>
        </w:rPr>
        <w:t>附</w:t>
      </w:r>
      <w:r w:rsidRPr="00136FBE">
        <w:rPr>
          <w:rFonts w:ascii="仿宋" w:eastAsia="仿宋" w:hAnsi="仿宋" w:hint="eastAsia"/>
          <w:color w:val="000000"/>
          <w:sz w:val="32"/>
          <w:szCs w:val="32"/>
        </w:rPr>
        <w:t>表</w:t>
      </w:r>
      <w:r w:rsidR="00441816" w:rsidRPr="00136FBE">
        <w:rPr>
          <w:rFonts w:ascii="仿宋" w:eastAsia="仿宋" w:hAnsi="仿宋" w:hint="eastAsia"/>
          <w:color w:val="000000"/>
          <w:sz w:val="32"/>
          <w:szCs w:val="32"/>
        </w:rPr>
        <w:t>2</w:t>
      </w:r>
      <w:r w:rsidRPr="00136FBE">
        <w:rPr>
          <w:rFonts w:ascii="仿宋" w:eastAsia="仿宋" w:hAnsi="仿宋" w:hint="eastAsia"/>
          <w:color w:val="000000"/>
          <w:sz w:val="32"/>
          <w:szCs w:val="32"/>
        </w:rPr>
        <w:t>分级标准和治疗建议进行处理</w:t>
      </w:r>
      <w:r w:rsidR="00441816" w:rsidRPr="00136FBE">
        <w:rPr>
          <w:rFonts w:ascii="仿宋" w:eastAsia="仿宋" w:hAnsi="仿宋" w:hint="eastAsia"/>
          <w:color w:val="000000"/>
          <w:sz w:val="32"/>
          <w:szCs w:val="32"/>
        </w:rPr>
        <w:t>。</w:t>
      </w:r>
    </w:p>
    <w:p w14:paraId="0334BC90"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当患者出现该不良反应时，应避免抓挠或摩擦，易摩擦部位可用纱布保护以避免出血，同时应联系主管医生，获得恰当的处理建议。破溃出血者可采用局部压迫止血，或采取如激光或手术切除等局部治疗；并发感染者应给予抗感染治疗。反应性毛细血管增生症可能在皮肤以外的其他组织发生（包括内脏器官），必要时进行相应的医学检查，如大便潜血、内窥镜及影像学检查（具体相关内容详见《反应性毛细血管增生症信息收集及风险管理计划》）。</w:t>
      </w:r>
    </w:p>
    <w:p w14:paraId="19329C68" w14:textId="77777777" w:rsidR="00441816" w:rsidRPr="00136FBE" w:rsidRDefault="00441816" w:rsidP="00F111D5">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十一、替雷利珠单</w:t>
      </w:r>
      <w:r w:rsidRPr="00136FBE">
        <w:rPr>
          <w:rFonts w:ascii="黑体" w:eastAsia="黑体" w:hAnsi="黑体"/>
          <w:color w:val="000000"/>
          <w:sz w:val="32"/>
          <w:szCs w:val="32"/>
        </w:rPr>
        <w:t>抗T</w:t>
      </w:r>
      <w:r w:rsidRPr="00136FBE">
        <w:rPr>
          <w:rFonts w:ascii="黑体" w:eastAsia="黑体" w:hAnsi="黑体" w:hint="eastAsia"/>
          <w:color w:val="000000"/>
          <w:sz w:val="32"/>
          <w:szCs w:val="32"/>
        </w:rPr>
        <w:t>is</w:t>
      </w:r>
      <w:r w:rsidRPr="00136FBE">
        <w:rPr>
          <w:rFonts w:ascii="黑体" w:eastAsia="黑体" w:hAnsi="黑体"/>
          <w:color w:val="000000"/>
          <w:sz w:val="32"/>
          <w:szCs w:val="32"/>
        </w:rPr>
        <w:t>lelizumab</w:t>
      </w:r>
    </w:p>
    <w:p w14:paraId="45A70F2F" w14:textId="77777777" w:rsidR="00441816" w:rsidRPr="00136FBE" w:rsidRDefault="00441816" w:rsidP="00441816">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注射液：</w:t>
      </w:r>
      <w:r w:rsidRPr="00136FBE">
        <w:rPr>
          <w:rFonts w:ascii="仿宋" w:eastAsia="仿宋" w:hAnsi="仿宋"/>
          <w:color w:val="000000"/>
          <w:sz w:val="32"/>
          <w:szCs w:val="32"/>
        </w:rPr>
        <w:t>1</w:t>
      </w:r>
      <w:r w:rsidRPr="00136FBE">
        <w:rPr>
          <w:rFonts w:ascii="仿宋" w:eastAsia="仿宋" w:hAnsi="仿宋" w:hint="eastAsia"/>
          <w:color w:val="000000"/>
          <w:sz w:val="32"/>
          <w:szCs w:val="32"/>
        </w:rPr>
        <w:t>00mg（10ml）/瓶</w:t>
      </w:r>
    </w:p>
    <w:p w14:paraId="34FE60E8" w14:textId="77777777" w:rsidR="005178AA" w:rsidRDefault="00601D3A" w:rsidP="00601D3A">
      <w:pPr>
        <w:spacing w:line="360" w:lineRule="auto"/>
        <w:ind w:firstLineChars="200" w:firstLine="643"/>
        <w:rPr>
          <w:rFonts w:ascii="仿宋" w:eastAsia="仿宋" w:hAnsi="仿宋"/>
          <w:b/>
          <w:color w:val="000000"/>
          <w:sz w:val="32"/>
          <w:szCs w:val="32"/>
        </w:rPr>
      </w:pPr>
      <w:r w:rsidRPr="00601D3A">
        <w:rPr>
          <w:rFonts w:ascii="仿宋" w:eastAsia="仿宋" w:hAnsi="仿宋" w:hint="eastAsia"/>
          <w:b/>
          <w:color w:val="000000"/>
          <w:sz w:val="32"/>
          <w:szCs w:val="32"/>
        </w:rPr>
        <w:t>适应证：</w:t>
      </w:r>
    </w:p>
    <w:p w14:paraId="1DD86E2A" w14:textId="77777777" w:rsidR="005178AA"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1</w:t>
      </w:r>
      <w:r w:rsidR="005178AA">
        <w:rPr>
          <w:rFonts w:ascii="仿宋" w:eastAsia="仿宋" w:hAnsi="仿宋" w:hint="eastAsia"/>
          <w:bCs/>
          <w:color w:val="000000"/>
          <w:sz w:val="32"/>
          <w:szCs w:val="32"/>
        </w:rPr>
        <w:t>.</w:t>
      </w:r>
      <w:r w:rsidRPr="005B7187">
        <w:rPr>
          <w:rFonts w:ascii="仿宋" w:eastAsia="仿宋" w:hAnsi="仿宋" w:hint="eastAsia"/>
          <w:bCs/>
          <w:color w:val="000000"/>
          <w:sz w:val="32"/>
          <w:szCs w:val="32"/>
        </w:rPr>
        <w:t>至少经过二线系统化疗的复发或难治性经典型霍奇金淋巴瘤的治疗。</w:t>
      </w:r>
    </w:p>
    <w:p w14:paraId="1306F87C" w14:textId="77777777" w:rsidR="009D69C0"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2</w:t>
      </w:r>
      <w:r w:rsidR="005178AA">
        <w:rPr>
          <w:rFonts w:ascii="仿宋" w:eastAsia="仿宋" w:hAnsi="仿宋" w:hint="eastAsia"/>
          <w:bCs/>
          <w:color w:val="000000"/>
          <w:sz w:val="32"/>
          <w:szCs w:val="32"/>
        </w:rPr>
        <w:t>.</w:t>
      </w:r>
      <w:r w:rsidRPr="005B7187">
        <w:rPr>
          <w:rFonts w:ascii="仿宋" w:eastAsia="仿宋" w:hAnsi="仿宋" w:hint="eastAsia"/>
          <w:bCs/>
          <w:color w:val="000000"/>
          <w:sz w:val="32"/>
          <w:szCs w:val="32"/>
        </w:rPr>
        <w:t>适用于</w:t>
      </w:r>
      <w:r w:rsidRPr="005B7187">
        <w:rPr>
          <w:rFonts w:ascii="仿宋" w:eastAsia="仿宋" w:hAnsi="仿宋"/>
          <w:bCs/>
          <w:color w:val="000000"/>
          <w:sz w:val="32"/>
          <w:szCs w:val="32"/>
        </w:rPr>
        <w:t>PD-L1</w:t>
      </w:r>
      <w:r w:rsidRPr="005B7187">
        <w:rPr>
          <w:rFonts w:ascii="仿宋" w:eastAsia="仿宋" w:hAnsi="仿宋" w:hint="eastAsia"/>
          <w:bCs/>
          <w:color w:val="000000"/>
          <w:sz w:val="32"/>
          <w:szCs w:val="32"/>
        </w:rPr>
        <w:t>高表达的含铂化疗失败包括新辅助或辅助化疗</w:t>
      </w:r>
      <w:r w:rsidRPr="005B7187">
        <w:rPr>
          <w:rFonts w:ascii="仿宋" w:eastAsia="仿宋" w:hAnsi="仿宋"/>
          <w:bCs/>
          <w:color w:val="000000"/>
          <w:sz w:val="32"/>
          <w:szCs w:val="32"/>
        </w:rPr>
        <w:t>12个月内进展的局部晚期或转移性尿路上皮癌的治疗。</w:t>
      </w:r>
    </w:p>
    <w:p w14:paraId="0D775B81" w14:textId="77777777" w:rsidR="00601D3A" w:rsidRPr="009D69C0" w:rsidRDefault="005B7187" w:rsidP="009D69C0">
      <w:pPr>
        <w:spacing w:line="360" w:lineRule="auto"/>
        <w:ind w:firstLineChars="200" w:firstLine="643"/>
        <w:rPr>
          <w:rFonts w:ascii="仿宋" w:eastAsia="仿宋" w:hAnsi="仿宋"/>
          <w:b/>
          <w:bCs/>
          <w:color w:val="000000"/>
          <w:sz w:val="32"/>
          <w:szCs w:val="32"/>
        </w:rPr>
      </w:pPr>
      <w:r w:rsidRPr="009D69C0">
        <w:rPr>
          <w:rFonts w:ascii="仿宋" w:eastAsia="仿宋" w:hAnsi="仿宋" w:hint="eastAsia"/>
          <w:b/>
          <w:bCs/>
          <w:color w:val="000000"/>
          <w:sz w:val="32"/>
          <w:szCs w:val="32"/>
        </w:rPr>
        <w:t>合理用药要点：</w:t>
      </w:r>
    </w:p>
    <w:p w14:paraId="36FE2F04" w14:textId="77777777" w:rsidR="00601D3A" w:rsidRPr="00EB1BC0"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1.应该按照相关疾病指南，治疗前做基线评估，治疗期间定期监测治疗反应及毒性。</w:t>
      </w:r>
    </w:p>
    <w:p w14:paraId="505E8D69" w14:textId="77777777" w:rsidR="00601D3A" w:rsidRPr="00EB1BC0"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2.采用静脉输注的方式给药，静脉输注的推荐剂量为</w:t>
      </w:r>
      <w:r w:rsidRPr="005B7187">
        <w:rPr>
          <w:rFonts w:ascii="仿宋" w:eastAsia="仿宋" w:hAnsi="仿宋"/>
          <w:bCs/>
          <w:color w:val="000000"/>
          <w:sz w:val="32"/>
          <w:szCs w:val="32"/>
        </w:rPr>
        <w:lastRenderedPageBreak/>
        <w:t>200mg，每3周给药一次，直至疾病进展或出现不可接受的毒性。</w:t>
      </w:r>
    </w:p>
    <w:p w14:paraId="5663D0A2" w14:textId="77777777" w:rsidR="00601D3A" w:rsidRPr="00EB1BC0"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3.有可能观察到非典型反应（例如最初几个月内肿瘤暂</w:t>
      </w:r>
      <w:r w:rsidRPr="005B7187">
        <w:rPr>
          <w:rFonts w:ascii="仿宋" w:eastAsia="仿宋" w:hAnsi="仿宋" w:hint="eastAsia"/>
          <w:bCs/>
          <w:color w:val="000000"/>
          <w:sz w:val="32"/>
          <w:szCs w:val="32"/>
        </w:rPr>
        <w:t>时增大或出现新的病灶，随后肿瘤缩小）。如果患者临床症状稳定或持续减轻，即使有疾病进展的初步证据，基于总体临床获益的判断，可考虑继续应用本品治疗，直至证实疾病进展。</w:t>
      </w:r>
    </w:p>
    <w:p w14:paraId="4E47A85F" w14:textId="77777777" w:rsidR="00601D3A" w:rsidRPr="00EB1BC0"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4.</w:t>
      </w:r>
      <w:r w:rsidRPr="009D69C0">
        <w:rPr>
          <w:rFonts w:ascii="仿宋" w:eastAsia="仿宋" w:hAnsi="仿宋" w:hint="eastAsia"/>
          <w:color w:val="000000"/>
          <w:sz w:val="32"/>
          <w:szCs w:val="32"/>
        </w:rPr>
        <w:t>对于疑似免疫相关性不良反应，应进行充分的评估以确认病因或排除其他病因</w:t>
      </w:r>
      <w:r w:rsidR="009D69C0">
        <w:rPr>
          <w:rFonts w:ascii="仿宋" w:eastAsia="仿宋" w:hAnsi="仿宋" w:hint="eastAsia"/>
          <w:color w:val="000000"/>
          <w:sz w:val="32"/>
          <w:szCs w:val="32"/>
        </w:rPr>
        <w:t>，</w:t>
      </w:r>
      <w:r w:rsidRPr="005B7187">
        <w:rPr>
          <w:rFonts w:ascii="仿宋" w:eastAsia="仿宋" w:hAnsi="仿宋" w:hint="eastAsia"/>
          <w:bCs/>
          <w:color w:val="000000"/>
          <w:sz w:val="32"/>
          <w:szCs w:val="32"/>
        </w:rPr>
        <w:t>根据个体患者的安全性和耐受性，可能需要暂停给药或永久停药。不建议增加或减少剂量。有关暂停给药和永久停药的指南，详见</w:t>
      </w:r>
      <w:r w:rsidR="009D69C0">
        <w:rPr>
          <w:rFonts w:ascii="仿宋" w:eastAsia="仿宋" w:hAnsi="仿宋" w:hint="eastAsia"/>
          <w:bCs/>
          <w:color w:val="000000"/>
          <w:sz w:val="32"/>
          <w:szCs w:val="32"/>
        </w:rPr>
        <w:t>附</w:t>
      </w:r>
      <w:r w:rsidRPr="005B7187">
        <w:rPr>
          <w:rFonts w:ascii="仿宋" w:eastAsia="仿宋" w:hAnsi="仿宋" w:hint="eastAsia"/>
          <w:bCs/>
          <w:color w:val="000000"/>
          <w:sz w:val="32"/>
          <w:szCs w:val="32"/>
        </w:rPr>
        <w:t>表</w:t>
      </w:r>
      <w:r w:rsidRPr="005B7187">
        <w:rPr>
          <w:rFonts w:ascii="仿宋" w:eastAsia="仿宋" w:hAnsi="仿宋"/>
          <w:bCs/>
          <w:color w:val="000000"/>
          <w:sz w:val="32"/>
          <w:szCs w:val="32"/>
        </w:rPr>
        <w:t>1所述。</w:t>
      </w:r>
    </w:p>
    <w:p w14:paraId="2E133654" w14:textId="77777777" w:rsidR="00601D3A" w:rsidRPr="00601D3A" w:rsidRDefault="009D69C0" w:rsidP="00601D3A">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601D3A" w:rsidRPr="00601D3A">
        <w:rPr>
          <w:rFonts w:ascii="仿宋" w:eastAsia="仿宋" w:hAnsi="仿宋" w:hint="eastAsia"/>
          <w:color w:val="000000"/>
          <w:sz w:val="32"/>
          <w:szCs w:val="32"/>
        </w:rPr>
        <w:t>.目前尚无针对中重度肝功能不全患者的研究数据，中度或重度肝功能不全患者不推荐使用。轻度肝功能不全患者应在医生指导下慎用本品，如需使用，无需进行剂量调整。</w:t>
      </w:r>
    </w:p>
    <w:p w14:paraId="32180AFC" w14:textId="77777777" w:rsidR="00601D3A" w:rsidRPr="00601D3A" w:rsidRDefault="009D69C0" w:rsidP="00601D3A">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601D3A" w:rsidRPr="00601D3A">
        <w:rPr>
          <w:rFonts w:ascii="仿宋" w:eastAsia="仿宋" w:hAnsi="仿宋" w:hint="eastAsia"/>
          <w:color w:val="000000"/>
          <w:sz w:val="32"/>
          <w:szCs w:val="32"/>
        </w:rPr>
        <w:t>.目前尚无针对重度肾功能不全患者的研究数据，重度肾功能不全患者不推荐使用。轻度或中度肾功能不全患者应在医生指导下慎用本品，如需使用，无需进行剂量调整。</w:t>
      </w:r>
    </w:p>
    <w:p w14:paraId="5F6A308C" w14:textId="77777777" w:rsidR="00601D3A" w:rsidRPr="00601D3A" w:rsidRDefault="009D69C0" w:rsidP="00601D3A">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601D3A" w:rsidRPr="00601D3A">
        <w:rPr>
          <w:rFonts w:ascii="仿宋" w:eastAsia="仿宋" w:hAnsi="仿宋" w:hint="eastAsia"/>
          <w:color w:val="000000"/>
          <w:sz w:val="32"/>
          <w:szCs w:val="32"/>
        </w:rPr>
        <w:t>.建议哺乳期妇女在接受本品治疗期间及末次给药后至少5个月内停止哺乳。育龄期妇女在接受本品治疗期间，以及最后一次本品给药后至少5个月内应采用有效避孕措施。</w:t>
      </w:r>
    </w:p>
    <w:p w14:paraId="07D5643F" w14:textId="77777777" w:rsidR="00601D3A" w:rsidRPr="00601D3A" w:rsidRDefault="009D69C0" w:rsidP="00601D3A">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8</w:t>
      </w:r>
      <w:r w:rsidR="00601D3A" w:rsidRPr="00601D3A">
        <w:rPr>
          <w:rFonts w:ascii="仿宋" w:eastAsia="仿宋" w:hAnsi="仿宋" w:hint="eastAsia"/>
          <w:color w:val="000000"/>
          <w:sz w:val="32"/>
          <w:szCs w:val="32"/>
        </w:rPr>
        <w:t>.因可能干扰本品药效学活性，应避免在开始本品治疗前使用全身性</w:t>
      </w:r>
      <w:r w:rsidR="00D63D78">
        <w:rPr>
          <w:rFonts w:ascii="仿宋" w:eastAsia="仿宋" w:hAnsi="仿宋" w:hint="eastAsia"/>
          <w:color w:val="000000"/>
          <w:sz w:val="32"/>
          <w:szCs w:val="32"/>
        </w:rPr>
        <w:t>糖皮质激素</w:t>
      </w:r>
      <w:r w:rsidR="00601D3A" w:rsidRPr="00601D3A">
        <w:rPr>
          <w:rFonts w:ascii="仿宋" w:eastAsia="仿宋" w:hAnsi="仿宋" w:hint="eastAsia"/>
          <w:color w:val="000000"/>
          <w:sz w:val="32"/>
          <w:szCs w:val="32"/>
        </w:rPr>
        <w:t>及其他免疫抑制剂。但是如果为了</w:t>
      </w:r>
      <w:r w:rsidR="00601D3A" w:rsidRPr="00601D3A">
        <w:rPr>
          <w:rFonts w:ascii="仿宋" w:eastAsia="仿宋" w:hAnsi="仿宋" w:hint="eastAsia"/>
          <w:color w:val="000000"/>
          <w:sz w:val="32"/>
          <w:szCs w:val="32"/>
        </w:rPr>
        <w:lastRenderedPageBreak/>
        <w:t>治疗免疫相关性不良反应，可在开始本品治疗后使用全身性</w:t>
      </w:r>
      <w:r w:rsidR="00D63D78">
        <w:rPr>
          <w:rFonts w:ascii="仿宋" w:eastAsia="仿宋" w:hAnsi="仿宋" w:hint="eastAsia"/>
          <w:color w:val="000000"/>
          <w:sz w:val="32"/>
          <w:szCs w:val="32"/>
        </w:rPr>
        <w:t>糖皮质激素</w:t>
      </w:r>
      <w:r w:rsidR="00601D3A" w:rsidRPr="00601D3A">
        <w:rPr>
          <w:rFonts w:ascii="仿宋" w:eastAsia="仿宋" w:hAnsi="仿宋" w:hint="eastAsia"/>
          <w:color w:val="000000"/>
          <w:sz w:val="32"/>
          <w:szCs w:val="32"/>
        </w:rPr>
        <w:t>及其他免疫抑制剂。</w:t>
      </w:r>
    </w:p>
    <w:p w14:paraId="20738241" w14:textId="77777777" w:rsidR="00601D3A" w:rsidRPr="00136FBE" w:rsidRDefault="009D69C0" w:rsidP="00601D3A">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9</w:t>
      </w:r>
      <w:r w:rsidR="00601D3A" w:rsidRPr="00601D3A">
        <w:rPr>
          <w:rFonts w:ascii="仿宋" w:eastAsia="仿宋" w:hAnsi="仿宋" w:hint="eastAsia"/>
          <w:color w:val="000000"/>
          <w:sz w:val="32"/>
          <w:szCs w:val="32"/>
        </w:rPr>
        <w:t>.其他：单药治疗复发难治结外NK/T细胞淋巴瘤（仅有Ⅱ期临床研究数据）。单药治疗复发难治外周T细胞淋巴瘤（仅有Ⅱ期临床研究数据）。</w:t>
      </w:r>
    </w:p>
    <w:p w14:paraId="0A58C864" w14:textId="77777777" w:rsidR="00441816" w:rsidRPr="00136FBE" w:rsidRDefault="00441816" w:rsidP="00F111D5">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十二、泽布替尼</w:t>
      </w:r>
      <w:r w:rsidRPr="00136FBE">
        <w:rPr>
          <w:rFonts w:ascii="黑体" w:eastAsia="黑体" w:hAnsi="黑体"/>
          <w:color w:val="000000"/>
          <w:sz w:val="32"/>
          <w:szCs w:val="32"/>
        </w:rPr>
        <w:t>Z</w:t>
      </w:r>
      <w:r w:rsidRPr="00136FBE">
        <w:rPr>
          <w:rFonts w:ascii="黑体" w:eastAsia="黑体" w:hAnsi="黑体" w:hint="eastAsia"/>
          <w:color w:val="000000"/>
          <w:sz w:val="32"/>
          <w:szCs w:val="32"/>
        </w:rPr>
        <w:t>a</w:t>
      </w:r>
      <w:r w:rsidRPr="00136FBE">
        <w:rPr>
          <w:rFonts w:ascii="黑体" w:eastAsia="黑体" w:hAnsi="黑体"/>
          <w:color w:val="000000"/>
          <w:sz w:val="32"/>
          <w:szCs w:val="32"/>
        </w:rPr>
        <w:t>nubrutinib</w:t>
      </w:r>
    </w:p>
    <w:p w14:paraId="0B0C5077" w14:textId="77777777" w:rsidR="00E66441" w:rsidRPr="00E66441" w:rsidRDefault="00E66441" w:rsidP="00E66441">
      <w:pPr>
        <w:spacing w:line="360" w:lineRule="auto"/>
        <w:ind w:firstLineChars="200" w:firstLine="643"/>
        <w:rPr>
          <w:rFonts w:ascii="仿宋" w:eastAsia="仿宋" w:hAnsi="仿宋"/>
          <w:b/>
          <w:color w:val="000000"/>
          <w:sz w:val="32"/>
          <w:szCs w:val="32"/>
        </w:rPr>
      </w:pPr>
      <w:r w:rsidRPr="00E66441">
        <w:rPr>
          <w:rFonts w:ascii="仿宋" w:eastAsia="仿宋" w:hAnsi="仿宋" w:hint="eastAsia"/>
          <w:b/>
          <w:color w:val="000000"/>
          <w:sz w:val="32"/>
          <w:szCs w:val="32"/>
        </w:rPr>
        <w:t>制剂与规格：</w:t>
      </w:r>
      <w:r w:rsidR="005B7187" w:rsidRPr="005B7187">
        <w:rPr>
          <w:rFonts w:ascii="仿宋" w:eastAsia="仿宋" w:hAnsi="仿宋" w:hint="eastAsia"/>
          <w:bCs/>
          <w:color w:val="000000"/>
          <w:sz w:val="32"/>
          <w:szCs w:val="32"/>
        </w:rPr>
        <w:t>胶囊：</w:t>
      </w:r>
      <w:r w:rsidR="005B7187" w:rsidRPr="005B7187">
        <w:rPr>
          <w:rFonts w:ascii="仿宋" w:eastAsia="仿宋" w:hAnsi="仿宋"/>
          <w:bCs/>
          <w:color w:val="000000"/>
          <w:sz w:val="32"/>
          <w:szCs w:val="32"/>
        </w:rPr>
        <w:t>80mg</w:t>
      </w:r>
    </w:p>
    <w:p w14:paraId="7277982E" w14:textId="77777777" w:rsidR="002E3CD3" w:rsidRDefault="00E66441" w:rsidP="00E66441">
      <w:pPr>
        <w:spacing w:line="360" w:lineRule="auto"/>
        <w:ind w:firstLineChars="200" w:firstLine="643"/>
        <w:rPr>
          <w:rFonts w:ascii="仿宋" w:eastAsia="仿宋" w:hAnsi="仿宋"/>
          <w:b/>
          <w:color w:val="000000"/>
          <w:sz w:val="32"/>
          <w:szCs w:val="32"/>
        </w:rPr>
      </w:pPr>
      <w:r w:rsidRPr="00E66441">
        <w:rPr>
          <w:rFonts w:ascii="仿宋" w:eastAsia="仿宋" w:hAnsi="仿宋" w:hint="eastAsia"/>
          <w:b/>
          <w:color w:val="000000"/>
          <w:sz w:val="32"/>
          <w:szCs w:val="32"/>
        </w:rPr>
        <w:t>适应证：</w:t>
      </w:r>
    </w:p>
    <w:p w14:paraId="71160A54" w14:textId="77777777" w:rsidR="002E3CD3" w:rsidRDefault="005B7187" w:rsidP="009D69C0">
      <w:pPr>
        <w:spacing w:line="360" w:lineRule="auto"/>
        <w:ind w:firstLineChars="200" w:firstLine="640"/>
        <w:rPr>
          <w:rFonts w:ascii="仿宋" w:eastAsia="仿宋" w:hAnsi="仿宋"/>
          <w:bCs/>
          <w:color w:val="000000"/>
          <w:sz w:val="32"/>
          <w:szCs w:val="32"/>
        </w:rPr>
      </w:pPr>
      <w:r w:rsidRPr="005B7187">
        <w:rPr>
          <w:rFonts w:ascii="仿宋" w:eastAsia="仿宋" w:hAnsi="仿宋"/>
          <w:bCs/>
          <w:color w:val="000000"/>
          <w:sz w:val="32"/>
          <w:szCs w:val="32"/>
        </w:rPr>
        <w:t>1</w:t>
      </w:r>
      <w:r w:rsidR="002E3CD3">
        <w:rPr>
          <w:rFonts w:ascii="仿宋" w:eastAsia="仿宋" w:hAnsi="仿宋" w:hint="eastAsia"/>
          <w:bCs/>
          <w:color w:val="000000"/>
          <w:sz w:val="32"/>
          <w:szCs w:val="32"/>
        </w:rPr>
        <w:t>．</w:t>
      </w:r>
      <w:r w:rsidRPr="005B7187">
        <w:rPr>
          <w:rFonts w:ascii="仿宋" w:eastAsia="仿宋" w:hAnsi="仿宋" w:hint="eastAsia"/>
          <w:bCs/>
          <w:color w:val="000000"/>
          <w:sz w:val="32"/>
          <w:szCs w:val="32"/>
        </w:rPr>
        <w:t>既往至少接受过一种治疗的成人套细胞淋巴瘤（</w:t>
      </w:r>
      <w:r w:rsidRPr="005B7187">
        <w:rPr>
          <w:rFonts w:ascii="仿宋" w:eastAsia="仿宋" w:hAnsi="仿宋"/>
          <w:bCs/>
          <w:color w:val="000000"/>
          <w:sz w:val="32"/>
          <w:szCs w:val="32"/>
        </w:rPr>
        <w:t>MCL）患者。</w:t>
      </w:r>
    </w:p>
    <w:p w14:paraId="75972ED3" w14:textId="77777777" w:rsidR="00E66441" w:rsidRPr="00E66441" w:rsidRDefault="002E3CD3" w:rsidP="00E66441">
      <w:pPr>
        <w:spacing w:line="360" w:lineRule="auto"/>
        <w:ind w:firstLineChars="200" w:firstLine="640"/>
        <w:rPr>
          <w:rFonts w:ascii="仿宋" w:eastAsia="仿宋" w:hAnsi="仿宋"/>
          <w:b/>
          <w:color w:val="000000"/>
          <w:sz w:val="32"/>
          <w:szCs w:val="32"/>
        </w:rPr>
      </w:pPr>
      <w:r>
        <w:rPr>
          <w:rFonts w:ascii="仿宋" w:eastAsia="仿宋" w:hAnsi="仿宋" w:hint="eastAsia"/>
          <w:bCs/>
          <w:color w:val="000000"/>
          <w:sz w:val="32"/>
          <w:szCs w:val="32"/>
        </w:rPr>
        <w:t>2.</w:t>
      </w:r>
      <w:r w:rsidR="005B7187" w:rsidRPr="005B7187">
        <w:rPr>
          <w:rFonts w:ascii="仿宋" w:eastAsia="仿宋" w:hAnsi="仿宋" w:hint="eastAsia"/>
          <w:bCs/>
          <w:color w:val="000000"/>
          <w:sz w:val="32"/>
          <w:szCs w:val="32"/>
        </w:rPr>
        <w:t>既往至少接受过一种治疗的成人慢性淋巴细胞白血病（</w:t>
      </w:r>
      <w:r w:rsidR="005B7187" w:rsidRPr="005B7187">
        <w:rPr>
          <w:rFonts w:ascii="仿宋" w:eastAsia="仿宋" w:hAnsi="仿宋"/>
          <w:bCs/>
          <w:color w:val="000000"/>
          <w:sz w:val="32"/>
          <w:szCs w:val="32"/>
        </w:rPr>
        <w:t xml:space="preserve">CLL）/ </w:t>
      </w:r>
      <w:r w:rsidR="005B7187" w:rsidRPr="005B7187">
        <w:rPr>
          <w:rFonts w:ascii="仿宋" w:eastAsia="仿宋" w:hAnsi="仿宋" w:hint="eastAsia"/>
          <w:bCs/>
          <w:color w:val="000000"/>
          <w:sz w:val="32"/>
          <w:szCs w:val="32"/>
        </w:rPr>
        <w:t>小淋巴细胞淋巴瘤（</w:t>
      </w:r>
      <w:r w:rsidR="005B7187" w:rsidRPr="005B7187">
        <w:rPr>
          <w:rFonts w:ascii="仿宋" w:eastAsia="仿宋" w:hAnsi="仿宋"/>
          <w:bCs/>
          <w:color w:val="000000"/>
          <w:sz w:val="32"/>
          <w:szCs w:val="32"/>
        </w:rPr>
        <w:t>SLL）患者。</w:t>
      </w:r>
    </w:p>
    <w:p w14:paraId="43EC4DA9" w14:textId="77777777" w:rsidR="00E66441" w:rsidRPr="00E66441" w:rsidRDefault="00E66441" w:rsidP="00E66441">
      <w:pPr>
        <w:spacing w:line="360" w:lineRule="auto"/>
        <w:ind w:firstLineChars="200" w:firstLine="643"/>
        <w:rPr>
          <w:rFonts w:ascii="仿宋" w:eastAsia="仿宋" w:hAnsi="仿宋"/>
          <w:b/>
          <w:color w:val="000000"/>
          <w:sz w:val="32"/>
          <w:szCs w:val="32"/>
        </w:rPr>
      </w:pPr>
      <w:r w:rsidRPr="00E66441">
        <w:rPr>
          <w:rFonts w:ascii="仿宋" w:eastAsia="仿宋" w:hAnsi="仿宋" w:hint="eastAsia"/>
          <w:b/>
          <w:color w:val="000000"/>
          <w:sz w:val="32"/>
          <w:szCs w:val="32"/>
        </w:rPr>
        <w:t>合理用药要点：</w:t>
      </w:r>
    </w:p>
    <w:p w14:paraId="5B6C33B8"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1.</w:t>
      </w:r>
      <w:r w:rsidR="005B7187" w:rsidRPr="005B7187">
        <w:rPr>
          <w:rFonts w:ascii="仿宋" w:eastAsia="仿宋" w:hAnsi="仿宋" w:hint="eastAsia"/>
          <w:bCs/>
          <w:color w:val="000000"/>
          <w:sz w:val="32"/>
          <w:szCs w:val="32"/>
        </w:rPr>
        <w:t>泽布替尼用于</w:t>
      </w:r>
      <w:r w:rsidR="005B7187" w:rsidRPr="005B7187">
        <w:rPr>
          <w:rFonts w:ascii="仿宋" w:eastAsia="仿宋" w:hAnsi="仿宋"/>
          <w:bCs/>
          <w:color w:val="000000"/>
          <w:sz w:val="32"/>
          <w:szCs w:val="32"/>
        </w:rPr>
        <w:t>CLL治疗前，应进行严格</w:t>
      </w:r>
      <w:r w:rsidR="005B7187" w:rsidRPr="009D69C0">
        <w:rPr>
          <w:rFonts w:ascii="仿宋" w:eastAsia="仿宋" w:hAnsi="仿宋"/>
          <w:bCs/>
          <w:color w:val="000000"/>
          <w:sz w:val="32"/>
          <w:szCs w:val="32"/>
        </w:rPr>
        <w:t>临</w:t>
      </w:r>
      <w:r w:rsidR="005B7187" w:rsidRPr="005B7187">
        <w:rPr>
          <w:rFonts w:ascii="仿宋" w:eastAsia="仿宋" w:hAnsi="仿宋"/>
          <w:bCs/>
          <w:color w:val="000000"/>
          <w:sz w:val="32"/>
          <w:szCs w:val="32"/>
        </w:rPr>
        <w:t>床评估，如果患者有明确del(17p)，</w:t>
      </w:r>
      <w:r w:rsidR="009D69C0" w:rsidRPr="009D69C0">
        <w:rPr>
          <w:rFonts w:ascii="仿宋" w:eastAsia="仿宋" w:hAnsi="仿宋" w:hint="eastAsia"/>
          <w:bCs/>
          <w:color w:val="000000"/>
          <w:sz w:val="32"/>
          <w:szCs w:val="32"/>
        </w:rPr>
        <w:t>选BTK抑制剂治疗</w:t>
      </w:r>
      <w:r w:rsidR="005B7187" w:rsidRPr="005B7187">
        <w:rPr>
          <w:rFonts w:ascii="仿宋" w:eastAsia="仿宋" w:hAnsi="仿宋" w:hint="eastAsia"/>
          <w:bCs/>
          <w:color w:val="000000"/>
          <w:sz w:val="32"/>
          <w:szCs w:val="32"/>
        </w:rPr>
        <w:t>。</w:t>
      </w:r>
    </w:p>
    <w:p w14:paraId="61090630"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sidR="005B7187" w:rsidRPr="005B7187">
        <w:rPr>
          <w:rFonts w:ascii="仿宋" w:eastAsia="仿宋" w:hAnsi="仿宋" w:hint="eastAsia"/>
          <w:bCs/>
          <w:color w:val="000000"/>
          <w:sz w:val="32"/>
          <w:szCs w:val="32"/>
        </w:rPr>
        <w:t>应该按照相关疾病指南，治疗前做基线评估，治疗期间定期监测治疗反应及毒性，注意肿瘤溶解综合征（尤其在</w:t>
      </w:r>
      <w:r w:rsidR="005B7187" w:rsidRPr="005B7187">
        <w:rPr>
          <w:rFonts w:ascii="仿宋" w:eastAsia="仿宋" w:hAnsi="仿宋"/>
          <w:bCs/>
          <w:color w:val="000000"/>
          <w:sz w:val="32"/>
          <w:szCs w:val="32"/>
        </w:rPr>
        <w:t>CLL患者中）。</w:t>
      </w:r>
    </w:p>
    <w:p w14:paraId="323F524E"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5B7187" w:rsidRPr="005B7187">
        <w:rPr>
          <w:rFonts w:ascii="仿宋" w:eastAsia="仿宋" w:hAnsi="仿宋" w:hint="eastAsia"/>
          <w:bCs/>
          <w:color w:val="000000"/>
          <w:sz w:val="32"/>
          <w:szCs w:val="32"/>
        </w:rPr>
        <w:t>治疗</w:t>
      </w:r>
      <w:r w:rsidR="005B7187" w:rsidRPr="005B7187">
        <w:rPr>
          <w:rFonts w:ascii="仿宋" w:eastAsia="仿宋" w:hAnsi="仿宋"/>
          <w:bCs/>
          <w:color w:val="000000"/>
          <w:sz w:val="32"/>
          <w:szCs w:val="32"/>
        </w:rPr>
        <w:t>MCL与CLL/SLL的推荐剂量均为160mg，每日两次直至疾病进展或出现不可接受的毒性。</w:t>
      </w:r>
    </w:p>
    <w:p w14:paraId="42453F45"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sidR="005B7187" w:rsidRPr="005B7187">
        <w:rPr>
          <w:rFonts w:ascii="仿宋" w:eastAsia="仿宋" w:hAnsi="仿宋" w:hint="eastAsia"/>
          <w:bCs/>
          <w:color w:val="000000"/>
          <w:sz w:val="32"/>
          <w:szCs w:val="32"/>
        </w:rPr>
        <w:t>轻度和中度肝功能损伤患者（</w:t>
      </w:r>
      <w:r w:rsidR="005B7187" w:rsidRPr="005B7187">
        <w:rPr>
          <w:rFonts w:ascii="仿宋" w:eastAsia="仿宋" w:hAnsi="仿宋"/>
          <w:bCs/>
          <w:color w:val="000000"/>
          <w:sz w:val="32"/>
          <w:szCs w:val="32"/>
        </w:rPr>
        <w:t>Child-Pugh A级和B级）无需调整剂量。重度肝功能损伤患者（Child-Pugh B级和C</w:t>
      </w:r>
      <w:r w:rsidR="005B7187" w:rsidRPr="005B7187">
        <w:rPr>
          <w:rFonts w:ascii="仿宋" w:eastAsia="仿宋" w:hAnsi="仿宋"/>
          <w:bCs/>
          <w:color w:val="000000"/>
          <w:sz w:val="32"/>
          <w:szCs w:val="32"/>
        </w:rPr>
        <w:lastRenderedPageBreak/>
        <w:t>级）的推荐剂量是80mg，每日两次。</w:t>
      </w:r>
    </w:p>
    <w:p w14:paraId="75991819"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005B7187" w:rsidRPr="005B7187">
        <w:rPr>
          <w:rFonts w:ascii="仿宋" w:eastAsia="仿宋" w:hAnsi="仿宋" w:hint="eastAsia"/>
          <w:bCs/>
          <w:color w:val="000000"/>
          <w:sz w:val="32"/>
          <w:szCs w:val="32"/>
        </w:rPr>
        <w:t>口服给药，每天的用药时间大致固定。应用水送服整粒胶囊，可在饭前或饭后服用。禁止打开、弄破或咀嚼胶囊。如果未在计划时间服用本品，患者应在相邻服药间隔至少</w:t>
      </w:r>
      <w:r w:rsidR="005B7187" w:rsidRPr="005B7187">
        <w:rPr>
          <w:rFonts w:ascii="仿宋" w:eastAsia="仿宋" w:hAnsi="仿宋"/>
          <w:bCs/>
          <w:color w:val="000000"/>
          <w:sz w:val="32"/>
          <w:szCs w:val="32"/>
        </w:rPr>
        <w:t>8小时基础上尽快服用，并在后续恢复正常用药计划。请勿额外服用本品以弥补漏服剂量。推荐剂量为每次160mg口服，每日两次，直到发生疾病进展或出现不可耐受的毒性。</w:t>
      </w:r>
    </w:p>
    <w:p w14:paraId="0D3E75B7"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6.</w:t>
      </w:r>
      <w:r w:rsidR="005B7187" w:rsidRPr="005B7187">
        <w:rPr>
          <w:rFonts w:ascii="仿宋" w:eastAsia="仿宋" w:hAnsi="仿宋" w:hint="eastAsia"/>
          <w:bCs/>
          <w:color w:val="000000"/>
          <w:sz w:val="32"/>
          <w:szCs w:val="32"/>
        </w:rPr>
        <w:t>粒细胞减少、血小板减少、贫血是常见的不良反应。用药期间需要监测</w:t>
      </w:r>
      <w:r w:rsidR="00257819">
        <w:rPr>
          <w:rFonts w:ascii="仿宋" w:eastAsia="仿宋" w:hAnsi="仿宋" w:hint="eastAsia"/>
          <w:bCs/>
          <w:color w:val="000000"/>
          <w:sz w:val="32"/>
          <w:szCs w:val="32"/>
        </w:rPr>
        <w:t>血常规</w:t>
      </w:r>
      <w:r w:rsidR="005B7187" w:rsidRPr="005B7187">
        <w:rPr>
          <w:rFonts w:ascii="仿宋" w:eastAsia="仿宋" w:hAnsi="仿宋" w:hint="eastAsia"/>
          <w:bCs/>
          <w:color w:val="000000"/>
          <w:sz w:val="32"/>
          <w:szCs w:val="32"/>
        </w:rPr>
        <w:t>。出现</w:t>
      </w:r>
      <w:r w:rsidR="005B7187" w:rsidRPr="005B7187">
        <w:rPr>
          <w:rFonts w:ascii="仿宋" w:eastAsia="仿宋" w:hAnsi="仿宋"/>
          <w:bCs/>
          <w:color w:val="000000"/>
          <w:sz w:val="32"/>
          <w:szCs w:val="32"/>
        </w:rPr>
        <w:t>3级血液学毒性及以上注意剂量调整。≥3级伴感染或发热的中性粒细胞减少症或者4级血液学毒性时，应中断治疗，待毒性症状消退至1级或基线水平（恢复）时，可以起始剂量重新开始治疗。如果该毒性再次发生，应再次中断治疗，待毒性症状消退至1级或基线水平（恢复）时以每次80mg，每日两次的剂量重新开始用药。如果在剂量降低后该毒性第三次发生，应再次中断治疗，待毒性症状消退至1级或基线水平（恢复）时以每次80mg，每日一次的剂量重新开始用药。如果在两次剂量降低后该毒性第四次发生，应终止本品治疗。</w:t>
      </w:r>
    </w:p>
    <w:p w14:paraId="3036A00F" w14:textId="77777777" w:rsidR="00E66441" w:rsidRPr="002E3CD3" w:rsidRDefault="002E3CD3" w:rsidP="00E66441">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7.</w:t>
      </w:r>
      <w:r w:rsidR="005B7187" w:rsidRPr="005B7187">
        <w:rPr>
          <w:rFonts w:ascii="仿宋" w:eastAsia="仿宋" w:hAnsi="仿宋" w:hint="eastAsia"/>
          <w:bCs/>
          <w:color w:val="000000"/>
          <w:sz w:val="32"/>
          <w:szCs w:val="32"/>
        </w:rPr>
        <w:t>与</w:t>
      </w:r>
      <w:r w:rsidR="005B7187" w:rsidRPr="005B7187">
        <w:rPr>
          <w:rFonts w:ascii="仿宋" w:eastAsia="仿宋" w:hAnsi="仿宋"/>
          <w:bCs/>
          <w:color w:val="000000"/>
          <w:sz w:val="32"/>
          <w:szCs w:val="32"/>
        </w:rPr>
        <w:t xml:space="preserve">CYP3A </w:t>
      </w:r>
      <w:r w:rsidR="005B7187" w:rsidRPr="005B7187">
        <w:rPr>
          <w:rFonts w:ascii="仿宋" w:eastAsia="仿宋" w:hAnsi="仿宋" w:hint="eastAsia"/>
          <w:bCs/>
          <w:color w:val="000000"/>
          <w:sz w:val="32"/>
          <w:szCs w:val="32"/>
        </w:rPr>
        <w:t>抑制剂或诱导剂联合给药时的剂量调整。</w:t>
      </w:r>
    </w:p>
    <w:p w14:paraId="3AA72A3A" w14:textId="77777777" w:rsidR="00441816" w:rsidRPr="00136FBE" w:rsidRDefault="00441816" w:rsidP="00441816">
      <w:pPr>
        <w:spacing w:line="360" w:lineRule="auto"/>
        <w:jc w:val="center"/>
        <w:rPr>
          <w:rFonts w:ascii="仿宋" w:eastAsia="仿宋" w:hAnsi="仿宋"/>
          <w:b/>
          <w:bCs/>
          <w:color w:val="000000"/>
        </w:rPr>
      </w:pPr>
      <w:r w:rsidRPr="00136FBE">
        <w:rPr>
          <w:rFonts w:ascii="仿宋" w:eastAsia="仿宋" w:hAnsi="仿宋"/>
          <w:b/>
          <w:bCs/>
          <w:color w:val="000000"/>
        </w:rPr>
        <w:t>表</w:t>
      </w:r>
      <w:r w:rsidR="008C6B94">
        <w:rPr>
          <w:rFonts w:ascii="仿宋" w:eastAsia="仿宋" w:hAnsi="仿宋" w:hint="eastAsia"/>
          <w:b/>
          <w:bCs/>
          <w:color w:val="000000"/>
        </w:rPr>
        <w:t>3</w:t>
      </w:r>
      <w:r w:rsidR="00AD0EF1">
        <w:rPr>
          <w:rFonts w:ascii="仿宋" w:eastAsia="仿宋" w:hAnsi="仿宋" w:hint="eastAsia"/>
          <w:b/>
          <w:bCs/>
          <w:color w:val="000000"/>
        </w:rPr>
        <w:t xml:space="preserve"> </w:t>
      </w:r>
      <w:r w:rsidRPr="00136FBE">
        <w:rPr>
          <w:rFonts w:ascii="仿宋" w:eastAsia="仿宋" w:hAnsi="仿宋" w:hint="eastAsia"/>
          <w:b/>
          <w:bCs/>
          <w:color w:val="000000"/>
        </w:rPr>
        <w:t>与C</w:t>
      </w:r>
      <w:r w:rsidRPr="00136FBE">
        <w:rPr>
          <w:rFonts w:ascii="仿宋" w:eastAsia="仿宋" w:hAnsi="仿宋"/>
          <w:b/>
          <w:bCs/>
          <w:color w:val="000000"/>
        </w:rPr>
        <w:t>YP3A</w:t>
      </w:r>
      <w:r w:rsidRPr="00136FBE">
        <w:rPr>
          <w:rFonts w:ascii="仿宋" w:eastAsia="仿宋" w:hAnsi="仿宋" w:hint="eastAsia"/>
          <w:b/>
          <w:bCs/>
          <w:color w:val="000000"/>
        </w:rPr>
        <w:t>抑制剂或诱导剂联合给药时的剂量调整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211"/>
      </w:tblGrid>
      <w:tr w:rsidR="00441816" w:rsidRPr="00136FBE" w14:paraId="3946314A" w14:textId="77777777" w:rsidTr="008438A0">
        <w:tc>
          <w:tcPr>
            <w:tcW w:w="3085" w:type="dxa"/>
            <w:vAlign w:val="center"/>
          </w:tcPr>
          <w:p w14:paraId="3A0BD78D" w14:textId="77777777" w:rsidR="00441816" w:rsidRPr="00136FBE" w:rsidRDefault="00441816" w:rsidP="008438A0">
            <w:pPr>
              <w:spacing w:line="360" w:lineRule="auto"/>
              <w:rPr>
                <w:rFonts w:ascii="仿宋" w:eastAsia="仿宋" w:hAnsi="仿宋"/>
                <w:b/>
                <w:color w:val="000000"/>
              </w:rPr>
            </w:pPr>
            <w:r w:rsidRPr="00136FBE">
              <w:rPr>
                <w:rFonts w:ascii="仿宋" w:eastAsia="仿宋" w:hAnsi="仿宋" w:hint="eastAsia"/>
                <w:b/>
                <w:color w:val="000000"/>
              </w:rPr>
              <w:t>联合给药</w:t>
            </w:r>
          </w:p>
        </w:tc>
        <w:tc>
          <w:tcPr>
            <w:tcW w:w="5211" w:type="dxa"/>
            <w:vAlign w:val="center"/>
          </w:tcPr>
          <w:p w14:paraId="735905F3" w14:textId="77777777" w:rsidR="00441816" w:rsidRPr="00136FBE" w:rsidRDefault="00441816" w:rsidP="008438A0">
            <w:pPr>
              <w:spacing w:line="360" w:lineRule="auto"/>
              <w:rPr>
                <w:rFonts w:ascii="仿宋" w:eastAsia="仿宋" w:hAnsi="仿宋"/>
                <w:b/>
                <w:color w:val="000000"/>
              </w:rPr>
            </w:pPr>
            <w:r w:rsidRPr="00136FBE">
              <w:rPr>
                <w:rFonts w:ascii="仿宋" w:eastAsia="仿宋" w:hAnsi="仿宋" w:hint="eastAsia"/>
                <w:b/>
                <w:color w:val="000000"/>
              </w:rPr>
              <w:t>剂量调整建议</w:t>
            </w:r>
          </w:p>
        </w:tc>
      </w:tr>
      <w:tr w:rsidR="00E66441" w:rsidRPr="00136FBE" w14:paraId="57534122" w14:textId="77777777" w:rsidTr="008438A0">
        <w:tc>
          <w:tcPr>
            <w:tcW w:w="3085" w:type="dxa"/>
          </w:tcPr>
          <w:p w14:paraId="54DDC105" w14:textId="77777777" w:rsidR="00E66441" w:rsidRPr="00136FBE" w:rsidRDefault="00E66441" w:rsidP="00E66441">
            <w:pPr>
              <w:spacing w:line="360" w:lineRule="auto"/>
              <w:rPr>
                <w:rFonts w:ascii="仿宋" w:eastAsia="仿宋" w:hAnsi="仿宋"/>
                <w:bCs/>
                <w:color w:val="000000"/>
              </w:rPr>
            </w:pPr>
            <w:r w:rsidRPr="00136FBE">
              <w:rPr>
                <w:rFonts w:ascii="仿宋" w:eastAsia="仿宋" w:hAnsi="仿宋" w:hint="eastAsia"/>
                <w:bCs/>
                <w:color w:val="000000"/>
              </w:rPr>
              <w:t>强效C</w:t>
            </w:r>
            <w:r w:rsidRPr="00136FBE">
              <w:rPr>
                <w:rFonts w:ascii="仿宋" w:eastAsia="仿宋" w:hAnsi="仿宋"/>
                <w:bCs/>
                <w:color w:val="000000"/>
              </w:rPr>
              <w:t>YP3A</w:t>
            </w:r>
            <w:r w:rsidRPr="00136FBE">
              <w:rPr>
                <w:rFonts w:ascii="仿宋" w:eastAsia="仿宋" w:hAnsi="仿宋" w:hint="eastAsia"/>
                <w:bCs/>
                <w:color w:val="000000"/>
              </w:rPr>
              <w:t>抑制剂</w:t>
            </w:r>
          </w:p>
        </w:tc>
        <w:tc>
          <w:tcPr>
            <w:tcW w:w="5211" w:type="dxa"/>
          </w:tcPr>
          <w:p w14:paraId="5A42AE30" w14:textId="77777777" w:rsidR="00E66441" w:rsidRPr="00E66441" w:rsidRDefault="005B7187" w:rsidP="00E66441">
            <w:pPr>
              <w:autoSpaceDE w:val="0"/>
              <w:autoSpaceDN w:val="0"/>
              <w:rPr>
                <w:rFonts w:ascii="仿宋" w:eastAsia="仿宋" w:hAnsi="仿宋"/>
                <w:bCs/>
                <w:color w:val="000000"/>
              </w:rPr>
            </w:pPr>
            <w:r w:rsidRPr="005B7187">
              <w:rPr>
                <w:rFonts w:ascii="仿宋" w:eastAsia="仿宋" w:hAnsi="仿宋" w:hint="eastAsia"/>
                <w:bCs/>
                <w:color w:val="000000"/>
              </w:rPr>
              <w:t>每次</w:t>
            </w:r>
            <w:r w:rsidRPr="005B7187">
              <w:rPr>
                <w:rFonts w:ascii="仿宋" w:eastAsia="仿宋" w:hAnsi="仿宋"/>
                <w:bCs/>
                <w:color w:val="000000"/>
              </w:rPr>
              <w:t>80 mg</w:t>
            </w:r>
            <w:r w:rsidRPr="005B7187">
              <w:rPr>
                <w:rFonts w:ascii="仿宋" w:eastAsia="仿宋" w:hAnsi="仿宋" w:hint="eastAsia"/>
                <w:bCs/>
                <w:color w:val="000000"/>
              </w:rPr>
              <w:t>，每日一次</w:t>
            </w:r>
          </w:p>
          <w:p w14:paraId="4B214B51" w14:textId="77777777" w:rsidR="00E66441" w:rsidRPr="00136FBE" w:rsidRDefault="005B7187" w:rsidP="00E66441">
            <w:pPr>
              <w:spacing w:line="360" w:lineRule="auto"/>
              <w:rPr>
                <w:rFonts w:ascii="仿宋" w:eastAsia="仿宋" w:hAnsi="仿宋"/>
                <w:bCs/>
                <w:color w:val="000000"/>
              </w:rPr>
            </w:pPr>
            <w:r w:rsidRPr="005B7187">
              <w:rPr>
                <w:rFonts w:ascii="仿宋" w:eastAsia="仿宋" w:hAnsi="仿宋" w:hint="eastAsia"/>
                <w:bCs/>
                <w:color w:val="000000"/>
              </w:rPr>
              <w:t>出现不良反应时再次剂量调整</w:t>
            </w:r>
          </w:p>
        </w:tc>
      </w:tr>
      <w:tr w:rsidR="00E66441" w:rsidRPr="00136FBE" w14:paraId="21DE8D33" w14:textId="77777777" w:rsidTr="008438A0">
        <w:tc>
          <w:tcPr>
            <w:tcW w:w="3085" w:type="dxa"/>
          </w:tcPr>
          <w:p w14:paraId="2FF6A5F8" w14:textId="77777777" w:rsidR="00E66441" w:rsidRPr="00136FBE" w:rsidRDefault="00E66441" w:rsidP="00E66441">
            <w:pPr>
              <w:spacing w:line="360" w:lineRule="auto"/>
              <w:rPr>
                <w:rFonts w:ascii="仿宋" w:eastAsia="仿宋" w:hAnsi="仿宋"/>
                <w:bCs/>
                <w:color w:val="000000"/>
              </w:rPr>
            </w:pPr>
            <w:r w:rsidRPr="00136FBE">
              <w:rPr>
                <w:rFonts w:ascii="仿宋" w:eastAsia="仿宋" w:hAnsi="仿宋" w:hint="eastAsia"/>
                <w:bCs/>
                <w:color w:val="000000"/>
              </w:rPr>
              <w:lastRenderedPageBreak/>
              <w:t>中效C</w:t>
            </w:r>
            <w:r w:rsidRPr="00136FBE">
              <w:rPr>
                <w:rFonts w:ascii="仿宋" w:eastAsia="仿宋" w:hAnsi="仿宋"/>
                <w:bCs/>
                <w:color w:val="000000"/>
              </w:rPr>
              <w:t>YP3A</w:t>
            </w:r>
            <w:r w:rsidRPr="00136FBE">
              <w:rPr>
                <w:rFonts w:ascii="仿宋" w:eastAsia="仿宋" w:hAnsi="仿宋" w:hint="eastAsia"/>
                <w:bCs/>
                <w:color w:val="000000"/>
              </w:rPr>
              <w:t>抑制剂</w:t>
            </w:r>
          </w:p>
        </w:tc>
        <w:tc>
          <w:tcPr>
            <w:tcW w:w="5211" w:type="dxa"/>
          </w:tcPr>
          <w:p w14:paraId="2449F529" w14:textId="77777777" w:rsidR="00E66441" w:rsidRPr="00E66441" w:rsidRDefault="005B7187" w:rsidP="00E66441">
            <w:pPr>
              <w:autoSpaceDE w:val="0"/>
              <w:autoSpaceDN w:val="0"/>
              <w:rPr>
                <w:rFonts w:ascii="仿宋" w:eastAsia="仿宋" w:hAnsi="仿宋"/>
                <w:bCs/>
                <w:color w:val="000000"/>
              </w:rPr>
            </w:pPr>
            <w:r w:rsidRPr="005B7187">
              <w:rPr>
                <w:rFonts w:ascii="仿宋" w:eastAsia="仿宋" w:hAnsi="仿宋" w:hint="eastAsia"/>
                <w:bCs/>
                <w:color w:val="000000"/>
              </w:rPr>
              <w:t>每次</w:t>
            </w:r>
            <w:r w:rsidRPr="005B7187">
              <w:rPr>
                <w:rFonts w:ascii="仿宋" w:eastAsia="仿宋" w:hAnsi="仿宋"/>
                <w:bCs/>
                <w:color w:val="000000"/>
              </w:rPr>
              <w:t>80 mg</w:t>
            </w:r>
            <w:r w:rsidRPr="005B7187">
              <w:rPr>
                <w:rFonts w:ascii="仿宋" w:eastAsia="仿宋" w:hAnsi="仿宋" w:hint="eastAsia"/>
                <w:bCs/>
                <w:color w:val="000000"/>
              </w:rPr>
              <w:t>，每日两次</w:t>
            </w:r>
          </w:p>
          <w:p w14:paraId="444EE61C" w14:textId="77777777" w:rsidR="00E66441" w:rsidRPr="00136FBE" w:rsidRDefault="005B7187" w:rsidP="00E66441">
            <w:pPr>
              <w:spacing w:line="360" w:lineRule="auto"/>
              <w:rPr>
                <w:rFonts w:ascii="仿宋" w:eastAsia="仿宋" w:hAnsi="仿宋"/>
                <w:bCs/>
                <w:color w:val="000000"/>
              </w:rPr>
            </w:pPr>
            <w:r w:rsidRPr="005B7187">
              <w:rPr>
                <w:rFonts w:ascii="仿宋" w:eastAsia="仿宋" w:hAnsi="仿宋" w:hint="eastAsia"/>
                <w:bCs/>
                <w:color w:val="000000"/>
              </w:rPr>
              <w:t>出现不良反应时再次剂量调整</w:t>
            </w:r>
          </w:p>
        </w:tc>
      </w:tr>
      <w:tr w:rsidR="00E66441" w:rsidRPr="00136FBE" w14:paraId="48580323" w14:textId="77777777" w:rsidTr="008438A0">
        <w:tc>
          <w:tcPr>
            <w:tcW w:w="3085" w:type="dxa"/>
          </w:tcPr>
          <w:p w14:paraId="71DBACE0" w14:textId="77777777" w:rsidR="00E66441" w:rsidRPr="00136FBE" w:rsidRDefault="00E66441" w:rsidP="00E66441">
            <w:pPr>
              <w:spacing w:line="360" w:lineRule="auto"/>
              <w:rPr>
                <w:rFonts w:ascii="仿宋" w:eastAsia="仿宋" w:hAnsi="仿宋"/>
                <w:bCs/>
                <w:color w:val="000000"/>
              </w:rPr>
            </w:pPr>
            <w:r w:rsidRPr="00136FBE">
              <w:rPr>
                <w:rFonts w:ascii="仿宋" w:eastAsia="仿宋" w:hAnsi="仿宋" w:hint="eastAsia"/>
                <w:bCs/>
                <w:color w:val="000000"/>
              </w:rPr>
              <w:t>强效或中效C</w:t>
            </w:r>
            <w:r w:rsidRPr="00136FBE">
              <w:rPr>
                <w:rFonts w:ascii="仿宋" w:eastAsia="仿宋" w:hAnsi="仿宋"/>
                <w:bCs/>
                <w:color w:val="000000"/>
              </w:rPr>
              <w:t>YP3A</w:t>
            </w:r>
            <w:r w:rsidRPr="00136FBE">
              <w:rPr>
                <w:rFonts w:ascii="仿宋" w:eastAsia="仿宋" w:hAnsi="仿宋" w:hint="eastAsia"/>
                <w:bCs/>
                <w:color w:val="000000"/>
              </w:rPr>
              <w:t>诱导剂</w:t>
            </w:r>
          </w:p>
        </w:tc>
        <w:tc>
          <w:tcPr>
            <w:tcW w:w="5211" w:type="dxa"/>
          </w:tcPr>
          <w:p w14:paraId="1383F4EE" w14:textId="77777777" w:rsidR="00E66441" w:rsidRPr="00136FBE" w:rsidRDefault="005B7187" w:rsidP="00E66441">
            <w:pPr>
              <w:spacing w:line="360" w:lineRule="auto"/>
              <w:rPr>
                <w:rFonts w:ascii="仿宋" w:eastAsia="仿宋" w:hAnsi="仿宋"/>
                <w:bCs/>
                <w:color w:val="000000"/>
              </w:rPr>
            </w:pPr>
            <w:r w:rsidRPr="005B7187">
              <w:rPr>
                <w:rFonts w:ascii="仿宋" w:eastAsia="仿宋" w:hAnsi="仿宋" w:hint="eastAsia"/>
                <w:bCs/>
                <w:color w:val="000000"/>
              </w:rPr>
              <w:t>避免同时使用</w:t>
            </w:r>
          </w:p>
        </w:tc>
      </w:tr>
    </w:tbl>
    <w:p w14:paraId="737D23CA" w14:textId="77777777" w:rsidR="009D69C0" w:rsidRDefault="002E3CD3">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8.</w:t>
      </w:r>
      <w:r w:rsidRPr="002E3CD3">
        <w:rPr>
          <w:rFonts w:ascii="仿宋" w:eastAsia="仿宋" w:hAnsi="仿宋" w:hint="eastAsia"/>
          <w:color w:val="000000"/>
          <w:sz w:val="32"/>
          <w:szCs w:val="32"/>
        </w:rPr>
        <w:t>乙肝病毒再激活的风险：使用泽布替尼过程中需要注意乙肝病毒激活的风险。应在使用前明确乙型肝炎病毒状态，对于目前或既往有乙型肝炎病毒感染的患者，在开始治疗前需要咨询肝炎专科医师，并在治疗过程中注意监测。</w:t>
      </w:r>
    </w:p>
    <w:p w14:paraId="22D2E090" w14:textId="77777777" w:rsidR="009D69C0" w:rsidRDefault="00257819">
      <w:pPr>
        <w:widowControl/>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9.</w:t>
      </w:r>
      <w:r w:rsidR="002E3CD3" w:rsidRPr="002E3CD3">
        <w:rPr>
          <w:rFonts w:ascii="仿宋" w:eastAsia="仿宋" w:hAnsi="仿宋" w:hint="eastAsia"/>
          <w:color w:val="000000"/>
          <w:sz w:val="32"/>
          <w:szCs w:val="32"/>
        </w:rPr>
        <w:t>肾功能损伤患者不建议进行剂量调整。重度肾功能损伤（肌酐清除率</w:t>
      </w:r>
      <w:r w:rsidR="009D43AC">
        <w:rPr>
          <w:rFonts w:ascii="仿宋" w:eastAsia="仿宋" w:hAnsi="仿宋" w:hint="eastAsia"/>
          <w:color w:val="000000"/>
          <w:sz w:val="32"/>
          <w:szCs w:val="32"/>
        </w:rPr>
        <w:t>＜</w:t>
      </w:r>
      <w:r w:rsidR="002E3CD3" w:rsidRPr="002E3CD3">
        <w:rPr>
          <w:rFonts w:ascii="仿宋" w:eastAsia="仿宋" w:hAnsi="仿宋" w:hint="eastAsia"/>
          <w:color w:val="000000"/>
          <w:sz w:val="32"/>
          <w:szCs w:val="32"/>
        </w:rPr>
        <w:t>30m</w:t>
      </w:r>
      <w:r>
        <w:rPr>
          <w:rFonts w:ascii="仿宋" w:eastAsia="仿宋" w:hAnsi="仿宋" w:hint="eastAsia"/>
          <w:color w:val="000000"/>
          <w:sz w:val="32"/>
          <w:szCs w:val="32"/>
        </w:rPr>
        <w:t>l</w:t>
      </w:r>
      <w:r w:rsidR="006019E9">
        <w:rPr>
          <w:rFonts w:ascii="仿宋" w:eastAsia="仿宋" w:hAnsi="仿宋" w:hint="eastAsia"/>
          <w:color w:val="000000"/>
          <w:sz w:val="32"/>
          <w:szCs w:val="32"/>
        </w:rPr>
        <w:t>/分钟</w:t>
      </w:r>
      <w:r w:rsidR="002E3CD3" w:rsidRPr="002E3CD3">
        <w:rPr>
          <w:rFonts w:ascii="仿宋" w:eastAsia="仿宋" w:hAnsi="仿宋" w:hint="eastAsia"/>
          <w:color w:val="000000"/>
          <w:sz w:val="32"/>
          <w:szCs w:val="32"/>
        </w:rPr>
        <w:t>）或透析患者使用本品需要注意监测不良反应。</w:t>
      </w:r>
    </w:p>
    <w:p w14:paraId="0EFDC89C" w14:textId="77777777" w:rsidR="00AC4AC8" w:rsidRDefault="002E3CD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10.</w:t>
      </w:r>
      <w:r w:rsidRPr="002E3CD3">
        <w:rPr>
          <w:rFonts w:ascii="仿宋" w:eastAsia="仿宋" w:hAnsi="仿宋" w:hint="eastAsia"/>
          <w:color w:val="000000"/>
          <w:sz w:val="32"/>
          <w:szCs w:val="32"/>
        </w:rPr>
        <w:t>其他</w:t>
      </w:r>
      <w:r>
        <w:rPr>
          <w:rFonts w:ascii="仿宋" w:eastAsia="仿宋" w:hAnsi="仿宋" w:hint="eastAsia"/>
          <w:color w:val="000000"/>
          <w:sz w:val="32"/>
          <w:szCs w:val="32"/>
        </w:rPr>
        <w:t>适应证</w:t>
      </w:r>
      <w:r w:rsidRPr="002E3CD3">
        <w:rPr>
          <w:rFonts w:ascii="仿宋" w:eastAsia="仿宋" w:hAnsi="仿宋" w:hint="eastAsia"/>
          <w:color w:val="000000"/>
          <w:sz w:val="32"/>
          <w:szCs w:val="32"/>
        </w:rPr>
        <w:t>：一线治疗慢性淋巴细胞白血病/小淋巴细胞淋巴瘤（基于全球多中心</w:t>
      </w:r>
      <w:r w:rsidR="00257819" w:rsidRPr="002E3CD3">
        <w:rPr>
          <w:rFonts w:ascii="仿宋" w:eastAsia="仿宋" w:hAnsi="仿宋" w:hint="eastAsia"/>
          <w:color w:val="000000"/>
          <w:sz w:val="32"/>
          <w:szCs w:val="32"/>
        </w:rPr>
        <w:t>Ⅱ</w:t>
      </w:r>
      <w:r w:rsidRPr="002E3CD3">
        <w:rPr>
          <w:rFonts w:ascii="仿宋" w:eastAsia="仿宋" w:hAnsi="仿宋" w:hint="eastAsia"/>
          <w:color w:val="000000"/>
          <w:sz w:val="32"/>
          <w:szCs w:val="32"/>
        </w:rPr>
        <w:t>期临床研究AU003的数据，以及全球多中心</w:t>
      </w:r>
      <w:r w:rsidRPr="00136FBE">
        <w:rPr>
          <w:rFonts w:ascii="仿宋" w:eastAsia="仿宋" w:hAnsi="仿宋" w:hint="eastAsia"/>
          <w:color w:val="000000"/>
          <w:sz w:val="32"/>
          <w:szCs w:val="32"/>
        </w:rPr>
        <w:t>Ⅲ</w:t>
      </w:r>
      <w:r w:rsidRPr="002E3CD3">
        <w:rPr>
          <w:rFonts w:ascii="仿宋" w:eastAsia="仿宋" w:hAnsi="仿宋" w:hint="eastAsia"/>
          <w:color w:val="000000"/>
          <w:sz w:val="32"/>
          <w:szCs w:val="32"/>
        </w:rPr>
        <w:t>期临床研究SEQUOIA研究中17p-亚组的数据），初治及复发的华氏巨球蛋白血症淋巴瘤（</w:t>
      </w:r>
      <w:r w:rsidRPr="00136FBE">
        <w:rPr>
          <w:rFonts w:ascii="仿宋" w:eastAsia="仿宋" w:hAnsi="仿宋" w:hint="eastAsia"/>
          <w:color w:val="000000"/>
          <w:sz w:val="32"/>
          <w:szCs w:val="32"/>
        </w:rPr>
        <w:t>Ⅲ</w:t>
      </w:r>
      <w:r w:rsidRPr="002E3CD3">
        <w:rPr>
          <w:rFonts w:ascii="仿宋" w:eastAsia="仿宋" w:hAnsi="仿宋" w:hint="eastAsia"/>
          <w:color w:val="000000"/>
          <w:sz w:val="32"/>
          <w:szCs w:val="32"/>
        </w:rPr>
        <w:t>期临床研究）。复发/难治边缘区淋巴瘤（仅有Ⅰ～Ⅱ期临床研究），复发/难治滤泡型淋巴瘤（仅有Ⅰ～Ⅱ期临床研究）。</w:t>
      </w:r>
    </w:p>
    <w:p w14:paraId="3905C969" w14:textId="77777777" w:rsidR="00B23A40" w:rsidRPr="00136FBE" w:rsidRDefault="00DD1A0D">
      <w:pPr>
        <w:spacing w:line="360" w:lineRule="auto"/>
        <w:ind w:firstLineChars="200" w:firstLine="640"/>
        <w:rPr>
          <w:rFonts w:ascii="黑体" w:eastAsia="黑体" w:hAnsi="黑体" w:cs="Times New Roman"/>
          <w:sz w:val="32"/>
          <w:szCs w:val="32"/>
          <w:lang w:val="fr-FR"/>
        </w:rPr>
      </w:pPr>
      <w:r w:rsidRPr="00136FBE">
        <w:rPr>
          <w:rFonts w:ascii="黑体" w:eastAsia="黑体" w:hAnsi="黑体" w:cs="黑体" w:hint="eastAsia"/>
          <w:sz w:val="32"/>
          <w:szCs w:val="32"/>
        </w:rPr>
        <w:t>十</w:t>
      </w:r>
      <w:r w:rsidR="00441816" w:rsidRPr="00136FBE">
        <w:rPr>
          <w:rFonts w:ascii="黑体" w:eastAsia="黑体" w:hAnsi="黑体" w:cs="黑体" w:hint="eastAsia"/>
          <w:sz w:val="32"/>
          <w:szCs w:val="32"/>
        </w:rPr>
        <w:t>三</w:t>
      </w:r>
      <w:r w:rsidRPr="00136FBE">
        <w:rPr>
          <w:rFonts w:ascii="黑体" w:eastAsia="黑体" w:hAnsi="黑体" w:cs="黑体" w:hint="eastAsia"/>
          <w:sz w:val="32"/>
          <w:szCs w:val="32"/>
        </w:rPr>
        <w:t xml:space="preserve">、来那度胺 </w:t>
      </w:r>
      <w:r w:rsidR="00606E59">
        <w:rPr>
          <w:rFonts w:ascii="黑体" w:eastAsia="黑体" w:hAnsi="黑体" w:cs="黑体" w:hint="eastAsia"/>
          <w:sz w:val="32"/>
          <w:szCs w:val="32"/>
        </w:rPr>
        <w:t>L</w:t>
      </w:r>
      <w:r w:rsidRPr="00136FBE">
        <w:rPr>
          <w:rFonts w:ascii="黑体" w:eastAsia="黑体" w:hAnsi="黑体" w:cs="黑体"/>
          <w:sz w:val="32"/>
          <w:szCs w:val="32"/>
        </w:rPr>
        <w:t>enalidomide</w:t>
      </w:r>
    </w:p>
    <w:p w14:paraId="2E0C9896" w14:textId="77777777" w:rsidR="00B23A40" w:rsidRPr="00136FBE" w:rsidRDefault="00DD1A0D">
      <w:pPr>
        <w:spacing w:line="360" w:lineRule="auto"/>
        <w:ind w:firstLineChars="200" w:firstLine="643"/>
        <w:rPr>
          <w:rFonts w:ascii="仿宋" w:eastAsia="仿宋" w:hAnsi="仿宋" w:cs="Times New Roman"/>
          <w:b/>
          <w:bCs/>
          <w:sz w:val="32"/>
          <w:szCs w:val="32"/>
          <w:lang w:val="fr-FR"/>
        </w:rPr>
      </w:pPr>
      <w:r w:rsidRPr="00136FBE">
        <w:rPr>
          <w:rFonts w:ascii="仿宋" w:eastAsia="仿宋" w:hAnsi="仿宋" w:cs="仿宋" w:hint="eastAsia"/>
          <w:b/>
          <w:bCs/>
          <w:sz w:val="32"/>
          <w:szCs w:val="32"/>
        </w:rPr>
        <w:t>制剂与规格</w:t>
      </w:r>
      <w:r w:rsidRPr="00136FBE">
        <w:rPr>
          <w:rFonts w:ascii="仿宋" w:eastAsia="仿宋" w:hAnsi="仿宋" w:cs="仿宋" w:hint="eastAsia"/>
          <w:b/>
          <w:bCs/>
          <w:sz w:val="32"/>
          <w:szCs w:val="32"/>
          <w:lang w:val="fr-FR"/>
        </w:rPr>
        <w:t>：</w:t>
      </w:r>
      <w:r w:rsidRPr="00136FBE">
        <w:rPr>
          <w:rFonts w:ascii="仿宋" w:eastAsia="仿宋" w:hAnsi="仿宋" w:cs="仿宋" w:hint="eastAsia"/>
          <w:sz w:val="32"/>
          <w:szCs w:val="32"/>
        </w:rPr>
        <w:t>胶囊：</w:t>
      </w:r>
      <w:r w:rsidRPr="00136FBE">
        <w:rPr>
          <w:rFonts w:ascii="仿宋" w:eastAsia="仿宋" w:hAnsi="仿宋" w:cs="仿宋"/>
          <w:sz w:val="32"/>
          <w:szCs w:val="32"/>
          <w:lang w:val="fr-FR"/>
        </w:rPr>
        <w:t>10mg</w:t>
      </w:r>
      <w:r w:rsidRPr="00136FBE">
        <w:rPr>
          <w:rFonts w:ascii="仿宋" w:eastAsia="仿宋" w:hAnsi="仿宋" w:cs="仿宋" w:hint="eastAsia"/>
          <w:sz w:val="32"/>
          <w:szCs w:val="32"/>
        </w:rPr>
        <w:t>、</w:t>
      </w:r>
      <w:r w:rsidRPr="00136FBE">
        <w:rPr>
          <w:rFonts w:ascii="仿宋" w:eastAsia="仿宋" w:hAnsi="仿宋" w:cs="仿宋"/>
          <w:sz w:val="32"/>
          <w:szCs w:val="32"/>
          <w:lang w:val="fr-FR"/>
        </w:rPr>
        <w:t xml:space="preserve">25mg </w:t>
      </w:r>
    </w:p>
    <w:p w14:paraId="34468B5C"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初治及复发难治性多发性骨髓瘤。</w:t>
      </w:r>
    </w:p>
    <w:p w14:paraId="115D0C3C"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39AB1C09"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药物具有骨髓抑制作用，应用后需要监测患者血常规。</w:t>
      </w:r>
    </w:p>
    <w:p w14:paraId="745F4E9F"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对于适合接收自体干细胞移植的病人，移植前建议接受不要超过</w:t>
      </w:r>
      <w:r w:rsidRPr="00136FBE">
        <w:rPr>
          <w:rFonts w:ascii="仿宋" w:eastAsia="仿宋" w:hAnsi="仿宋" w:cs="仿宋"/>
          <w:sz w:val="32"/>
          <w:szCs w:val="32"/>
        </w:rPr>
        <w:t>4</w:t>
      </w:r>
      <w:r w:rsidRPr="00136FBE">
        <w:rPr>
          <w:rFonts w:ascii="仿宋" w:eastAsia="仿宋" w:hAnsi="仿宋" w:cs="仿宋" w:hint="eastAsia"/>
          <w:sz w:val="32"/>
          <w:szCs w:val="32"/>
        </w:rPr>
        <w:t>个疗程含有来那度胺的治疗。</w:t>
      </w:r>
    </w:p>
    <w:p w14:paraId="0758234D"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lastRenderedPageBreak/>
        <w:t>3.</w:t>
      </w:r>
      <w:r w:rsidRPr="00136FBE">
        <w:rPr>
          <w:rFonts w:ascii="仿宋" w:eastAsia="仿宋" w:hAnsi="仿宋" w:cs="仿宋" w:hint="eastAsia"/>
          <w:sz w:val="32"/>
          <w:szCs w:val="32"/>
        </w:rPr>
        <w:t>硼替佐米与来那度胺具有协同作用。</w:t>
      </w:r>
    </w:p>
    <w:p w14:paraId="5B4EE61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00D20715" w:rsidRPr="00136FBE">
        <w:rPr>
          <w:rFonts w:ascii="仿宋" w:eastAsia="仿宋" w:hAnsi="仿宋" w:cs="仿宋" w:hint="eastAsia"/>
          <w:sz w:val="32"/>
          <w:szCs w:val="32"/>
        </w:rPr>
        <w:t>肾功能损伤</w:t>
      </w:r>
      <w:r w:rsidRPr="00136FBE">
        <w:rPr>
          <w:rFonts w:ascii="仿宋" w:eastAsia="仿宋" w:hAnsi="仿宋" w:cs="仿宋" w:hint="eastAsia"/>
          <w:sz w:val="32"/>
          <w:szCs w:val="32"/>
        </w:rPr>
        <w:t>的骨髓瘤患者需要减量。</w:t>
      </w:r>
    </w:p>
    <w:p w14:paraId="7CDCCA47"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长期应用会增加第二肿瘤的风险。</w:t>
      </w:r>
    </w:p>
    <w:p w14:paraId="3D48F729" w14:textId="77777777" w:rsidR="00B23A40" w:rsidRPr="00136FBE" w:rsidRDefault="00DD1A0D">
      <w:pPr>
        <w:spacing w:line="360" w:lineRule="auto"/>
        <w:ind w:firstLineChars="200" w:firstLine="640"/>
        <w:rPr>
          <w:rFonts w:ascii="仿宋" w:eastAsia="仿宋" w:hAnsi="仿宋" w:cs="仿宋"/>
          <w:b/>
          <w:bCs/>
          <w:sz w:val="32"/>
          <w:szCs w:val="32"/>
        </w:rPr>
      </w:pPr>
      <w:r w:rsidRPr="00136FBE">
        <w:rPr>
          <w:rFonts w:ascii="仿宋" w:eastAsia="仿宋" w:hAnsi="仿宋" w:cs="仿宋" w:hint="eastAsia"/>
          <w:sz w:val="32"/>
          <w:szCs w:val="32"/>
        </w:rPr>
        <w:t>6.血细胞减少、皮疹为来那度胺常见的不良反应，其余包括深静脉血栓。</w:t>
      </w:r>
    </w:p>
    <w:p w14:paraId="333EB2FE"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7</w:t>
      </w:r>
      <w:r w:rsidRPr="00136FBE">
        <w:rPr>
          <w:rFonts w:ascii="仿宋" w:eastAsia="仿宋" w:hAnsi="仿宋" w:cs="仿宋"/>
          <w:sz w:val="32"/>
          <w:szCs w:val="32"/>
        </w:rPr>
        <w:t>.</w:t>
      </w:r>
      <w:r w:rsidRPr="00136FBE">
        <w:rPr>
          <w:rFonts w:ascii="仿宋" w:eastAsia="仿宋" w:hAnsi="仿宋" w:cs="仿宋" w:hint="eastAsia"/>
          <w:sz w:val="32"/>
          <w:szCs w:val="32"/>
        </w:rPr>
        <w:t>对于接受来那度胺与地塞米松联合治疗的多发性骨髓瘤患者，深静脉血栓和肺栓塞的风险显著升高。需要密切注意血栓导致的症状和体征，合并高危血栓风险时建议给予预防性抗凝。</w:t>
      </w:r>
    </w:p>
    <w:p w14:paraId="07657E9D"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8</w:t>
      </w:r>
      <w:r w:rsidRPr="00136FBE">
        <w:rPr>
          <w:rFonts w:ascii="仿宋" w:eastAsia="仿宋" w:hAnsi="仿宋" w:cs="仿宋"/>
          <w:sz w:val="32"/>
          <w:szCs w:val="32"/>
        </w:rPr>
        <w:t>.</w:t>
      </w:r>
      <w:r w:rsidRPr="00136FBE">
        <w:rPr>
          <w:rFonts w:ascii="仿宋" w:eastAsia="仿宋" w:hAnsi="仿宋" w:cs="仿宋" w:hint="eastAsia"/>
          <w:sz w:val="32"/>
          <w:szCs w:val="32"/>
        </w:rPr>
        <w:t>可能会有胚胎</w:t>
      </w:r>
      <w:r w:rsidRPr="00136FBE">
        <w:rPr>
          <w:rFonts w:ascii="仿宋" w:eastAsia="仿宋" w:hAnsi="仿宋" w:cs="仿宋"/>
          <w:sz w:val="32"/>
          <w:szCs w:val="32"/>
        </w:rPr>
        <w:t>-</w:t>
      </w:r>
      <w:r w:rsidRPr="00136FBE">
        <w:rPr>
          <w:rFonts w:ascii="仿宋" w:eastAsia="仿宋" w:hAnsi="仿宋" w:cs="仿宋" w:hint="eastAsia"/>
          <w:sz w:val="32"/>
          <w:szCs w:val="32"/>
        </w:rPr>
        <w:t>生殖毒性，使用期间注意避孕。</w:t>
      </w:r>
      <w:r w:rsidR="00D44A0B">
        <w:rPr>
          <w:rFonts w:ascii="仿宋" w:eastAsia="仿宋" w:hAnsi="仿宋" w:cs="仿宋" w:hint="eastAsia"/>
          <w:sz w:val="32"/>
          <w:szCs w:val="32"/>
        </w:rPr>
        <w:t>对儿童生长发育会有潜在影响。</w:t>
      </w:r>
    </w:p>
    <w:p w14:paraId="5BB6F352"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9</w:t>
      </w:r>
      <w:r w:rsidRPr="00136FBE">
        <w:rPr>
          <w:rFonts w:ascii="仿宋" w:eastAsia="仿宋" w:hAnsi="仿宋" w:cs="仿宋"/>
          <w:sz w:val="32"/>
          <w:szCs w:val="32"/>
        </w:rPr>
        <w:t>.</w:t>
      </w:r>
      <w:r w:rsidRPr="00136FBE">
        <w:rPr>
          <w:rFonts w:ascii="仿宋" w:eastAsia="仿宋" w:hAnsi="仿宋" w:cs="仿宋" w:hint="eastAsia"/>
          <w:sz w:val="32"/>
          <w:szCs w:val="32"/>
        </w:rPr>
        <w:t>滤泡细胞淋巴瘤（全球其他国家已批准的适应证）。</w:t>
      </w:r>
    </w:p>
    <w:p w14:paraId="14A18A07"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10</w:t>
      </w:r>
      <w:r w:rsidRPr="00136FBE">
        <w:rPr>
          <w:rFonts w:ascii="仿宋" w:eastAsia="仿宋" w:hAnsi="仿宋" w:cs="仿宋"/>
          <w:sz w:val="32"/>
          <w:szCs w:val="32"/>
        </w:rPr>
        <w:t>.POEMS</w:t>
      </w:r>
      <w:r w:rsidRPr="00136FBE">
        <w:rPr>
          <w:rFonts w:ascii="仿宋" w:eastAsia="仿宋" w:hAnsi="仿宋" w:cs="仿宋" w:hint="eastAsia"/>
          <w:sz w:val="32"/>
          <w:szCs w:val="32"/>
        </w:rPr>
        <w:t>综合征（仅有Ⅰ～Ⅱ期临床研究数据）。</w:t>
      </w:r>
    </w:p>
    <w:p w14:paraId="1438DDFA"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sz w:val="32"/>
          <w:szCs w:val="32"/>
        </w:rPr>
        <w:t>1</w:t>
      </w:r>
      <w:r w:rsidRPr="00136FBE">
        <w:rPr>
          <w:rFonts w:ascii="仿宋" w:eastAsia="仿宋" w:hAnsi="仿宋" w:cs="仿宋" w:hint="eastAsia"/>
          <w:sz w:val="32"/>
          <w:szCs w:val="32"/>
        </w:rPr>
        <w:t>1</w:t>
      </w:r>
      <w:r w:rsidRPr="00136FBE">
        <w:rPr>
          <w:rFonts w:ascii="仿宋" w:eastAsia="仿宋" w:hAnsi="仿宋" w:cs="仿宋"/>
          <w:sz w:val="32"/>
          <w:szCs w:val="32"/>
        </w:rPr>
        <w:t>.</w:t>
      </w:r>
      <w:r w:rsidRPr="00136FBE">
        <w:rPr>
          <w:rFonts w:ascii="仿宋" w:eastAsia="仿宋" w:hAnsi="仿宋" w:cs="仿宋" w:hint="eastAsia"/>
          <w:sz w:val="32"/>
          <w:szCs w:val="32"/>
        </w:rPr>
        <w:t>轻链淀粉样变性（仅有Ⅰ～Ⅱ期临床研究数据）。</w:t>
      </w:r>
    </w:p>
    <w:p w14:paraId="64A87278"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sz w:val="32"/>
          <w:szCs w:val="32"/>
        </w:rPr>
        <w:t>1</w:t>
      </w:r>
      <w:r w:rsidRPr="00136FBE">
        <w:rPr>
          <w:rFonts w:ascii="仿宋" w:eastAsia="仿宋" w:hAnsi="仿宋" w:cs="仿宋" w:hint="eastAsia"/>
          <w:sz w:val="32"/>
          <w:szCs w:val="32"/>
        </w:rPr>
        <w:t>2</w:t>
      </w:r>
      <w:r w:rsidRPr="00136FBE">
        <w:rPr>
          <w:rFonts w:ascii="仿宋" w:eastAsia="仿宋" w:hAnsi="仿宋" w:cs="仿宋"/>
          <w:sz w:val="32"/>
          <w:szCs w:val="32"/>
        </w:rPr>
        <w:t>.MGRS</w:t>
      </w:r>
      <w:r w:rsidRPr="00136FBE">
        <w:rPr>
          <w:rFonts w:ascii="仿宋" w:eastAsia="仿宋" w:hAnsi="仿宋" w:cs="仿宋" w:hint="eastAsia"/>
          <w:sz w:val="32"/>
          <w:szCs w:val="32"/>
        </w:rPr>
        <w:t>（仅有Ⅰ～Ⅱ期临床研究数据）。</w:t>
      </w:r>
    </w:p>
    <w:p w14:paraId="2D3C5DB5"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sz w:val="32"/>
          <w:szCs w:val="32"/>
        </w:rPr>
        <w:t>1</w:t>
      </w:r>
      <w:r w:rsidRPr="00136FBE">
        <w:rPr>
          <w:rFonts w:ascii="仿宋" w:eastAsia="仿宋" w:hAnsi="仿宋" w:cs="仿宋" w:hint="eastAsia"/>
          <w:sz w:val="32"/>
          <w:szCs w:val="32"/>
        </w:rPr>
        <w:t>3</w:t>
      </w:r>
      <w:r w:rsidRPr="00136FBE">
        <w:rPr>
          <w:rFonts w:ascii="仿宋" w:eastAsia="仿宋" w:hAnsi="仿宋" w:cs="仿宋"/>
          <w:sz w:val="32"/>
          <w:szCs w:val="32"/>
        </w:rPr>
        <w:t>.del</w:t>
      </w:r>
      <w:r w:rsidRPr="00136FBE">
        <w:rPr>
          <w:rFonts w:ascii="仿宋" w:eastAsia="仿宋" w:hAnsi="仿宋" w:cs="仿宋" w:hint="eastAsia"/>
          <w:sz w:val="32"/>
          <w:szCs w:val="32"/>
        </w:rPr>
        <w:t>（</w:t>
      </w:r>
      <w:r w:rsidRPr="00136FBE">
        <w:rPr>
          <w:rFonts w:ascii="仿宋" w:eastAsia="仿宋" w:hAnsi="仿宋" w:cs="仿宋"/>
          <w:sz w:val="32"/>
          <w:szCs w:val="32"/>
        </w:rPr>
        <w:t>5q</w:t>
      </w:r>
      <w:r w:rsidRPr="00136FBE">
        <w:rPr>
          <w:rFonts w:ascii="仿宋" w:eastAsia="仿宋" w:hAnsi="仿宋" w:cs="仿宋" w:hint="eastAsia"/>
          <w:sz w:val="32"/>
          <w:szCs w:val="32"/>
        </w:rPr>
        <w:t>）的低危</w:t>
      </w:r>
      <w:r w:rsidRPr="00136FBE">
        <w:rPr>
          <w:rFonts w:ascii="仿宋" w:eastAsia="仿宋" w:hAnsi="仿宋" w:cs="仿宋"/>
          <w:sz w:val="32"/>
          <w:szCs w:val="32"/>
        </w:rPr>
        <w:t>/</w:t>
      </w:r>
      <w:r w:rsidRPr="00136FBE">
        <w:rPr>
          <w:rFonts w:ascii="仿宋" w:eastAsia="仿宋" w:hAnsi="仿宋" w:cs="仿宋" w:hint="eastAsia"/>
          <w:sz w:val="32"/>
          <w:szCs w:val="32"/>
        </w:rPr>
        <w:t>中危</w:t>
      </w:r>
      <w:r w:rsidRPr="00136FBE">
        <w:rPr>
          <w:rFonts w:ascii="仿宋" w:eastAsia="仿宋" w:hAnsi="仿宋" w:cs="仿宋"/>
          <w:sz w:val="32"/>
          <w:szCs w:val="32"/>
        </w:rPr>
        <w:t>1</w:t>
      </w:r>
      <w:r w:rsidRPr="00136FBE">
        <w:rPr>
          <w:rFonts w:ascii="仿宋" w:eastAsia="仿宋" w:hAnsi="仿宋" w:cs="仿宋" w:hint="eastAsia"/>
          <w:sz w:val="32"/>
          <w:szCs w:val="32"/>
        </w:rPr>
        <w:t>骨髓增生异常综合征（全球其他国家已批准的适应证）。</w:t>
      </w:r>
    </w:p>
    <w:p w14:paraId="7FE3A2BF"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黑体" w:eastAsia="黑体" w:hAnsi="黑体" w:cs="黑体" w:hint="eastAsia"/>
          <w:sz w:val="32"/>
          <w:szCs w:val="32"/>
        </w:rPr>
        <w:t>十</w:t>
      </w:r>
      <w:r w:rsidR="00441816" w:rsidRPr="00136FBE">
        <w:rPr>
          <w:rFonts w:ascii="黑体" w:eastAsia="黑体" w:hAnsi="黑体" w:cs="黑体" w:hint="eastAsia"/>
          <w:sz w:val="32"/>
          <w:szCs w:val="32"/>
        </w:rPr>
        <w:t>四</w:t>
      </w:r>
      <w:r w:rsidRPr="00136FBE">
        <w:rPr>
          <w:rFonts w:ascii="黑体" w:eastAsia="黑体" w:hAnsi="黑体" w:cs="黑体" w:hint="eastAsia"/>
          <w:sz w:val="32"/>
          <w:szCs w:val="32"/>
        </w:rPr>
        <w:t xml:space="preserve">、沙利度胺 </w:t>
      </w:r>
      <w:r w:rsidR="00F111D5" w:rsidRPr="00136FBE">
        <w:rPr>
          <w:rFonts w:ascii="黑体" w:eastAsia="黑体" w:hAnsi="黑体" w:cs="黑体" w:hint="eastAsia"/>
          <w:sz w:val="32"/>
          <w:szCs w:val="32"/>
        </w:rPr>
        <w:t>T</w:t>
      </w:r>
      <w:r w:rsidRPr="00136FBE">
        <w:rPr>
          <w:rFonts w:ascii="黑体" w:eastAsia="黑体" w:hAnsi="黑体" w:cs="黑体"/>
          <w:sz w:val="32"/>
          <w:szCs w:val="32"/>
        </w:rPr>
        <w:t>halidomide</w:t>
      </w:r>
    </w:p>
    <w:p w14:paraId="5AE769DA"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w:t>
      </w:r>
      <w:r w:rsidRPr="00136FBE">
        <w:rPr>
          <w:rFonts w:ascii="仿宋" w:eastAsia="仿宋" w:hAnsi="仿宋" w:cs="仿宋"/>
          <w:sz w:val="32"/>
          <w:szCs w:val="32"/>
        </w:rPr>
        <w:t>1</w:t>
      </w:r>
      <w:r w:rsidRPr="00136FBE">
        <w:rPr>
          <w:rFonts w:ascii="仿宋" w:eastAsia="仿宋" w:hAnsi="仿宋" w:cs="仿宋" w:hint="eastAsia"/>
          <w:sz w:val="32"/>
          <w:szCs w:val="32"/>
        </w:rPr>
        <w:t>）片剂：</w:t>
      </w:r>
      <w:r w:rsidRPr="00136FBE">
        <w:rPr>
          <w:rFonts w:ascii="仿宋" w:eastAsia="仿宋" w:hAnsi="仿宋" w:cs="仿宋"/>
          <w:sz w:val="32"/>
          <w:szCs w:val="32"/>
        </w:rPr>
        <w:t>25mg</w:t>
      </w:r>
      <w:r w:rsidRPr="00136FBE">
        <w:rPr>
          <w:rFonts w:ascii="仿宋" w:eastAsia="仿宋" w:hAnsi="仿宋" w:cs="仿宋" w:hint="eastAsia"/>
          <w:sz w:val="32"/>
          <w:szCs w:val="32"/>
        </w:rPr>
        <w:t>；（</w:t>
      </w:r>
      <w:r w:rsidRPr="00136FBE">
        <w:rPr>
          <w:rFonts w:ascii="仿宋" w:eastAsia="仿宋" w:hAnsi="仿宋" w:cs="仿宋"/>
          <w:sz w:val="32"/>
          <w:szCs w:val="32"/>
        </w:rPr>
        <w:t>2</w:t>
      </w:r>
      <w:r w:rsidRPr="00136FBE">
        <w:rPr>
          <w:rFonts w:ascii="仿宋" w:eastAsia="仿宋" w:hAnsi="仿宋" w:cs="仿宋" w:hint="eastAsia"/>
          <w:sz w:val="32"/>
          <w:szCs w:val="32"/>
        </w:rPr>
        <w:t>）胶囊：</w:t>
      </w:r>
      <w:r w:rsidRPr="00136FBE">
        <w:rPr>
          <w:rFonts w:ascii="仿宋" w:eastAsia="仿宋" w:hAnsi="仿宋" w:cs="仿宋"/>
          <w:sz w:val="32"/>
          <w:szCs w:val="32"/>
        </w:rPr>
        <w:t>25mg</w:t>
      </w:r>
    </w:p>
    <w:p w14:paraId="7AD4C2C2"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瘤型麻风病。</w:t>
      </w:r>
    </w:p>
    <w:p w14:paraId="4F408243"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78D232D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沙利度胺可以引起心率减慢，严重者出现三度房室传</w:t>
      </w:r>
      <w:r w:rsidRPr="00136FBE">
        <w:rPr>
          <w:rFonts w:ascii="仿宋" w:eastAsia="仿宋" w:hAnsi="仿宋" w:cs="仿宋" w:hint="eastAsia"/>
          <w:sz w:val="32"/>
          <w:szCs w:val="32"/>
        </w:rPr>
        <w:lastRenderedPageBreak/>
        <w:t>导阻滞。</w:t>
      </w:r>
    </w:p>
    <w:p w14:paraId="32F5F8B1" w14:textId="77777777" w:rsidR="00D44A0B" w:rsidRPr="00136FBE" w:rsidRDefault="00DD1A0D" w:rsidP="003C3254">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2.</w:t>
      </w:r>
      <w:r w:rsidR="003C3254" w:rsidRPr="003C3254">
        <w:rPr>
          <w:rFonts w:ascii="仿宋" w:eastAsia="仿宋" w:hAnsi="仿宋" w:cs="仿宋" w:hint="eastAsia"/>
          <w:sz w:val="32"/>
          <w:szCs w:val="32"/>
        </w:rPr>
        <w:t>对本品有过敏反应的患者</w:t>
      </w:r>
      <w:r w:rsidR="003C3254">
        <w:rPr>
          <w:rFonts w:ascii="仿宋" w:eastAsia="仿宋" w:hAnsi="仿宋" w:cs="仿宋" w:hint="eastAsia"/>
          <w:sz w:val="32"/>
          <w:szCs w:val="32"/>
        </w:rPr>
        <w:t>慎用</w:t>
      </w:r>
      <w:r w:rsidR="003C3254" w:rsidRPr="003C3254">
        <w:rPr>
          <w:rFonts w:ascii="仿宋" w:eastAsia="仿宋" w:hAnsi="仿宋" w:cs="仿宋" w:hint="eastAsia"/>
          <w:sz w:val="32"/>
          <w:szCs w:val="32"/>
        </w:rPr>
        <w:t>。</w:t>
      </w:r>
      <w:r w:rsidR="003C3254" w:rsidRPr="00136FBE">
        <w:rPr>
          <w:rFonts w:ascii="仿宋" w:eastAsia="仿宋" w:hAnsi="仿宋" w:cs="仿宋" w:hint="eastAsia"/>
          <w:sz w:val="32"/>
          <w:szCs w:val="32"/>
        </w:rPr>
        <w:t>沙利度胺具有致畸性，</w:t>
      </w:r>
      <w:r w:rsidR="003C3254" w:rsidRPr="003C3254">
        <w:rPr>
          <w:rFonts w:ascii="仿宋" w:eastAsia="仿宋" w:hAnsi="仿宋" w:cs="仿宋" w:hint="eastAsia"/>
          <w:sz w:val="32"/>
          <w:szCs w:val="32"/>
        </w:rPr>
        <w:t>孕妇及哺乳期妇女</w:t>
      </w:r>
      <w:r w:rsidR="003C3254">
        <w:rPr>
          <w:rFonts w:ascii="仿宋" w:eastAsia="仿宋" w:hAnsi="仿宋" w:cs="仿宋" w:hint="eastAsia"/>
          <w:sz w:val="32"/>
          <w:szCs w:val="32"/>
        </w:rPr>
        <w:t>、</w:t>
      </w:r>
      <w:r w:rsidR="003C3254" w:rsidRPr="003C3254">
        <w:rPr>
          <w:rFonts w:ascii="仿宋" w:eastAsia="仿宋" w:hAnsi="仿宋" w:cs="仿宋" w:hint="eastAsia"/>
          <w:sz w:val="32"/>
          <w:szCs w:val="32"/>
        </w:rPr>
        <w:t>儿童禁用。</w:t>
      </w:r>
      <w:r w:rsidRPr="00136FBE">
        <w:rPr>
          <w:rFonts w:ascii="仿宋" w:eastAsia="仿宋" w:hAnsi="仿宋" w:cs="仿宋" w:hint="eastAsia"/>
          <w:sz w:val="32"/>
          <w:szCs w:val="32"/>
        </w:rPr>
        <w:t>其他不良反应包括心率减慢、皮疹、便秘、周围神经病变、嗜睡及深静脉血栓等，可通过减量以及辅助用药缓解。</w:t>
      </w:r>
    </w:p>
    <w:p w14:paraId="21525EF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硼替佐米与沙利度胺具有协同作用。</w:t>
      </w:r>
    </w:p>
    <w:p w14:paraId="7011FA33"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对于接受沙利度胺与地塞米松联合治疗的多发性骨髓瘤患者，深静脉血栓和肺栓塞的风险显著升高。需要密切注意血栓导致的症状和体征，合并高危血栓风险时建议给予预防性抗凝。</w:t>
      </w:r>
    </w:p>
    <w:p w14:paraId="7CB879E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细胞遗传学高危患者不建议单独使用沙利度胺进行维持治疗。</w:t>
      </w:r>
    </w:p>
    <w:p w14:paraId="4C287040" w14:textId="77777777" w:rsidR="00B23A40" w:rsidRPr="00136FBE" w:rsidRDefault="003C3254">
      <w:pPr>
        <w:spacing w:line="360" w:lineRule="auto"/>
        <w:ind w:firstLineChars="200" w:firstLine="640"/>
        <w:rPr>
          <w:rFonts w:ascii="仿宋" w:eastAsia="仿宋" w:hAnsi="仿宋" w:cs="Times New Roman"/>
          <w:sz w:val="32"/>
          <w:szCs w:val="32"/>
        </w:rPr>
      </w:pPr>
      <w:r>
        <w:rPr>
          <w:rFonts w:ascii="仿宋" w:eastAsia="仿宋" w:hAnsi="仿宋" w:cs="仿宋" w:hint="eastAsia"/>
          <w:sz w:val="32"/>
          <w:szCs w:val="32"/>
        </w:rPr>
        <w:t>6</w:t>
      </w:r>
      <w:r w:rsidR="00DD1A0D" w:rsidRPr="00136FBE">
        <w:rPr>
          <w:rFonts w:ascii="仿宋" w:eastAsia="仿宋" w:hAnsi="仿宋" w:cs="仿宋"/>
          <w:sz w:val="32"/>
          <w:szCs w:val="32"/>
        </w:rPr>
        <w:t>.</w:t>
      </w:r>
      <w:r w:rsidR="00DD1A0D" w:rsidRPr="00136FBE">
        <w:rPr>
          <w:rFonts w:ascii="仿宋" w:eastAsia="仿宋" w:hAnsi="仿宋" w:cs="仿宋" w:hint="eastAsia"/>
          <w:sz w:val="32"/>
          <w:szCs w:val="32"/>
        </w:rPr>
        <w:t>服用后会出现嗜睡，眩晕，不建议开车，应临睡前服用。</w:t>
      </w:r>
    </w:p>
    <w:p w14:paraId="4667140D"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vertAlign w:val="superscript"/>
        </w:rPr>
        <w:t>※</w:t>
      </w:r>
      <w:r w:rsidR="003C3254">
        <w:rPr>
          <w:rFonts w:ascii="仿宋" w:eastAsia="仿宋" w:hAnsi="仿宋" w:cs="仿宋" w:hint="eastAsia"/>
          <w:sz w:val="32"/>
          <w:szCs w:val="32"/>
        </w:rPr>
        <w:t>7</w:t>
      </w:r>
      <w:r w:rsidRPr="00136FBE">
        <w:rPr>
          <w:rFonts w:ascii="仿宋" w:eastAsia="仿宋" w:hAnsi="仿宋" w:cs="仿宋"/>
          <w:sz w:val="32"/>
          <w:szCs w:val="32"/>
        </w:rPr>
        <w:t>.</w:t>
      </w:r>
      <w:r w:rsidRPr="00136FBE">
        <w:rPr>
          <w:rFonts w:ascii="仿宋" w:eastAsia="仿宋" w:hAnsi="仿宋" w:cs="仿宋" w:hint="eastAsia"/>
          <w:sz w:val="32"/>
          <w:szCs w:val="32"/>
        </w:rPr>
        <w:t>沙利度胺可以用于初治及难治复发多发性骨髓瘤病人（在国外大多数国家都已经批准用于初治以及难治复发骨髓瘤治疗）。</w:t>
      </w:r>
    </w:p>
    <w:p w14:paraId="7B791787" w14:textId="77777777" w:rsidR="00B23A40" w:rsidRPr="00136FBE" w:rsidRDefault="00DD1A0D">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十</w:t>
      </w:r>
      <w:r w:rsidR="00441816" w:rsidRPr="00136FBE">
        <w:rPr>
          <w:rFonts w:ascii="黑体" w:eastAsia="黑体" w:hAnsi="黑体" w:hint="eastAsia"/>
          <w:color w:val="000000"/>
          <w:sz w:val="32"/>
          <w:szCs w:val="32"/>
        </w:rPr>
        <w:t>五</w:t>
      </w:r>
      <w:r w:rsidRPr="00136FBE">
        <w:rPr>
          <w:rFonts w:ascii="黑体" w:eastAsia="黑体" w:hAnsi="黑体" w:hint="eastAsia"/>
          <w:color w:val="000000"/>
          <w:sz w:val="32"/>
          <w:szCs w:val="32"/>
        </w:rPr>
        <w:t xml:space="preserve">、伊沙佐米 </w:t>
      </w:r>
      <w:proofErr w:type="spellStart"/>
      <w:r w:rsidR="00F111D5" w:rsidRPr="00136FBE">
        <w:rPr>
          <w:rFonts w:ascii="黑体" w:eastAsia="黑体" w:hAnsi="黑体" w:hint="eastAsia"/>
          <w:color w:val="000000"/>
          <w:sz w:val="32"/>
          <w:szCs w:val="32"/>
        </w:rPr>
        <w:t>I</w:t>
      </w:r>
      <w:r w:rsidRPr="00136FBE">
        <w:rPr>
          <w:rFonts w:ascii="黑体" w:eastAsia="黑体" w:hAnsi="黑体"/>
          <w:color w:val="000000"/>
          <w:sz w:val="32"/>
          <w:szCs w:val="32"/>
        </w:rPr>
        <w:t>xazomib</w:t>
      </w:r>
      <w:proofErr w:type="spellEnd"/>
    </w:p>
    <w:p w14:paraId="6F8889F4"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胶囊：2.3mg、3mg、4mg</w:t>
      </w:r>
    </w:p>
    <w:p w14:paraId="642155D7"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与来那度胺和地塞米松联用，治疗已接受过至少一种既往治疗的多发性骨髓瘤成人患者。</w:t>
      </w:r>
    </w:p>
    <w:p w14:paraId="6DE71137"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548C4B56"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1.本品的给药途径为口服。患者应该在每个治疗周期第1、8和15天大致相同的时间服药，在进餐前至少1小时或进餐后至少2小时服用本品，应用水送服整粒胶囊。请勿压碎、咀嚼或打开胶囊。</w:t>
      </w:r>
    </w:p>
    <w:p w14:paraId="253312DD"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2.在开始一个新的治疗周期前应满足：中性粒细胞绝对计数应为≥1.0×</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、血小板计数应≥75</w:t>
      </w:r>
      <w:r w:rsidR="00034C03" w:rsidRPr="00136FBE">
        <w:rPr>
          <w:rFonts w:ascii="仿宋" w:eastAsia="仿宋" w:hAnsi="仿宋" w:hint="eastAsia"/>
          <w:color w:val="000000"/>
          <w:sz w:val="32"/>
          <w:szCs w:val="32"/>
        </w:rPr>
        <w:t>.0</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，非血液学毒性一般应恢复至患者的基线状况或≤1级。</w:t>
      </w:r>
    </w:p>
    <w:p w14:paraId="33675BFD"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3.治疗应持续至疾病进展或出现不可接受的毒性。由于24个周期之后的耐受性和毒性相关数据有限，因此对于需要长于24个周期的联合给药治疗，应基于患者个体获益风险评估结果。</w:t>
      </w:r>
    </w:p>
    <w:p w14:paraId="1F40B920"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如果延误或漏服一剂本品，只有当距离下次计划给药时间≥72小时，方可补服漏服剂量。距离在下次计划给药的72小时内不得补服漏服剂量。不得服用双倍剂量以弥补漏服的剂量。如果患者在服药后呕吐，不应重复服药，而应在下次计划给药时恢复给药。</w:t>
      </w:r>
    </w:p>
    <w:p w14:paraId="110ACDA8"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5.在接受本品治疗的患者中，应考虑抗病毒药物的预防治疗，降低带状疱疹病毒再激活的风险。在伊沙佐米研究中，接受抗病毒药物预防治疗患者的带状疱疹感染发生率低于未接受预防治疗的患者。</w:t>
      </w:r>
    </w:p>
    <w:p w14:paraId="66804F04"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6.对于伊沙佐米和来那度胺血小板减少、中性粒细胞减少和皮疹的重叠毒性，建议交替调整伊沙佐米和来那度胺的</w:t>
      </w:r>
      <w:r w:rsidRPr="00136FBE">
        <w:rPr>
          <w:rFonts w:ascii="仿宋" w:eastAsia="仿宋" w:hAnsi="仿宋" w:hint="eastAsia"/>
          <w:color w:val="000000"/>
          <w:sz w:val="32"/>
          <w:szCs w:val="32"/>
        </w:rPr>
        <w:lastRenderedPageBreak/>
        <w:t>剂量。对于这些毒性，剂量调整的第一步是停用/减低来那度胺剂量，关于这些毒性的剂量减低步骤，参见来那度胺药品说明书。</w:t>
      </w:r>
    </w:p>
    <w:p w14:paraId="63643401"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对于轻度肝功能损伤患者（总胆红素≤ULN和AST＞ULN，或总胆红素＞1～1.5倍ULN和AST任何水平），无需调整本品的剂量。对于中度（总胆红素＞1.5～3倍ULN）或重度（总胆红素＞3倍ULN）肝功能损伤患者，建议减量至3mg。</w:t>
      </w:r>
    </w:p>
    <w:p w14:paraId="162BE541"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8.对于</w:t>
      </w:r>
      <w:r w:rsidR="001F03A4" w:rsidRPr="00136FBE">
        <w:rPr>
          <w:rFonts w:ascii="仿宋" w:eastAsia="仿宋" w:hAnsi="仿宋" w:hint="eastAsia"/>
          <w:color w:val="000000"/>
          <w:sz w:val="32"/>
          <w:szCs w:val="32"/>
        </w:rPr>
        <w:t>轻中度</w:t>
      </w:r>
      <w:r w:rsidRPr="00136FBE">
        <w:rPr>
          <w:rFonts w:ascii="仿宋" w:eastAsia="仿宋" w:hAnsi="仿宋" w:hint="eastAsia"/>
          <w:color w:val="000000"/>
          <w:sz w:val="32"/>
          <w:szCs w:val="32"/>
        </w:rPr>
        <w:t>肾功能损伤患者（肌酐清除率≥30ml</w:t>
      </w:r>
      <w:r w:rsidR="006019E9">
        <w:rPr>
          <w:rFonts w:ascii="仿宋" w:eastAsia="仿宋" w:hAnsi="仿宋" w:hint="eastAsia"/>
          <w:color w:val="000000"/>
          <w:sz w:val="32"/>
          <w:szCs w:val="32"/>
        </w:rPr>
        <w:t>/分钟</w:t>
      </w:r>
      <w:r w:rsidRPr="00136FBE">
        <w:rPr>
          <w:rFonts w:ascii="仿宋" w:eastAsia="仿宋" w:hAnsi="仿宋" w:hint="eastAsia"/>
          <w:color w:val="000000"/>
          <w:sz w:val="32"/>
          <w:szCs w:val="32"/>
        </w:rPr>
        <w:t>），无需调整本品的剂量。对于重度肾功能损伤（肌酐清除率＜30ml</w:t>
      </w:r>
      <w:r w:rsidR="006019E9">
        <w:rPr>
          <w:rFonts w:ascii="仿宋" w:eastAsia="仿宋" w:hAnsi="仿宋" w:hint="eastAsia"/>
          <w:color w:val="000000"/>
          <w:sz w:val="32"/>
          <w:szCs w:val="32"/>
        </w:rPr>
        <w:t>/分钟</w:t>
      </w:r>
      <w:r w:rsidRPr="00136FBE">
        <w:rPr>
          <w:rFonts w:ascii="仿宋" w:eastAsia="仿宋" w:hAnsi="仿宋" w:hint="eastAsia"/>
          <w:color w:val="000000"/>
          <w:sz w:val="32"/>
          <w:szCs w:val="32"/>
        </w:rPr>
        <w:t>）或需透析的终末期肾病（ESRD）患者，建议减量至3mg。伊沙佐米不能通过透析清除，因此给药时可以无需考虑透析时间。</w:t>
      </w:r>
    </w:p>
    <w:p w14:paraId="2D06AEC1"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9.对于年龄大于65岁的患者，无需调整本品的剂量。</w:t>
      </w:r>
    </w:p>
    <w:p w14:paraId="746AE82B" w14:textId="77777777" w:rsidR="00B23A40" w:rsidRPr="00136FBE" w:rsidRDefault="00DD1A0D">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10.伊沙佐米的不良反应包括骨髓抑制、腹泻、便秘、外周水肿。周围神经病变的发生率低于硼替佐米。</w:t>
      </w:r>
    </w:p>
    <w:p w14:paraId="4459B374"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11.伊沙佐米和CYP3A强效抑制剂、CYP1A2强效抑制剂联合给药需要进行剂量调整。</w:t>
      </w:r>
    </w:p>
    <w:p w14:paraId="40465078"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12.当伊沙佐米与地塞米松（已知是CYP3A4、其他酶和转运蛋白的一种弱效至中效诱导剂）联合给药时，需考虑口服避孕药疗效降低的风险。使用激素避孕的女性还需采用屏障避孕。</w:t>
      </w:r>
    </w:p>
    <w:p w14:paraId="6489D193"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hint="eastAsia"/>
          <w:color w:val="000000"/>
          <w:sz w:val="32"/>
          <w:szCs w:val="32"/>
        </w:rPr>
        <w:t>13.新诊断的多发性骨髓瘤、淀粉样变性、华氏巨球蛋</w:t>
      </w:r>
      <w:r w:rsidRPr="00136FBE">
        <w:rPr>
          <w:rFonts w:ascii="仿宋" w:eastAsia="仿宋" w:hAnsi="仿宋" w:hint="eastAsia"/>
          <w:color w:val="000000"/>
          <w:sz w:val="32"/>
          <w:szCs w:val="32"/>
        </w:rPr>
        <w:lastRenderedPageBreak/>
        <w:t>白血症（仅有I～Ⅱ期临床数据）。</w:t>
      </w:r>
    </w:p>
    <w:p w14:paraId="1639E745" w14:textId="77777777" w:rsidR="00441816" w:rsidRPr="00136FBE" w:rsidRDefault="00441816" w:rsidP="00441816">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 xml:space="preserve">十六、达雷妥尤单抗 </w:t>
      </w:r>
      <w:r w:rsidR="00F111D5" w:rsidRPr="00136FBE">
        <w:rPr>
          <w:rFonts w:ascii="黑体" w:eastAsia="黑体" w:hAnsi="黑体" w:hint="eastAsia"/>
          <w:color w:val="000000"/>
          <w:sz w:val="32"/>
          <w:szCs w:val="32"/>
        </w:rPr>
        <w:t>D</w:t>
      </w:r>
      <w:r w:rsidRPr="00136FBE">
        <w:rPr>
          <w:rFonts w:ascii="黑体" w:eastAsia="黑体" w:hAnsi="黑体" w:hint="eastAsia"/>
          <w:color w:val="000000"/>
          <w:sz w:val="32"/>
          <w:szCs w:val="32"/>
        </w:rPr>
        <w:t>aratumumab</w:t>
      </w:r>
    </w:p>
    <w:p w14:paraId="466A0700" w14:textId="77777777" w:rsidR="001A6002" w:rsidRPr="001A6002" w:rsidRDefault="001A6002" w:rsidP="001A6002">
      <w:pPr>
        <w:spacing w:line="360" w:lineRule="auto"/>
        <w:ind w:firstLineChars="200" w:firstLine="643"/>
        <w:rPr>
          <w:rFonts w:ascii="仿宋" w:eastAsia="仿宋" w:hAnsi="仿宋"/>
          <w:bCs/>
          <w:color w:val="000000"/>
          <w:sz w:val="32"/>
          <w:szCs w:val="32"/>
        </w:rPr>
      </w:pPr>
      <w:r w:rsidRPr="001A6002">
        <w:rPr>
          <w:rFonts w:ascii="仿宋" w:eastAsia="仿宋" w:hAnsi="仿宋" w:hint="eastAsia"/>
          <w:b/>
          <w:color w:val="000000"/>
          <w:sz w:val="32"/>
          <w:szCs w:val="32"/>
        </w:rPr>
        <w:t>制剂与规格：</w:t>
      </w:r>
      <w:r w:rsidR="005B7187" w:rsidRPr="005B7187">
        <w:rPr>
          <w:rFonts w:ascii="仿宋" w:eastAsia="仿宋" w:hAnsi="仿宋" w:hint="eastAsia"/>
          <w:bCs/>
          <w:color w:val="000000"/>
          <w:sz w:val="32"/>
          <w:szCs w:val="32"/>
        </w:rPr>
        <w:t>注射液</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100mg</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5ml</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/瓶</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400mg</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20ml</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/瓶</w:t>
      </w:r>
    </w:p>
    <w:p w14:paraId="6C9B6908" w14:textId="77777777" w:rsidR="001A6002" w:rsidRPr="001A6002" w:rsidRDefault="001A6002" w:rsidP="001A6002">
      <w:pPr>
        <w:spacing w:line="360" w:lineRule="auto"/>
        <w:ind w:firstLineChars="200" w:firstLine="643"/>
        <w:rPr>
          <w:rFonts w:ascii="仿宋" w:eastAsia="仿宋" w:hAnsi="仿宋"/>
          <w:bCs/>
          <w:color w:val="000000"/>
          <w:sz w:val="32"/>
          <w:szCs w:val="32"/>
        </w:rPr>
      </w:pPr>
      <w:r w:rsidRPr="001A6002">
        <w:rPr>
          <w:rFonts w:ascii="仿宋" w:eastAsia="仿宋" w:hAnsi="仿宋" w:hint="eastAsia"/>
          <w:b/>
          <w:color w:val="000000"/>
          <w:sz w:val="32"/>
          <w:szCs w:val="32"/>
        </w:rPr>
        <w:t>适应证：</w:t>
      </w:r>
      <w:r w:rsidR="005B7187" w:rsidRPr="005B7187">
        <w:rPr>
          <w:rFonts w:ascii="仿宋" w:eastAsia="仿宋" w:hAnsi="仿宋" w:hint="eastAsia"/>
          <w:bCs/>
          <w:color w:val="000000"/>
          <w:sz w:val="32"/>
          <w:szCs w:val="32"/>
        </w:rPr>
        <w:t>单药治疗复发和难治性多发性骨髓瘤成年患者，患者既往接受过包括蛋白酶体抑制剂和免疫调节剂的治疗且最后一次治疗时出现疾病进展。</w:t>
      </w:r>
    </w:p>
    <w:p w14:paraId="2119568A" w14:textId="77777777" w:rsidR="001A6002" w:rsidRPr="001A6002" w:rsidRDefault="001A6002" w:rsidP="001A6002">
      <w:pPr>
        <w:spacing w:line="360" w:lineRule="auto"/>
        <w:ind w:firstLineChars="200" w:firstLine="643"/>
        <w:rPr>
          <w:rFonts w:ascii="仿宋" w:eastAsia="仿宋" w:hAnsi="仿宋"/>
          <w:b/>
          <w:color w:val="000000"/>
          <w:sz w:val="32"/>
          <w:szCs w:val="32"/>
        </w:rPr>
      </w:pPr>
      <w:r w:rsidRPr="001A6002">
        <w:rPr>
          <w:rFonts w:ascii="仿宋" w:eastAsia="仿宋" w:hAnsi="仿宋" w:hint="eastAsia"/>
          <w:b/>
          <w:color w:val="000000"/>
          <w:sz w:val="32"/>
          <w:szCs w:val="32"/>
        </w:rPr>
        <w:t>合理用药要点：</w:t>
      </w:r>
    </w:p>
    <w:p w14:paraId="64199EB5" w14:textId="77777777" w:rsidR="001A6002" w:rsidRPr="001A6002" w:rsidRDefault="001A6002" w:rsidP="001A6002">
      <w:pPr>
        <w:spacing w:line="360" w:lineRule="auto"/>
        <w:ind w:firstLineChars="200" w:firstLine="643"/>
        <w:rPr>
          <w:rFonts w:ascii="仿宋" w:eastAsia="仿宋" w:hAnsi="仿宋"/>
          <w:bCs/>
          <w:color w:val="000000"/>
          <w:sz w:val="32"/>
          <w:szCs w:val="32"/>
        </w:rPr>
      </w:pPr>
      <w:r>
        <w:rPr>
          <w:rFonts w:ascii="仿宋" w:eastAsia="仿宋" w:hAnsi="仿宋" w:hint="eastAsia"/>
          <w:b/>
          <w:color w:val="000000"/>
          <w:sz w:val="32"/>
          <w:szCs w:val="32"/>
        </w:rPr>
        <w:t>1.</w:t>
      </w:r>
      <w:r w:rsidR="005B7187" w:rsidRPr="005B7187">
        <w:rPr>
          <w:rFonts w:ascii="仿宋" w:eastAsia="仿宋" w:hAnsi="仿宋" w:hint="eastAsia"/>
          <w:bCs/>
          <w:color w:val="000000"/>
          <w:sz w:val="32"/>
          <w:szCs w:val="32"/>
        </w:rPr>
        <w:t>即刻输注相关反应的处理：达雷妥尤单抗是一种生物制剂，作为一种外源性蛋白与</w:t>
      </w:r>
      <w:r>
        <w:rPr>
          <w:rFonts w:ascii="仿宋" w:eastAsia="仿宋" w:hAnsi="仿宋" w:hint="eastAsia"/>
          <w:bCs/>
          <w:color w:val="000000"/>
          <w:sz w:val="32"/>
          <w:szCs w:val="32"/>
        </w:rPr>
        <w:t>其他</w:t>
      </w:r>
      <w:r w:rsidR="005B7187" w:rsidRPr="005B7187">
        <w:rPr>
          <w:rFonts w:ascii="仿宋" w:eastAsia="仿宋" w:hAnsi="仿宋" w:hint="eastAsia"/>
          <w:bCs/>
          <w:color w:val="000000"/>
          <w:sz w:val="32"/>
          <w:szCs w:val="32"/>
        </w:rPr>
        <w:t>靶向性单抗一样，有输注相关反应（</w:t>
      </w:r>
      <w:r w:rsidR="005B7187" w:rsidRPr="005B7187">
        <w:rPr>
          <w:rFonts w:ascii="仿宋" w:eastAsia="仿宋" w:hAnsi="仿宋"/>
          <w:bCs/>
          <w:color w:val="000000"/>
          <w:sz w:val="32"/>
          <w:szCs w:val="32"/>
        </w:rPr>
        <w:t>IRR）。IRR主要表现为鼻塞、咳嗽、咽喉</w:t>
      </w:r>
      <w:r w:rsidR="005B7187" w:rsidRPr="005B7187">
        <w:rPr>
          <w:rFonts w:ascii="仿宋" w:eastAsia="仿宋" w:hAnsi="仿宋" w:hint="eastAsia"/>
          <w:bCs/>
          <w:color w:val="000000"/>
          <w:sz w:val="32"/>
          <w:szCs w:val="32"/>
        </w:rPr>
        <w:t>部刺激感、寒战、恶心和呕吐，严重的</w:t>
      </w:r>
      <w:r w:rsidR="005B7187" w:rsidRPr="005B7187">
        <w:rPr>
          <w:rFonts w:ascii="仿宋" w:eastAsia="仿宋" w:hAnsi="仿宋"/>
          <w:bCs/>
          <w:color w:val="000000"/>
          <w:sz w:val="32"/>
          <w:szCs w:val="32"/>
        </w:rPr>
        <w:t>IRR表现为支气管痉挛，呼吸困难，喉头水肿，肺水肿和高血压。注射达雷</w:t>
      </w:r>
      <w:r w:rsidR="005B7187" w:rsidRPr="005B7187">
        <w:rPr>
          <w:rFonts w:ascii="仿宋" w:eastAsia="仿宋" w:hAnsi="仿宋" w:hint="eastAsia"/>
          <w:bCs/>
          <w:color w:val="000000"/>
          <w:sz w:val="32"/>
          <w:szCs w:val="32"/>
        </w:rPr>
        <w:t>妥尤单抗时应严格遵守规定的输注速率以降低输注相关反应的发生风险。对于任何等级</w:t>
      </w:r>
      <w:r w:rsidR="005B7187" w:rsidRPr="005B7187">
        <w:rPr>
          <w:rFonts w:ascii="仿宋" w:eastAsia="仿宋" w:hAnsi="仿宋"/>
          <w:bCs/>
          <w:color w:val="000000"/>
          <w:sz w:val="32"/>
          <w:szCs w:val="32"/>
        </w:rPr>
        <w:t>/严重程度的IRR，应立即中断本品输注并对症治疗。达雷</w:t>
      </w:r>
      <w:r w:rsidR="005B7187" w:rsidRPr="005B7187">
        <w:rPr>
          <w:rFonts w:ascii="仿宋" w:eastAsia="仿宋" w:hAnsi="仿宋" w:hint="eastAsia"/>
          <w:bCs/>
          <w:color w:val="000000"/>
          <w:sz w:val="32"/>
          <w:szCs w:val="32"/>
        </w:rPr>
        <w:t>妥尤单抗</w:t>
      </w:r>
      <w:r w:rsidR="005B7187" w:rsidRPr="005B7187">
        <w:rPr>
          <w:rFonts w:ascii="仿宋" w:eastAsia="仿宋" w:hAnsi="仿宋"/>
          <w:bCs/>
          <w:color w:val="000000"/>
          <w:sz w:val="32"/>
          <w:szCs w:val="32"/>
        </w:rPr>
        <w:t>IRR主要发生在首次输注后约为46%。发生IRR的中位时间为1.5小时，由于反应引起的输注中断发生率为35％。输液中断后达雷</w:t>
      </w:r>
      <w:r w:rsidR="005B7187" w:rsidRPr="005B7187">
        <w:rPr>
          <w:rFonts w:ascii="仿宋" w:eastAsia="仿宋" w:hAnsi="仿宋" w:hint="eastAsia"/>
          <w:bCs/>
          <w:color w:val="000000"/>
          <w:sz w:val="32"/>
          <w:szCs w:val="32"/>
        </w:rPr>
        <w:t>妥尤单抗可在室温下保存</w:t>
      </w:r>
      <w:r w:rsidR="005B7187" w:rsidRPr="005B7187">
        <w:rPr>
          <w:rFonts w:ascii="仿宋" w:eastAsia="仿宋" w:hAnsi="仿宋"/>
          <w:bCs/>
          <w:color w:val="000000"/>
          <w:sz w:val="32"/>
          <w:szCs w:val="32"/>
        </w:rPr>
        <w:t>15小时（包括输注时间）。发生1</w:t>
      </w:r>
      <w:r w:rsidR="00AC4AC8">
        <w:rPr>
          <w:rFonts w:ascii="仿宋" w:eastAsia="仿宋" w:hAnsi="仿宋" w:hint="eastAsia"/>
          <w:bCs/>
          <w:color w:val="000000"/>
          <w:sz w:val="32"/>
          <w:szCs w:val="32"/>
        </w:rPr>
        <w:t>～</w:t>
      </w:r>
      <w:r w:rsidR="005B7187" w:rsidRPr="005B7187">
        <w:rPr>
          <w:rFonts w:ascii="仿宋" w:eastAsia="仿宋" w:hAnsi="仿宋"/>
          <w:bCs/>
          <w:color w:val="000000"/>
          <w:sz w:val="32"/>
          <w:szCs w:val="32"/>
        </w:rPr>
        <w:t>2级（轻度至中度）输</w:t>
      </w:r>
      <w:r w:rsidR="005B7187" w:rsidRPr="005B7187">
        <w:rPr>
          <w:rFonts w:ascii="仿宋" w:eastAsia="仿宋" w:hAnsi="仿宋" w:hint="eastAsia"/>
          <w:bCs/>
          <w:color w:val="000000"/>
          <w:sz w:val="32"/>
          <w:szCs w:val="32"/>
        </w:rPr>
        <w:t>注相关反应的症状消退后，可以考虑重新开始输注，但是速率不得大于发生</w:t>
      </w:r>
      <w:r w:rsidR="005B7187" w:rsidRPr="005B7187">
        <w:rPr>
          <w:rFonts w:ascii="仿宋" w:eastAsia="仿宋" w:hAnsi="仿宋"/>
          <w:bCs/>
          <w:color w:val="000000"/>
          <w:sz w:val="32"/>
          <w:szCs w:val="32"/>
        </w:rPr>
        <w:t xml:space="preserve">IRR </w:t>
      </w:r>
      <w:r w:rsidR="005B7187" w:rsidRPr="005B7187">
        <w:rPr>
          <w:rFonts w:ascii="仿宋" w:eastAsia="仿宋" w:hAnsi="仿宋" w:hint="eastAsia"/>
          <w:bCs/>
          <w:color w:val="000000"/>
          <w:sz w:val="32"/>
          <w:szCs w:val="32"/>
        </w:rPr>
        <w:t>时输注速率的一半。如果患者未发生任何进一步的</w:t>
      </w:r>
      <w:r w:rsidR="005B7187" w:rsidRPr="005B7187">
        <w:rPr>
          <w:rFonts w:ascii="仿宋" w:eastAsia="仿宋" w:hAnsi="仿宋"/>
          <w:bCs/>
          <w:color w:val="000000"/>
          <w:sz w:val="32"/>
          <w:szCs w:val="32"/>
        </w:rPr>
        <w:t xml:space="preserve">IRR </w:t>
      </w:r>
      <w:r w:rsidR="005B7187" w:rsidRPr="005B7187">
        <w:rPr>
          <w:rFonts w:ascii="仿宋" w:eastAsia="仿宋" w:hAnsi="仿宋" w:hint="eastAsia"/>
          <w:bCs/>
          <w:color w:val="000000"/>
          <w:sz w:val="32"/>
          <w:szCs w:val="32"/>
        </w:rPr>
        <w:t>症状，可以继续递增输注速率，增量和间隔视</w:t>
      </w:r>
      <w:r w:rsidR="005B7187" w:rsidRPr="005B7187">
        <w:rPr>
          <w:rFonts w:ascii="仿宋" w:eastAsia="仿宋" w:hAnsi="仿宋" w:hint="eastAsia"/>
          <w:bCs/>
          <w:color w:val="000000"/>
          <w:sz w:val="32"/>
          <w:szCs w:val="32"/>
        </w:rPr>
        <w:lastRenderedPageBreak/>
        <w:t>临床情况而定，直至最大速率</w:t>
      </w:r>
      <w:r w:rsidR="005B7187" w:rsidRPr="005B7187">
        <w:rPr>
          <w:rFonts w:ascii="仿宋" w:eastAsia="仿宋" w:hAnsi="仿宋"/>
          <w:bCs/>
          <w:color w:val="000000"/>
          <w:sz w:val="32"/>
          <w:szCs w:val="32"/>
        </w:rPr>
        <w:t xml:space="preserve"> 200ml/小时。发生3级（重度）输</w:t>
      </w:r>
      <w:r w:rsidR="005B7187" w:rsidRPr="005B7187">
        <w:rPr>
          <w:rFonts w:ascii="仿宋" w:eastAsia="仿宋" w:hAnsi="仿宋" w:hint="eastAsia"/>
          <w:bCs/>
          <w:color w:val="000000"/>
          <w:sz w:val="32"/>
          <w:szCs w:val="32"/>
        </w:rPr>
        <w:t>注相关反应的症状消退后，可以考虑重新开始输注，但是速率不得大于发生</w:t>
      </w:r>
      <w:r w:rsidR="005B7187" w:rsidRPr="005B7187">
        <w:rPr>
          <w:rFonts w:ascii="仿宋" w:eastAsia="仿宋" w:hAnsi="仿宋"/>
          <w:bCs/>
          <w:color w:val="000000"/>
          <w:sz w:val="32"/>
          <w:szCs w:val="32"/>
        </w:rPr>
        <w:t xml:space="preserve">IRR </w:t>
      </w:r>
      <w:r w:rsidR="005B7187" w:rsidRPr="005B7187">
        <w:rPr>
          <w:rFonts w:ascii="仿宋" w:eastAsia="仿宋" w:hAnsi="仿宋" w:hint="eastAsia"/>
          <w:bCs/>
          <w:color w:val="000000"/>
          <w:sz w:val="32"/>
          <w:szCs w:val="32"/>
        </w:rPr>
        <w:t>时输注速率的一半。如果患者没有出现其他症状，可以重新开始递增输注速率，增量和间隔视临床情况而定。如果再次发生</w:t>
      </w:r>
      <w:r w:rsidR="005B7187" w:rsidRPr="005B7187">
        <w:rPr>
          <w:rFonts w:ascii="仿宋" w:eastAsia="仿宋" w:hAnsi="仿宋"/>
          <w:bCs/>
          <w:color w:val="000000"/>
          <w:sz w:val="32"/>
          <w:szCs w:val="32"/>
        </w:rPr>
        <w:t>3级症状，应重复上述步骤。第三次发生≥3级输</w:t>
      </w:r>
      <w:r w:rsidR="005B7187" w:rsidRPr="005B7187">
        <w:rPr>
          <w:rFonts w:ascii="仿宋" w:eastAsia="仿宋" w:hAnsi="仿宋" w:hint="eastAsia"/>
          <w:bCs/>
          <w:color w:val="000000"/>
          <w:sz w:val="32"/>
          <w:szCs w:val="32"/>
        </w:rPr>
        <w:t>注相关反应时，应永久终止本品治疗。发生</w:t>
      </w:r>
      <w:r w:rsidR="005B7187" w:rsidRPr="005B7187">
        <w:rPr>
          <w:rFonts w:ascii="仿宋" w:eastAsia="仿宋" w:hAnsi="仿宋"/>
          <w:bCs/>
          <w:color w:val="000000"/>
          <w:sz w:val="32"/>
          <w:szCs w:val="32"/>
        </w:rPr>
        <w:t>4级（危及生命）IRR，应永久终止本品治疗。每次输注本品前1</w:t>
      </w:r>
      <w:r w:rsidR="00AC4AC8">
        <w:rPr>
          <w:rFonts w:ascii="仿宋" w:eastAsia="仿宋" w:hAnsi="仿宋" w:hint="eastAsia"/>
          <w:bCs/>
          <w:color w:val="000000"/>
          <w:sz w:val="32"/>
          <w:szCs w:val="32"/>
        </w:rPr>
        <w:t>～</w:t>
      </w:r>
      <w:r w:rsidR="005B7187" w:rsidRPr="005B7187">
        <w:rPr>
          <w:rFonts w:ascii="仿宋" w:eastAsia="仿宋" w:hAnsi="仿宋"/>
          <w:bCs/>
          <w:color w:val="000000"/>
          <w:sz w:val="32"/>
          <w:szCs w:val="32"/>
        </w:rPr>
        <w:t>3小时给予所有患者以下输注前用药，可以降低IRR风险：</w:t>
      </w:r>
      <w:r w:rsidR="00C83FFA">
        <w:rPr>
          <w:rFonts w:ascii="仿宋" w:eastAsia="仿宋" w:hAnsi="仿宋" w:hint="eastAsia"/>
          <w:bCs/>
          <w:color w:val="000000"/>
          <w:sz w:val="32"/>
          <w:szCs w:val="32"/>
        </w:rPr>
        <w:t>（</w:t>
      </w:r>
      <w:r w:rsidR="005B7187" w:rsidRPr="005B7187">
        <w:rPr>
          <w:rFonts w:ascii="仿宋" w:eastAsia="仿宋" w:hAnsi="仿宋"/>
          <w:bCs/>
          <w:color w:val="000000"/>
          <w:sz w:val="32"/>
          <w:szCs w:val="32"/>
        </w:rPr>
        <w:t>1）</w:t>
      </w:r>
      <w:r w:rsidR="00C83FFA">
        <w:rPr>
          <w:rFonts w:ascii="仿宋" w:eastAsia="仿宋" w:hAnsi="仿宋" w:hint="eastAsia"/>
          <w:bCs/>
          <w:color w:val="000000"/>
          <w:sz w:val="32"/>
          <w:szCs w:val="32"/>
        </w:rPr>
        <w:t>糖皮质激素</w:t>
      </w:r>
      <w:r w:rsidR="005B7187" w:rsidRPr="005B7187">
        <w:rPr>
          <w:rFonts w:ascii="仿宋" w:eastAsia="仿宋" w:hAnsi="仿宋" w:hint="eastAsia"/>
          <w:bCs/>
          <w:color w:val="000000"/>
          <w:sz w:val="32"/>
          <w:szCs w:val="32"/>
        </w:rPr>
        <w:t>（长效或中效）：静脉输注</w:t>
      </w:r>
      <w:r w:rsidR="005B7187" w:rsidRPr="005B7187">
        <w:rPr>
          <w:rFonts w:ascii="仿宋" w:eastAsia="仿宋" w:hAnsi="仿宋"/>
          <w:bCs/>
          <w:color w:val="000000"/>
          <w:sz w:val="32"/>
          <w:szCs w:val="32"/>
        </w:rPr>
        <w:t>100 mg</w:t>
      </w:r>
      <w:r w:rsidR="00B04958">
        <w:rPr>
          <w:rFonts w:ascii="仿宋" w:eastAsia="仿宋" w:hAnsi="仿宋"/>
          <w:bCs/>
          <w:color w:val="000000"/>
          <w:sz w:val="32"/>
          <w:szCs w:val="32"/>
        </w:rPr>
        <w:t>甲泼尼龙</w:t>
      </w:r>
      <w:r w:rsidR="005B7187" w:rsidRPr="005B7187">
        <w:rPr>
          <w:rFonts w:ascii="仿宋" w:eastAsia="仿宋" w:hAnsi="仿宋"/>
          <w:bCs/>
          <w:color w:val="000000"/>
          <w:sz w:val="32"/>
          <w:szCs w:val="32"/>
        </w:rPr>
        <w:t>或等效药物。在第二次输注后，可以减少</w:t>
      </w:r>
      <w:r w:rsidR="00695C47">
        <w:rPr>
          <w:rFonts w:ascii="仿宋" w:eastAsia="仿宋" w:hAnsi="仿宋"/>
          <w:bCs/>
          <w:color w:val="000000"/>
          <w:sz w:val="32"/>
          <w:szCs w:val="32"/>
        </w:rPr>
        <w:t>糖皮质激素</w:t>
      </w:r>
      <w:r w:rsidR="005B7187" w:rsidRPr="005B7187">
        <w:rPr>
          <w:rFonts w:ascii="仿宋" w:eastAsia="仿宋" w:hAnsi="仿宋"/>
          <w:bCs/>
          <w:color w:val="000000"/>
          <w:sz w:val="32"/>
          <w:szCs w:val="32"/>
        </w:rPr>
        <w:t>剂量（口服或静脉内给予</w:t>
      </w:r>
      <w:r w:rsidR="00B04958">
        <w:rPr>
          <w:rFonts w:ascii="仿宋" w:eastAsia="仿宋" w:hAnsi="仿宋"/>
          <w:bCs/>
          <w:color w:val="000000"/>
          <w:sz w:val="32"/>
          <w:szCs w:val="32"/>
        </w:rPr>
        <w:t>甲泼尼龙</w:t>
      </w:r>
      <w:r w:rsidR="005B7187" w:rsidRPr="005B7187">
        <w:rPr>
          <w:rFonts w:ascii="仿宋" w:eastAsia="仿宋" w:hAnsi="仿宋"/>
          <w:bCs/>
          <w:color w:val="000000"/>
          <w:sz w:val="32"/>
          <w:szCs w:val="32"/>
        </w:rPr>
        <w:t>60mg）。</w:t>
      </w:r>
      <w:r w:rsidR="00695C47">
        <w:rPr>
          <w:rFonts w:ascii="仿宋" w:eastAsia="仿宋" w:hAnsi="仿宋" w:hint="eastAsia"/>
          <w:bCs/>
          <w:color w:val="000000"/>
          <w:sz w:val="32"/>
          <w:szCs w:val="32"/>
        </w:rPr>
        <w:t>（</w:t>
      </w:r>
      <w:r w:rsidR="005B7187" w:rsidRPr="005B7187">
        <w:rPr>
          <w:rFonts w:ascii="仿宋" w:eastAsia="仿宋" w:hAnsi="仿宋"/>
          <w:bCs/>
          <w:color w:val="000000"/>
          <w:sz w:val="32"/>
          <w:szCs w:val="32"/>
        </w:rPr>
        <w:t>2）退热剂（口服对乙酰氨基</w:t>
      </w:r>
      <w:r w:rsidR="005B7187" w:rsidRPr="005B7187">
        <w:rPr>
          <w:rFonts w:ascii="仿宋" w:eastAsia="仿宋" w:hAnsi="仿宋" w:hint="eastAsia"/>
          <w:bCs/>
          <w:color w:val="000000"/>
          <w:sz w:val="32"/>
          <w:szCs w:val="32"/>
        </w:rPr>
        <w:t>酚</w:t>
      </w:r>
      <w:r w:rsidR="005B7187" w:rsidRPr="005B7187">
        <w:rPr>
          <w:rFonts w:ascii="仿宋" w:eastAsia="仿宋" w:hAnsi="仿宋"/>
          <w:bCs/>
          <w:color w:val="000000"/>
          <w:sz w:val="32"/>
          <w:szCs w:val="32"/>
        </w:rPr>
        <w:t>650</w:t>
      </w:r>
      <w:r w:rsidR="00AC4AC8">
        <w:rPr>
          <w:rFonts w:ascii="仿宋" w:eastAsia="仿宋" w:hAnsi="仿宋" w:hint="eastAsia"/>
          <w:bCs/>
          <w:color w:val="000000"/>
          <w:sz w:val="32"/>
          <w:szCs w:val="32"/>
        </w:rPr>
        <w:t>～</w:t>
      </w:r>
      <w:r w:rsidR="005B7187" w:rsidRPr="005B7187">
        <w:rPr>
          <w:rFonts w:ascii="仿宋" w:eastAsia="仿宋" w:hAnsi="仿宋"/>
          <w:bCs/>
          <w:color w:val="000000"/>
          <w:sz w:val="32"/>
          <w:szCs w:val="32"/>
        </w:rPr>
        <w:t>1000mg）。</w:t>
      </w:r>
      <w:r w:rsidR="00695C47">
        <w:rPr>
          <w:rFonts w:ascii="仿宋" w:eastAsia="仿宋" w:hAnsi="仿宋" w:hint="eastAsia"/>
          <w:bCs/>
          <w:color w:val="000000"/>
          <w:sz w:val="32"/>
          <w:szCs w:val="32"/>
        </w:rPr>
        <w:t>（</w:t>
      </w:r>
      <w:r w:rsidR="005B7187" w:rsidRPr="005B7187">
        <w:rPr>
          <w:rFonts w:ascii="仿宋" w:eastAsia="仿宋" w:hAnsi="仿宋"/>
          <w:bCs/>
          <w:color w:val="000000"/>
          <w:sz w:val="32"/>
          <w:szCs w:val="32"/>
        </w:rPr>
        <w:t>3）抗组胺药（口服或静脉内给予苯海拉明25</w:t>
      </w:r>
      <w:r w:rsidR="00AC4AC8">
        <w:rPr>
          <w:rFonts w:ascii="仿宋" w:eastAsia="仿宋" w:hAnsi="仿宋" w:hint="eastAsia"/>
          <w:bCs/>
          <w:color w:val="000000"/>
          <w:sz w:val="32"/>
          <w:szCs w:val="32"/>
        </w:rPr>
        <w:t>～</w:t>
      </w:r>
      <w:r w:rsidR="005B7187" w:rsidRPr="005B7187">
        <w:rPr>
          <w:rFonts w:ascii="仿宋" w:eastAsia="仿宋" w:hAnsi="仿宋"/>
          <w:bCs/>
          <w:color w:val="000000"/>
          <w:sz w:val="32"/>
          <w:szCs w:val="32"/>
        </w:rPr>
        <w:t>50mg或等效药物）。</w:t>
      </w:r>
    </w:p>
    <w:p w14:paraId="45EA76E5"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2.</w:t>
      </w:r>
      <w:r w:rsidR="005B7187" w:rsidRPr="005B7187">
        <w:rPr>
          <w:rFonts w:ascii="仿宋" w:eastAsia="仿宋" w:hAnsi="仿宋" w:hint="eastAsia"/>
          <w:bCs/>
          <w:color w:val="000000"/>
          <w:sz w:val="32"/>
          <w:szCs w:val="32"/>
        </w:rPr>
        <w:t>迟发性输注相关反应：表现为延迟发热。可在每次输注本品后</w:t>
      </w:r>
      <w:r w:rsidR="005B7187" w:rsidRPr="005B7187">
        <w:rPr>
          <w:rFonts w:ascii="仿宋" w:eastAsia="仿宋" w:hAnsi="仿宋"/>
          <w:bCs/>
          <w:color w:val="000000"/>
          <w:sz w:val="32"/>
          <w:szCs w:val="32"/>
        </w:rPr>
        <w:t>2天（从输注后次日开始）每天给予口服</w:t>
      </w:r>
      <w:r>
        <w:rPr>
          <w:rFonts w:ascii="仿宋" w:eastAsia="仿宋" w:hAnsi="仿宋"/>
          <w:bCs/>
          <w:color w:val="000000"/>
          <w:sz w:val="32"/>
          <w:szCs w:val="32"/>
        </w:rPr>
        <w:t>糖皮质激素</w:t>
      </w:r>
      <w:r w:rsidR="005B7187" w:rsidRPr="005B7187">
        <w:rPr>
          <w:rFonts w:ascii="仿宋" w:eastAsia="仿宋" w:hAnsi="仿宋"/>
          <w:bCs/>
          <w:color w:val="000000"/>
          <w:sz w:val="32"/>
          <w:szCs w:val="32"/>
        </w:rPr>
        <w:t>（20mg</w:t>
      </w:r>
      <w:r w:rsidR="00B04958">
        <w:rPr>
          <w:rFonts w:ascii="仿宋" w:eastAsia="仿宋" w:hAnsi="仿宋"/>
          <w:bCs/>
          <w:color w:val="000000"/>
          <w:sz w:val="32"/>
          <w:szCs w:val="32"/>
        </w:rPr>
        <w:t>甲泼尼龙</w:t>
      </w:r>
      <w:r w:rsidR="005B7187" w:rsidRPr="005B7187">
        <w:rPr>
          <w:rFonts w:ascii="仿宋" w:eastAsia="仿宋" w:hAnsi="仿宋"/>
          <w:bCs/>
          <w:color w:val="000000"/>
          <w:sz w:val="32"/>
          <w:szCs w:val="32"/>
        </w:rPr>
        <w:t>或等效剂量的中效/长效</w:t>
      </w:r>
      <w:r>
        <w:rPr>
          <w:rFonts w:ascii="仿宋" w:eastAsia="仿宋" w:hAnsi="仿宋"/>
          <w:bCs/>
          <w:color w:val="000000"/>
          <w:sz w:val="32"/>
          <w:szCs w:val="32"/>
        </w:rPr>
        <w:t>糖皮质激素</w:t>
      </w:r>
      <w:r w:rsidR="005B7187" w:rsidRPr="005B7187">
        <w:rPr>
          <w:rFonts w:ascii="仿宋" w:eastAsia="仿宋" w:hAnsi="仿宋"/>
          <w:bCs/>
          <w:color w:val="000000"/>
          <w:sz w:val="32"/>
          <w:szCs w:val="32"/>
        </w:rPr>
        <w:t>，视当地标准而定）降低迟发性输</w:t>
      </w:r>
      <w:r w:rsidR="005B7187" w:rsidRPr="005B7187">
        <w:rPr>
          <w:rFonts w:ascii="仿宋" w:eastAsia="仿宋" w:hAnsi="仿宋" w:hint="eastAsia"/>
          <w:bCs/>
          <w:color w:val="000000"/>
          <w:sz w:val="32"/>
          <w:szCs w:val="32"/>
        </w:rPr>
        <w:t>注相关反应的风险。另外，对于患有慢性阻塞性肺疾病病史的患者，应考虑使用包括短效和长效支气管扩张剂以及吸入性</w:t>
      </w:r>
      <w:r>
        <w:rPr>
          <w:rFonts w:ascii="仿宋" w:eastAsia="仿宋" w:hAnsi="仿宋" w:hint="eastAsia"/>
          <w:bCs/>
          <w:color w:val="000000"/>
          <w:sz w:val="32"/>
          <w:szCs w:val="32"/>
        </w:rPr>
        <w:t>糖皮质激素</w:t>
      </w:r>
      <w:r w:rsidR="005B7187" w:rsidRPr="005B7187">
        <w:rPr>
          <w:rFonts w:ascii="仿宋" w:eastAsia="仿宋" w:hAnsi="仿宋" w:hint="eastAsia"/>
          <w:bCs/>
          <w:color w:val="000000"/>
          <w:sz w:val="32"/>
          <w:szCs w:val="32"/>
        </w:rPr>
        <w:t>在内的输注后用药。在前四次输注之后，如果患者没有发生重大</w:t>
      </w:r>
      <w:r w:rsidR="005B7187" w:rsidRPr="005B7187">
        <w:rPr>
          <w:rFonts w:ascii="仿宋" w:eastAsia="仿宋" w:hAnsi="仿宋"/>
          <w:bCs/>
          <w:color w:val="000000"/>
          <w:sz w:val="32"/>
          <w:szCs w:val="32"/>
        </w:rPr>
        <w:t>IRR，则可以由医师自行决定停用这些吸入性输注后药物。</w:t>
      </w:r>
    </w:p>
    <w:p w14:paraId="4EE013AB"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5B7187" w:rsidRPr="005B7187">
        <w:rPr>
          <w:rFonts w:ascii="仿宋" w:eastAsia="仿宋" w:hAnsi="仿宋" w:hint="eastAsia"/>
          <w:bCs/>
          <w:color w:val="000000"/>
          <w:sz w:val="32"/>
          <w:szCs w:val="32"/>
        </w:rPr>
        <w:t>对血型判定的影响以及输血策略：达雷妥尤单抗可以</w:t>
      </w:r>
      <w:r w:rsidR="005B7187" w:rsidRPr="005B7187">
        <w:rPr>
          <w:rFonts w:ascii="仿宋" w:eastAsia="仿宋" w:hAnsi="仿宋" w:hint="eastAsia"/>
          <w:bCs/>
          <w:color w:val="000000"/>
          <w:sz w:val="32"/>
          <w:szCs w:val="32"/>
        </w:rPr>
        <w:lastRenderedPageBreak/>
        <w:t>与红细胞膜表面低水平表达的</w:t>
      </w:r>
      <w:r w:rsidR="005B7187" w:rsidRPr="005B7187">
        <w:rPr>
          <w:rFonts w:ascii="仿宋" w:eastAsia="仿宋" w:hAnsi="仿宋"/>
          <w:bCs/>
          <w:color w:val="000000"/>
          <w:sz w:val="32"/>
          <w:szCs w:val="32"/>
        </w:rPr>
        <w:t>CD38抗原结合，造成交叉配血过程中的间接抗人球蛋白试验假阳性，干扰配血，这种假阳性可能持续到末次输注达雷</w:t>
      </w:r>
      <w:r w:rsidR="005B7187" w:rsidRPr="005B7187">
        <w:rPr>
          <w:rFonts w:ascii="仿宋" w:eastAsia="仿宋" w:hAnsi="仿宋" w:hint="eastAsia"/>
          <w:bCs/>
          <w:color w:val="000000"/>
          <w:sz w:val="32"/>
          <w:szCs w:val="32"/>
        </w:rPr>
        <w:t>妥尤单抗后</w:t>
      </w:r>
      <w:r w:rsidR="005B7187" w:rsidRPr="005B7187">
        <w:rPr>
          <w:rFonts w:ascii="仿宋" w:eastAsia="仿宋" w:hAnsi="仿宋"/>
          <w:bCs/>
          <w:color w:val="000000"/>
          <w:sz w:val="32"/>
          <w:szCs w:val="32"/>
        </w:rPr>
        <w:t>6个月。应在患者开始达雷</w:t>
      </w:r>
      <w:r w:rsidR="005B7187" w:rsidRPr="005B7187">
        <w:rPr>
          <w:rFonts w:ascii="仿宋" w:eastAsia="仿宋" w:hAnsi="仿宋" w:hint="eastAsia"/>
          <w:bCs/>
          <w:color w:val="000000"/>
          <w:sz w:val="32"/>
          <w:szCs w:val="32"/>
        </w:rPr>
        <w:t>妥尤单抗治疗前完成血型判定并进行抗体筛查。在计划输血的情况下，应通知输血中心这一间接抗球蛋白试验的干扰因素。应用二硫苏糖醇</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DTT</w:t>
      </w:r>
      <w:r>
        <w:rPr>
          <w:rFonts w:ascii="仿宋" w:eastAsia="仿宋" w:hAnsi="仿宋" w:hint="eastAsia"/>
          <w:bCs/>
          <w:color w:val="000000"/>
          <w:sz w:val="32"/>
          <w:szCs w:val="32"/>
        </w:rPr>
        <w:t>）</w:t>
      </w:r>
      <w:r w:rsidR="005B7187" w:rsidRPr="005B7187">
        <w:rPr>
          <w:rFonts w:ascii="仿宋" w:eastAsia="仿宋" w:hAnsi="仿宋"/>
          <w:bCs/>
          <w:color w:val="000000"/>
          <w:sz w:val="32"/>
          <w:szCs w:val="32"/>
        </w:rPr>
        <w:t>处理待检患者红细胞是处理方法之一。红细胞基因分型不受达雷</w:t>
      </w:r>
      <w:r w:rsidR="005B7187" w:rsidRPr="005B7187">
        <w:rPr>
          <w:rFonts w:ascii="仿宋" w:eastAsia="仿宋" w:hAnsi="仿宋" w:hint="eastAsia"/>
          <w:bCs/>
          <w:color w:val="000000"/>
          <w:sz w:val="32"/>
          <w:szCs w:val="32"/>
        </w:rPr>
        <w:t>妥尤单抗的影响，可以随时进行。</w:t>
      </w:r>
    </w:p>
    <w:p w14:paraId="055F7738"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4.</w:t>
      </w:r>
      <w:r w:rsidR="005B7187" w:rsidRPr="005B7187">
        <w:rPr>
          <w:rFonts w:ascii="仿宋" w:eastAsia="仿宋" w:hAnsi="仿宋" w:hint="eastAsia"/>
          <w:bCs/>
          <w:color w:val="000000"/>
          <w:sz w:val="32"/>
          <w:szCs w:val="32"/>
        </w:rPr>
        <w:t>达雷妥尤单抗有骨髓抑制，应用后需要注意</w:t>
      </w:r>
      <w:r>
        <w:rPr>
          <w:rFonts w:ascii="仿宋" w:eastAsia="仿宋" w:hAnsi="仿宋" w:hint="eastAsia"/>
          <w:bCs/>
          <w:color w:val="000000"/>
          <w:sz w:val="32"/>
          <w:szCs w:val="32"/>
        </w:rPr>
        <w:t>血常规</w:t>
      </w:r>
      <w:r w:rsidR="005B7187" w:rsidRPr="005B7187">
        <w:rPr>
          <w:rFonts w:ascii="仿宋" w:eastAsia="仿宋" w:hAnsi="仿宋" w:hint="eastAsia"/>
          <w:bCs/>
          <w:color w:val="000000"/>
          <w:sz w:val="32"/>
          <w:szCs w:val="32"/>
        </w:rPr>
        <w:t>的监测。</w:t>
      </w:r>
    </w:p>
    <w:p w14:paraId="3A6D48A1"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5.</w:t>
      </w:r>
      <w:r w:rsidR="005B7187" w:rsidRPr="005B7187">
        <w:rPr>
          <w:rFonts w:ascii="仿宋" w:eastAsia="仿宋" w:hAnsi="仿宋" w:hint="eastAsia"/>
          <w:bCs/>
          <w:color w:val="000000"/>
          <w:sz w:val="32"/>
          <w:szCs w:val="32"/>
        </w:rPr>
        <w:t>达雷妥尤单抗可能会引起带状疱疹感染风险增加，约</w:t>
      </w:r>
      <w:r w:rsidR="005B7187" w:rsidRPr="005B7187">
        <w:rPr>
          <w:rFonts w:ascii="仿宋" w:eastAsia="仿宋" w:hAnsi="仿宋"/>
          <w:bCs/>
          <w:color w:val="000000"/>
          <w:sz w:val="32"/>
          <w:szCs w:val="32"/>
        </w:rPr>
        <w:t>3%的患者报告了带状疱疹再激活。无论单药使用还是与其他任意方案联用，都推荐使用抗病毒预防性治疗来预防带状疱疹病毒再激活。</w:t>
      </w:r>
    </w:p>
    <w:p w14:paraId="0D88258D"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6.</w:t>
      </w:r>
      <w:r w:rsidR="005B7187" w:rsidRPr="005B7187">
        <w:rPr>
          <w:rFonts w:ascii="仿宋" w:eastAsia="仿宋" w:hAnsi="仿宋" w:hint="eastAsia"/>
          <w:bCs/>
          <w:color w:val="000000"/>
          <w:sz w:val="32"/>
          <w:szCs w:val="32"/>
        </w:rPr>
        <w:t>在伴有肝肾功能不全患者中不需要调整达雷妥尤单抗剂量。</w:t>
      </w:r>
    </w:p>
    <w:p w14:paraId="3B155CA1"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7.</w:t>
      </w:r>
      <w:r w:rsidR="005B7187" w:rsidRPr="005B7187">
        <w:rPr>
          <w:rFonts w:ascii="仿宋" w:eastAsia="仿宋" w:hAnsi="仿宋" w:hint="eastAsia"/>
          <w:bCs/>
          <w:color w:val="000000"/>
          <w:sz w:val="32"/>
          <w:szCs w:val="32"/>
        </w:rPr>
        <w:t>在接受本品治疗的患者中，有乙肝病毒再燃的风险。在使用达雷妥尤单抗治疗前应进行</w:t>
      </w:r>
      <w:r w:rsidR="005B7187" w:rsidRPr="005B7187">
        <w:rPr>
          <w:rFonts w:ascii="仿宋" w:eastAsia="仿宋" w:hAnsi="仿宋"/>
          <w:bCs/>
          <w:color w:val="000000"/>
          <w:sz w:val="32"/>
          <w:szCs w:val="32"/>
        </w:rPr>
        <w:t>HBV筛查，HBV携带者应预防性使用抑制病毒复制的药物及监测病毒载量；在达雷</w:t>
      </w:r>
      <w:r w:rsidR="005B7187" w:rsidRPr="005B7187">
        <w:rPr>
          <w:rFonts w:ascii="仿宋" w:eastAsia="仿宋" w:hAnsi="仿宋" w:hint="eastAsia"/>
          <w:bCs/>
          <w:color w:val="000000"/>
          <w:sz w:val="32"/>
          <w:szCs w:val="32"/>
        </w:rPr>
        <w:t>妥尤单抗治疗中，若出现</w:t>
      </w:r>
      <w:r w:rsidR="005B7187" w:rsidRPr="005B7187">
        <w:rPr>
          <w:rFonts w:ascii="仿宋" w:eastAsia="仿宋" w:hAnsi="仿宋"/>
          <w:bCs/>
          <w:color w:val="000000"/>
          <w:sz w:val="32"/>
          <w:szCs w:val="32"/>
        </w:rPr>
        <w:t>HBV再激活的患者，应停止使用达雷</w:t>
      </w:r>
      <w:r w:rsidR="005B7187" w:rsidRPr="005B7187">
        <w:rPr>
          <w:rFonts w:ascii="仿宋" w:eastAsia="仿宋" w:hAnsi="仿宋" w:hint="eastAsia"/>
          <w:bCs/>
          <w:color w:val="000000"/>
          <w:sz w:val="32"/>
          <w:szCs w:val="32"/>
        </w:rPr>
        <w:t>妥尤单抗及任何联合激素、化疗，并给予适当的治疗。对于</w:t>
      </w:r>
      <w:r w:rsidR="005B7187" w:rsidRPr="005B7187">
        <w:rPr>
          <w:rFonts w:ascii="仿宋" w:eastAsia="仿宋" w:hAnsi="仿宋"/>
          <w:bCs/>
          <w:color w:val="000000"/>
          <w:sz w:val="32"/>
          <w:szCs w:val="32"/>
        </w:rPr>
        <w:t>HBV血清学检测结果呈阳性的患者，应在本品治疗期间以及</w:t>
      </w:r>
      <w:r w:rsidR="005B7187" w:rsidRPr="005B7187">
        <w:rPr>
          <w:rFonts w:ascii="仿宋" w:eastAsia="仿宋" w:hAnsi="仿宋"/>
          <w:bCs/>
          <w:color w:val="000000"/>
          <w:sz w:val="32"/>
          <w:szCs w:val="32"/>
        </w:rPr>
        <w:lastRenderedPageBreak/>
        <w:t>治疗结束后至少6个月内监测 HBV再激活的临床和实验室指征。</w:t>
      </w:r>
    </w:p>
    <w:p w14:paraId="3D8F4E20" w14:textId="77777777" w:rsidR="001A6002" w:rsidRPr="001A6002" w:rsidRDefault="00695C47" w:rsidP="001A6002">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8.</w:t>
      </w:r>
      <w:r w:rsidR="005B7187" w:rsidRPr="005B7187">
        <w:rPr>
          <w:rFonts w:ascii="仿宋" w:eastAsia="仿宋" w:hAnsi="仿宋" w:hint="eastAsia"/>
          <w:bCs/>
          <w:color w:val="000000"/>
          <w:sz w:val="32"/>
          <w:szCs w:val="32"/>
        </w:rPr>
        <w:t>其他治疗：达雷妥尤单抗联合地塞米松及硼替佐米用于初诊的系统性轻链型淀粉样变中的</w:t>
      </w:r>
      <w:r w:rsidR="003C4EA9" w:rsidRPr="00136FBE">
        <w:rPr>
          <w:rFonts w:ascii="仿宋" w:eastAsia="仿宋" w:hAnsi="仿宋" w:hint="eastAsia"/>
          <w:color w:val="000000"/>
          <w:sz w:val="32"/>
          <w:szCs w:val="32"/>
        </w:rPr>
        <w:t>Ⅲ</w:t>
      </w:r>
      <w:r w:rsidR="005B7187" w:rsidRPr="005B7187">
        <w:rPr>
          <w:rFonts w:ascii="仿宋" w:eastAsia="仿宋" w:hAnsi="仿宋"/>
          <w:bCs/>
          <w:color w:val="000000"/>
          <w:sz w:val="32"/>
          <w:szCs w:val="32"/>
        </w:rPr>
        <w:t>期临床试验在进行中，中期分析含达雷</w:t>
      </w:r>
      <w:r w:rsidR="005B7187" w:rsidRPr="005B7187">
        <w:rPr>
          <w:rFonts w:ascii="仿宋" w:eastAsia="仿宋" w:hAnsi="仿宋" w:hint="eastAsia"/>
          <w:bCs/>
          <w:color w:val="000000"/>
          <w:sz w:val="32"/>
          <w:szCs w:val="32"/>
        </w:rPr>
        <w:t>妥尤单抗组较对照组血液学缓解率明显增加。</w:t>
      </w:r>
      <w:r w:rsidR="005B7187" w:rsidRPr="005B7187">
        <w:rPr>
          <w:rFonts w:ascii="仿宋" w:eastAsia="仿宋" w:hAnsi="仿宋"/>
          <w:bCs/>
          <w:color w:val="000000"/>
          <w:sz w:val="32"/>
          <w:szCs w:val="32"/>
        </w:rPr>
        <w:t>达雷</w:t>
      </w:r>
      <w:r w:rsidR="005B7187" w:rsidRPr="005B7187">
        <w:rPr>
          <w:rFonts w:ascii="仿宋" w:eastAsia="仿宋" w:hAnsi="仿宋" w:hint="eastAsia"/>
          <w:bCs/>
          <w:color w:val="000000"/>
          <w:sz w:val="32"/>
          <w:szCs w:val="32"/>
        </w:rPr>
        <w:t>妥尤单抗联合其他药物在</w:t>
      </w:r>
      <w:r w:rsidR="005B7187" w:rsidRPr="005B7187">
        <w:rPr>
          <w:rFonts w:ascii="仿宋" w:eastAsia="仿宋" w:hAnsi="仿宋"/>
          <w:bCs/>
          <w:color w:val="000000"/>
          <w:sz w:val="32"/>
          <w:szCs w:val="32"/>
        </w:rPr>
        <w:t>NCCN指南已经获</w:t>
      </w:r>
      <w:r w:rsidR="005B7187" w:rsidRPr="005B7187">
        <w:rPr>
          <w:rFonts w:ascii="仿宋" w:eastAsia="仿宋" w:hAnsi="仿宋" w:hint="eastAsia"/>
          <w:bCs/>
          <w:color w:val="000000"/>
          <w:sz w:val="32"/>
          <w:szCs w:val="32"/>
        </w:rPr>
        <w:t>批用于难治复发以及初治</w:t>
      </w:r>
      <w:r w:rsidR="00B35FB8" w:rsidRPr="005B7187">
        <w:rPr>
          <w:rFonts w:ascii="仿宋" w:eastAsia="仿宋" w:hAnsi="仿宋" w:hint="eastAsia"/>
          <w:bCs/>
          <w:color w:val="000000"/>
          <w:sz w:val="32"/>
          <w:szCs w:val="32"/>
        </w:rPr>
        <w:t>多发性骨髓瘤</w:t>
      </w:r>
      <w:r w:rsidR="005B7187" w:rsidRPr="005B7187">
        <w:rPr>
          <w:rFonts w:ascii="仿宋" w:eastAsia="仿宋" w:hAnsi="仿宋"/>
          <w:bCs/>
          <w:color w:val="000000"/>
          <w:sz w:val="32"/>
          <w:szCs w:val="32"/>
        </w:rPr>
        <w:t>患者治疗，包括达雷</w:t>
      </w:r>
      <w:r w:rsidR="005B7187" w:rsidRPr="005B7187">
        <w:rPr>
          <w:rFonts w:ascii="仿宋" w:eastAsia="仿宋" w:hAnsi="仿宋" w:hint="eastAsia"/>
          <w:bCs/>
          <w:color w:val="000000"/>
          <w:sz w:val="32"/>
          <w:szCs w:val="32"/>
        </w:rPr>
        <w:t>妥尤单抗联合来那度胺及地塞米松用于复发患者以及老年初治患者，达雷妥尤单抗联合硼替佐米及地塞米松用于难治复发患者，达雷妥尤单抗联合硼替佐米、美法仑及醋酸泼尼松用于老年初治患者，达雷妥尤单抗联合硼替佐米、沙利度胺及地塞米松用于年轻初治患者。</w:t>
      </w:r>
    </w:p>
    <w:p w14:paraId="3DB4FFF6" w14:textId="77777777" w:rsidR="00B23A40" w:rsidRPr="00136FBE" w:rsidRDefault="00DD1A0D">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十</w:t>
      </w:r>
      <w:r w:rsidR="00441816" w:rsidRPr="00136FBE">
        <w:rPr>
          <w:rFonts w:ascii="黑体" w:eastAsia="黑体" w:hAnsi="黑体" w:cs="黑体" w:hint="eastAsia"/>
          <w:sz w:val="32"/>
          <w:szCs w:val="32"/>
        </w:rPr>
        <w:t>七</w:t>
      </w:r>
      <w:r w:rsidRPr="00136FBE">
        <w:rPr>
          <w:rFonts w:ascii="黑体" w:eastAsia="黑体" w:hAnsi="黑体" w:cs="黑体" w:hint="eastAsia"/>
          <w:sz w:val="32"/>
          <w:szCs w:val="32"/>
        </w:rPr>
        <w:t xml:space="preserve">、芦可替尼 </w:t>
      </w:r>
      <w:proofErr w:type="spellStart"/>
      <w:r w:rsidR="00F111D5" w:rsidRPr="00136FBE">
        <w:rPr>
          <w:rFonts w:ascii="黑体" w:eastAsia="黑体" w:hAnsi="黑体" w:cs="黑体" w:hint="eastAsia"/>
          <w:sz w:val="32"/>
          <w:szCs w:val="32"/>
        </w:rPr>
        <w:t>R</w:t>
      </w:r>
      <w:r w:rsidRPr="00136FBE">
        <w:rPr>
          <w:rFonts w:ascii="黑体" w:eastAsia="黑体" w:hAnsi="黑体" w:cs="黑体"/>
          <w:sz w:val="32"/>
          <w:szCs w:val="32"/>
        </w:rPr>
        <w:t>uxolitinib</w:t>
      </w:r>
      <w:proofErr w:type="spellEnd"/>
    </w:p>
    <w:p w14:paraId="63CC4E24"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 xml:space="preserve">5mg </w:t>
      </w:r>
    </w:p>
    <w:p w14:paraId="2FDEA9C0"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用于中危或高危的原发性骨髓纤维化（</w:t>
      </w:r>
      <w:r w:rsidRPr="00136FBE">
        <w:rPr>
          <w:rFonts w:ascii="仿宋" w:eastAsia="仿宋" w:hAnsi="仿宋" w:cs="仿宋"/>
          <w:sz w:val="32"/>
          <w:szCs w:val="32"/>
        </w:rPr>
        <w:t>PMF</w:t>
      </w:r>
      <w:r w:rsidRPr="00136FBE">
        <w:rPr>
          <w:rFonts w:ascii="仿宋" w:eastAsia="仿宋" w:hAnsi="仿宋" w:cs="仿宋" w:hint="eastAsia"/>
          <w:sz w:val="32"/>
          <w:szCs w:val="32"/>
        </w:rPr>
        <w:t>）（亦称为慢性特发性骨髓纤维化）、真性红细胞增多症继发的骨髓纤维化（</w:t>
      </w:r>
      <w:r w:rsidRPr="00136FBE">
        <w:rPr>
          <w:rFonts w:ascii="仿宋" w:eastAsia="仿宋" w:hAnsi="仿宋" w:cs="仿宋"/>
          <w:sz w:val="32"/>
          <w:szCs w:val="32"/>
        </w:rPr>
        <w:t>PPV-MF</w:t>
      </w:r>
      <w:r w:rsidRPr="00136FBE">
        <w:rPr>
          <w:rFonts w:ascii="仿宋" w:eastAsia="仿宋" w:hAnsi="仿宋" w:cs="仿宋" w:hint="eastAsia"/>
          <w:sz w:val="32"/>
          <w:szCs w:val="32"/>
        </w:rPr>
        <w:t>）或原发性血小板增多症继发的骨髓纤维化（</w:t>
      </w:r>
      <w:r w:rsidRPr="00136FBE">
        <w:rPr>
          <w:rFonts w:ascii="仿宋" w:eastAsia="仿宋" w:hAnsi="仿宋" w:cs="仿宋"/>
          <w:sz w:val="32"/>
          <w:szCs w:val="32"/>
        </w:rPr>
        <w:t>PET-MF</w:t>
      </w:r>
      <w:r w:rsidRPr="00136FBE">
        <w:rPr>
          <w:rFonts w:ascii="仿宋" w:eastAsia="仿宋" w:hAnsi="仿宋" w:cs="仿宋" w:hint="eastAsia"/>
          <w:sz w:val="32"/>
          <w:szCs w:val="32"/>
        </w:rPr>
        <w:t>）的成年患者，治疗疾病相关脾肿大或疾病相关症状。</w:t>
      </w:r>
    </w:p>
    <w:p w14:paraId="0C22E918"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合理用药要点</w:t>
      </w:r>
      <w:r w:rsidRPr="00136FBE">
        <w:rPr>
          <w:rFonts w:ascii="仿宋" w:eastAsia="仿宋" w:hAnsi="仿宋" w:cs="仿宋" w:hint="eastAsia"/>
          <w:sz w:val="32"/>
          <w:szCs w:val="32"/>
        </w:rPr>
        <w:t>：</w:t>
      </w:r>
    </w:p>
    <w:p w14:paraId="3254F5FE"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治疗剂量：按照血小板计数给予起始剂量。（</w:t>
      </w:r>
      <w:r w:rsidRPr="00136FBE">
        <w:rPr>
          <w:rFonts w:ascii="仿宋" w:eastAsia="仿宋" w:hAnsi="仿宋" w:cs="仿宋"/>
          <w:sz w:val="32"/>
          <w:szCs w:val="32"/>
        </w:rPr>
        <w:t>1</w:t>
      </w:r>
      <w:r w:rsidRPr="00136FBE">
        <w:rPr>
          <w:rFonts w:ascii="仿宋" w:eastAsia="仿宋" w:hAnsi="仿宋" w:cs="仿宋" w:hint="eastAsia"/>
          <w:sz w:val="32"/>
          <w:szCs w:val="32"/>
        </w:rPr>
        <w:t>）血小板计数在（</w:t>
      </w:r>
      <w:r w:rsidRPr="00136FBE">
        <w:rPr>
          <w:rFonts w:ascii="仿宋" w:eastAsia="仿宋" w:hAnsi="仿宋" w:cs="仿宋"/>
          <w:sz w:val="32"/>
          <w:szCs w:val="32"/>
        </w:rPr>
        <w:t>100</w:t>
      </w:r>
      <w:r w:rsidR="00034C03" w:rsidRPr="00136FBE">
        <w:rPr>
          <w:rFonts w:ascii="仿宋" w:eastAsia="仿宋" w:hAnsi="仿宋" w:cs="仿宋" w:hint="eastAsia"/>
          <w:sz w:val="32"/>
          <w:szCs w:val="32"/>
        </w:rPr>
        <w:t>.0</w:t>
      </w:r>
      <w:r w:rsidRPr="00136FBE">
        <w:rPr>
          <w:rFonts w:ascii="仿宋" w:eastAsia="仿宋" w:hAnsi="仿宋" w:cs="仿宋" w:hint="eastAsia"/>
          <w:sz w:val="32"/>
          <w:szCs w:val="32"/>
        </w:rPr>
        <w:t>～</w:t>
      </w:r>
      <w:r w:rsidRPr="00136FBE">
        <w:rPr>
          <w:rFonts w:ascii="仿宋" w:eastAsia="仿宋" w:hAnsi="仿宋" w:cs="仿宋"/>
          <w:sz w:val="32"/>
          <w:szCs w:val="32"/>
        </w:rPr>
        <w:t>200</w:t>
      </w:r>
      <w:r w:rsidR="00034C03" w:rsidRPr="00136FBE">
        <w:rPr>
          <w:rFonts w:ascii="仿宋" w:eastAsia="仿宋" w:hAnsi="仿宋" w:cs="仿宋" w:hint="eastAsia"/>
          <w:sz w:val="32"/>
          <w:szCs w:val="32"/>
        </w:rPr>
        <w:t>.0</w:t>
      </w:r>
      <w:r w:rsidRPr="00136FBE">
        <w:rPr>
          <w:rFonts w:ascii="仿宋" w:eastAsia="仿宋" w:hAnsi="仿宋" w:cs="仿宋" w:hint="eastAsia"/>
          <w:sz w:val="32"/>
          <w:szCs w:val="32"/>
        </w:rPr>
        <w:t>）</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cs="仿宋" w:hint="eastAsia"/>
          <w:sz w:val="32"/>
          <w:szCs w:val="32"/>
        </w:rPr>
        <w:t>，起始剂量为</w:t>
      </w:r>
      <w:r w:rsidRPr="00136FBE">
        <w:rPr>
          <w:rFonts w:ascii="仿宋" w:eastAsia="仿宋" w:hAnsi="仿宋" w:cs="仿宋"/>
          <w:sz w:val="32"/>
          <w:szCs w:val="32"/>
        </w:rPr>
        <w:t>15mg</w:t>
      </w:r>
      <w:r w:rsidRPr="00136FBE">
        <w:rPr>
          <w:rFonts w:ascii="仿宋" w:eastAsia="仿宋" w:hAnsi="仿宋" w:cs="仿宋" w:hint="eastAsia"/>
          <w:sz w:val="32"/>
          <w:szCs w:val="32"/>
        </w:rPr>
        <w:t>，每</w:t>
      </w:r>
      <w:r w:rsidRPr="00136FBE">
        <w:rPr>
          <w:rFonts w:ascii="仿宋" w:eastAsia="仿宋" w:hAnsi="仿宋" w:cs="仿宋" w:hint="eastAsia"/>
          <w:sz w:val="32"/>
          <w:szCs w:val="32"/>
        </w:rPr>
        <w:lastRenderedPageBreak/>
        <w:t>日两次。（</w:t>
      </w:r>
      <w:r w:rsidRPr="00136FBE">
        <w:rPr>
          <w:rFonts w:ascii="仿宋" w:eastAsia="仿宋" w:hAnsi="仿宋" w:cs="仿宋"/>
          <w:sz w:val="32"/>
          <w:szCs w:val="32"/>
        </w:rPr>
        <w:t>2</w:t>
      </w:r>
      <w:r w:rsidRPr="00136FBE">
        <w:rPr>
          <w:rFonts w:ascii="仿宋" w:eastAsia="仿宋" w:hAnsi="仿宋" w:cs="仿宋" w:hint="eastAsia"/>
          <w:sz w:val="32"/>
          <w:szCs w:val="32"/>
        </w:rPr>
        <w:t>）血小板计数＞</w:t>
      </w:r>
      <w:r w:rsidRPr="00136FBE">
        <w:rPr>
          <w:rFonts w:ascii="仿宋" w:eastAsia="仿宋" w:hAnsi="仿宋" w:cs="仿宋"/>
          <w:sz w:val="32"/>
          <w:szCs w:val="32"/>
        </w:rPr>
        <w:t>200</w:t>
      </w:r>
      <w:r w:rsidR="00034C03" w:rsidRPr="00136FBE">
        <w:rPr>
          <w:rFonts w:ascii="仿宋" w:eastAsia="仿宋" w:hAnsi="仿宋" w:cs="仿宋" w:hint="eastAsia"/>
          <w:sz w:val="32"/>
          <w:szCs w:val="32"/>
        </w:rPr>
        <w:t>.0</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cs="仿宋" w:hint="eastAsia"/>
          <w:sz w:val="32"/>
          <w:szCs w:val="32"/>
        </w:rPr>
        <w:t>，起始剂量为</w:t>
      </w:r>
      <w:r w:rsidRPr="00136FBE">
        <w:rPr>
          <w:rFonts w:ascii="仿宋" w:eastAsia="仿宋" w:hAnsi="仿宋" w:cs="仿宋"/>
          <w:sz w:val="32"/>
          <w:szCs w:val="32"/>
        </w:rPr>
        <w:t>20mg</w:t>
      </w:r>
      <w:r w:rsidRPr="00136FBE">
        <w:rPr>
          <w:rFonts w:ascii="仿宋" w:eastAsia="仿宋" w:hAnsi="仿宋" w:cs="仿宋" w:hint="eastAsia"/>
          <w:sz w:val="32"/>
          <w:szCs w:val="32"/>
        </w:rPr>
        <w:t>，每日两次。（</w:t>
      </w:r>
      <w:r w:rsidRPr="00136FBE">
        <w:rPr>
          <w:rFonts w:ascii="仿宋" w:eastAsia="仿宋" w:hAnsi="仿宋" w:cs="仿宋"/>
          <w:sz w:val="32"/>
          <w:szCs w:val="32"/>
        </w:rPr>
        <w:t>3</w:t>
      </w:r>
      <w:r w:rsidRPr="00136FBE">
        <w:rPr>
          <w:rFonts w:ascii="仿宋" w:eastAsia="仿宋" w:hAnsi="仿宋" w:cs="仿宋" w:hint="eastAsia"/>
          <w:sz w:val="32"/>
          <w:szCs w:val="32"/>
        </w:rPr>
        <w:t>）血小板计数在（</w:t>
      </w:r>
      <w:r w:rsidRPr="00136FBE">
        <w:rPr>
          <w:rFonts w:ascii="仿宋" w:eastAsia="仿宋" w:hAnsi="仿宋" w:cs="仿宋"/>
          <w:sz w:val="32"/>
          <w:szCs w:val="32"/>
        </w:rPr>
        <w:t>50</w:t>
      </w:r>
      <w:r w:rsidR="00034C03" w:rsidRPr="00136FBE">
        <w:rPr>
          <w:rFonts w:ascii="仿宋" w:eastAsia="仿宋" w:hAnsi="仿宋" w:cs="仿宋" w:hint="eastAsia"/>
          <w:sz w:val="32"/>
          <w:szCs w:val="32"/>
        </w:rPr>
        <w:t>.0</w:t>
      </w:r>
      <w:r w:rsidRPr="00136FBE">
        <w:rPr>
          <w:rFonts w:ascii="仿宋" w:eastAsia="仿宋" w:hAnsi="仿宋" w:cs="仿宋" w:hint="eastAsia"/>
          <w:sz w:val="32"/>
          <w:szCs w:val="32"/>
        </w:rPr>
        <w:t>～</w:t>
      </w:r>
      <w:r w:rsidRPr="00136FBE">
        <w:rPr>
          <w:rFonts w:ascii="仿宋" w:eastAsia="仿宋" w:hAnsi="仿宋" w:cs="仿宋"/>
          <w:sz w:val="32"/>
          <w:szCs w:val="32"/>
        </w:rPr>
        <w:t>100</w:t>
      </w:r>
      <w:r w:rsidR="00034C03" w:rsidRPr="00136FBE">
        <w:rPr>
          <w:rFonts w:ascii="仿宋" w:eastAsia="仿宋" w:hAnsi="仿宋" w:cs="仿宋" w:hint="eastAsia"/>
          <w:sz w:val="32"/>
          <w:szCs w:val="32"/>
        </w:rPr>
        <w:t>.0</w:t>
      </w:r>
      <w:r w:rsidRPr="00136FBE">
        <w:rPr>
          <w:rFonts w:ascii="仿宋" w:eastAsia="仿宋" w:hAnsi="仿宋" w:cs="仿宋" w:hint="eastAsia"/>
          <w:sz w:val="32"/>
          <w:szCs w:val="32"/>
        </w:rPr>
        <w:t>）</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cs="仿宋" w:hint="eastAsia"/>
          <w:sz w:val="32"/>
          <w:szCs w:val="32"/>
        </w:rPr>
        <w:t>，起始剂量为</w:t>
      </w:r>
      <w:r w:rsidRPr="00136FBE">
        <w:rPr>
          <w:rFonts w:ascii="仿宋" w:eastAsia="仿宋" w:hAnsi="仿宋" w:cs="仿宋"/>
          <w:sz w:val="32"/>
          <w:szCs w:val="32"/>
        </w:rPr>
        <w:t>5mg</w:t>
      </w:r>
      <w:r w:rsidRPr="00136FBE">
        <w:rPr>
          <w:rFonts w:ascii="仿宋" w:eastAsia="仿宋" w:hAnsi="仿宋" w:cs="仿宋" w:hint="eastAsia"/>
          <w:sz w:val="32"/>
          <w:szCs w:val="32"/>
        </w:rPr>
        <w:t>，每日两次。</w:t>
      </w:r>
    </w:p>
    <w:p w14:paraId="006DD49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本品可能造成血液系统不良反应，包括血小板减少、贫血和中性粒细胞减少。治疗前，必须进行全血细胞计数检查，之后每周监测一次，</w:t>
      </w:r>
      <w:r w:rsidRPr="00136FBE">
        <w:rPr>
          <w:rFonts w:ascii="仿宋" w:eastAsia="仿宋" w:hAnsi="仿宋" w:cs="仿宋"/>
          <w:sz w:val="32"/>
          <w:szCs w:val="32"/>
        </w:rPr>
        <w:t>4</w:t>
      </w:r>
      <w:r w:rsidRPr="00136FBE">
        <w:rPr>
          <w:rFonts w:ascii="仿宋" w:eastAsia="仿宋" w:hAnsi="仿宋" w:cs="仿宋" w:hint="eastAsia"/>
          <w:sz w:val="32"/>
          <w:szCs w:val="32"/>
        </w:rPr>
        <w:t>周后可每</w:t>
      </w:r>
      <w:r w:rsidRPr="00136FBE">
        <w:rPr>
          <w:rFonts w:ascii="仿宋" w:eastAsia="仿宋" w:hAnsi="仿宋" w:cs="仿宋"/>
          <w:sz w:val="32"/>
          <w:szCs w:val="32"/>
        </w:rPr>
        <w:t>2</w:t>
      </w:r>
      <w:r w:rsidRPr="00136FBE">
        <w:rPr>
          <w:rFonts w:ascii="仿宋" w:eastAsia="仿宋" w:hAnsi="仿宋" w:cs="仿宋" w:hint="eastAsia"/>
          <w:sz w:val="32"/>
          <w:szCs w:val="32"/>
        </w:rPr>
        <w:t>～</w:t>
      </w:r>
      <w:r w:rsidRPr="00136FBE">
        <w:rPr>
          <w:rFonts w:ascii="仿宋" w:eastAsia="仿宋" w:hAnsi="仿宋" w:cs="仿宋"/>
          <w:sz w:val="32"/>
          <w:szCs w:val="32"/>
        </w:rPr>
        <w:t>4</w:t>
      </w:r>
      <w:r w:rsidRPr="00136FBE">
        <w:rPr>
          <w:rFonts w:ascii="仿宋" w:eastAsia="仿宋" w:hAnsi="仿宋" w:cs="仿宋" w:hint="eastAsia"/>
          <w:sz w:val="32"/>
          <w:szCs w:val="32"/>
        </w:rPr>
        <w:t>周监测一次，直到达到稳定，然后可以根据临床需要进行监测。当出现血小板减少或贫血时，可减少剂量或暂时停止用药，必要时输注血小板或红细胞。</w:t>
      </w:r>
    </w:p>
    <w:p w14:paraId="10805023"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中断或终止本品治疗后，骨髓纤维化的症状可能在大约一周后再次出现。若非必须紧急终止治疗，应可以考虑逐步减少本品的用药剂量。</w:t>
      </w:r>
    </w:p>
    <w:p w14:paraId="258F0E8F"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本品与强效</w:t>
      </w:r>
      <w:r w:rsidRPr="00136FBE">
        <w:rPr>
          <w:rFonts w:ascii="仿宋" w:eastAsia="仿宋" w:hAnsi="仿宋" w:cs="仿宋"/>
          <w:sz w:val="32"/>
          <w:szCs w:val="32"/>
        </w:rPr>
        <w:t>CYP3A4</w:t>
      </w:r>
      <w:r w:rsidRPr="00136FBE">
        <w:rPr>
          <w:rFonts w:ascii="仿宋" w:eastAsia="仿宋" w:hAnsi="仿宋" w:cs="仿宋" w:hint="eastAsia"/>
          <w:sz w:val="32"/>
          <w:szCs w:val="32"/>
        </w:rPr>
        <w:t>抑制剂或</w:t>
      </w:r>
      <w:r w:rsidRPr="00136FBE">
        <w:rPr>
          <w:rFonts w:ascii="仿宋" w:eastAsia="仿宋" w:hAnsi="仿宋" w:cs="仿宋"/>
          <w:sz w:val="32"/>
          <w:szCs w:val="32"/>
        </w:rPr>
        <w:t>CYP2C9</w:t>
      </w:r>
      <w:r w:rsidRPr="00136FBE">
        <w:rPr>
          <w:rFonts w:ascii="仿宋" w:eastAsia="仿宋" w:hAnsi="仿宋" w:cs="仿宋" w:hint="eastAsia"/>
          <w:sz w:val="32"/>
          <w:szCs w:val="32"/>
        </w:rPr>
        <w:t>和</w:t>
      </w:r>
      <w:r w:rsidRPr="00136FBE">
        <w:rPr>
          <w:rFonts w:ascii="仿宋" w:eastAsia="仿宋" w:hAnsi="仿宋" w:cs="仿宋"/>
          <w:sz w:val="32"/>
          <w:szCs w:val="32"/>
        </w:rPr>
        <w:t>CYP3A4</w:t>
      </w:r>
      <w:r w:rsidRPr="00136FBE">
        <w:rPr>
          <w:rFonts w:ascii="仿宋" w:eastAsia="仿宋" w:hAnsi="仿宋" w:cs="仿宋" w:hint="eastAsia"/>
          <w:sz w:val="32"/>
          <w:szCs w:val="32"/>
        </w:rPr>
        <w:t>酶双重抑制剂合并使用时，每日总剂量应减少约</w:t>
      </w:r>
      <w:r w:rsidRPr="00136FBE">
        <w:rPr>
          <w:rFonts w:ascii="仿宋" w:eastAsia="仿宋" w:hAnsi="仿宋" w:cs="仿宋"/>
          <w:sz w:val="32"/>
          <w:szCs w:val="32"/>
        </w:rPr>
        <w:t>50%</w:t>
      </w:r>
      <w:r w:rsidRPr="00136FBE">
        <w:rPr>
          <w:rFonts w:ascii="仿宋" w:eastAsia="仿宋" w:hAnsi="仿宋" w:cs="仿宋" w:hint="eastAsia"/>
          <w:sz w:val="32"/>
          <w:szCs w:val="32"/>
        </w:rPr>
        <w:t>。</w:t>
      </w:r>
    </w:p>
    <w:p w14:paraId="7C2E39A2" w14:textId="77777777" w:rsidR="00B23A40" w:rsidRPr="00136FBE" w:rsidRDefault="00B23A40">
      <w:pPr>
        <w:spacing w:line="360" w:lineRule="auto"/>
        <w:ind w:firstLineChars="200" w:firstLine="643"/>
        <w:jc w:val="center"/>
        <w:rPr>
          <w:rFonts w:ascii="仿宋" w:eastAsia="仿宋" w:hAnsi="仿宋" w:cs="Times New Roman"/>
          <w:b/>
          <w:bCs/>
          <w:sz w:val="32"/>
          <w:szCs w:val="32"/>
        </w:rPr>
      </w:pPr>
    </w:p>
    <w:p w14:paraId="1465EE75" w14:textId="77777777" w:rsidR="00B23A40" w:rsidRPr="00136FBE" w:rsidRDefault="00DD1A0D" w:rsidP="00027242">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泌尿系统肿瘤用药</w:t>
      </w:r>
    </w:p>
    <w:p w14:paraId="2579BE45" w14:textId="77777777" w:rsidR="00B23A40" w:rsidRPr="00136FBE" w:rsidRDefault="00B23A40">
      <w:pPr>
        <w:spacing w:line="360" w:lineRule="auto"/>
        <w:ind w:firstLineChars="200" w:firstLine="643"/>
        <w:jc w:val="center"/>
        <w:rPr>
          <w:rFonts w:ascii="仿宋" w:eastAsia="仿宋" w:hAnsi="仿宋" w:cs="Times New Roman"/>
          <w:b/>
          <w:bCs/>
          <w:sz w:val="32"/>
          <w:szCs w:val="32"/>
        </w:rPr>
      </w:pPr>
    </w:p>
    <w:p w14:paraId="4A8526A5" w14:textId="77777777" w:rsidR="00027242" w:rsidRPr="00027242" w:rsidRDefault="00027242" w:rsidP="0002724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 xml:space="preserve">一、依维莫司 </w:t>
      </w:r>
      <w:proofErr w:type="spellStart"/>
      <w:r w:rsidR="00123BB2">
        <w:rPr>
          <w:rFonts w:ascii="黑体" w:eastAsia="黑体" w:hAnsi="黑体" w:cs="黑体" w:hint="eastAsia"/>
          <w:sz w:val="32"/>
          <w:szCs w:val="32"/>
        </w:rPr>
        <w:t>E</w:t>
      </w:r>
      <w:r w:rsidRPr="00027242">
        <w:rPr>
          <w:rFonts w:ascii="黑体" w:eastAsia="黑体" w:hAnsi="黑体" w:cs="黑体" w:hint="eastAsia"/>
          <w:sz w:val="32"/>
          <w:szCs w:val="32"/>
        </w:rPr>
        <w:t>verolimus</w:t>
      </w:r>
      <w:proofErr w:type="spellEnd"/>
    </w:p>
    <w:p w14:paraId="71287004" w14:textId="77777777" w:rsidR="00027242" w:rsidRPr="00027242" w:rsidRDefault="00027242" w:rsidP="008A5628">
      <w:pPr>
        <w:spacing w:line="360" w:lineRule="auto"/>
        <w:ind w:firstLineChars="200" w:firstLine="643"/>
        <w:rPr>
          <w:rFonts w:ascii="仿宋" w:eastAsia="仿宋" w:hAnsi="仿宋" w:cs="仿宋"/>
          <w:sz w:val="32"/>
          <w:szCs w:val="32"/>
        </w:rPr>
      </w:pPr>
      <w:r w:rsidRPr="008A5628">
        <w:rPr>
          <w:rFonts w:ascii="仿宋" w:eastAsia="仿宋" w:hAnsi="仿宋" w:cs="仿宋" w:hint="eastAsia"/>
          <w:b/>
          <w:sz w:val="32"/>
          <w:szCs w:val="32"/>
        </w:rPr>
        <w:t>制剂与规格：</w:t>
      </w:r>
      <w:r w:rsidRPr="00027242">
        <w:rPr>
          <w:rFonts w:ascii="仿宋" w:eastAsia="仿宋" w:hAnsi="仿宋" w:cs="仿宋" w:hint="eastAsia"/>
          <w:sz w:val="32"/>
          <w:szCs w:val="32"/>
        </w:rPr>
        <w:t>片剂：2.5mg、5mg</w:t>
      </w:r>
      <w:r w:rsidR="00D62D90">
        <w:rPr>
          <w:rFonts w:ascii="仿宋" w:eastAsia="仿宋" w:hAnsi="仿宋" w:cs="仿宋" w:hint="eastAsia"/>
          <w:sz w:val="32"/>
          <w:szCs w:val="32"/>
        </w:rPr>
        <w:t>、10</w:t>
      </w:r>
      <w:r w:rsidR="00D62D90" w:rsidRPr="00027242">
        <w:rPr>
          <w:rFonts w:ascii="仿宋" w:eastAsia="仿宋" w:hAnsi="仿宋" w:cs="仿宋" w:hint="eastAsia"/>
          <w:sz w:val="32"/>
          <w:szCs w:val="32"/>
        </w:rPr>
        <w:t>mg</w:t>
      </w:r>
    </w:p>
    <w:p w14:paraId="375E2EC2" w14:textId="77777777" w:rsidR="00B35FB8" w:rsidRDefault="00027242" w:rsidP="008A5628">
      <w:pPr>
        <w:spacing w:line="360" w:lineRule="auto"/>
        <w:ind w:firstLineChars="200" w:firstLine="643"/>
        <w:rPr>
          <w:rFonts w:ascii="仿宋" w:eastAsia="仿宋" w:hAnsi="仿宋" w:cs="仿宋"/>
          <w:b/>
          <w:sz w:val="32"/>
          <w:szCs w:val="32"/>
        </w:rPr>
      </w:pPr>
      <w:r w:rsidRPr="008A5628">
        <w:rPr>
          <w:rFonts w:ascii="仿宋" w:eastAsia="仿宋" w:hAnsi="仿宋" w:cs="仿宋" w:hint="eastAsia"/>
          <w:b/>
          <w:sz w:val="32"/>
          <w:szCs w:val="32"/>
        </w:rPr>
        <w:t>适应证：</w:t>
      </w:r>
    </w:p>
    <w:p w14:paraId="33349222" w14:textId="77777777" w:rsidR="00027242" w:rsidRPr="00027242" w:rsidRDefault="00B35FB8" w:rsidP="00B35FB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sidR="00027242" w:rsidRPr="00027242">
        <w:rPr>
          <w:rFonts w:ascii="仿宋" w:eastAsia="仿宋" w:hAnsi="仿宋" w:cs="仿宋" w:hint="eastAsia"/>
          <w:sz w:val="32"/>
          <w:szCs w:val="32"/>
        </w:rPr>
        <w:t>既往接受舒尼替尼或索拉非尼治疗失败的晚期肾细胞癌（RCC），数据主要基于透明细胞肾癌。</w:t>
      </w:r>
    </w:p>
    <w:p w14:paraId="02D6EB09" w14:textId="77777777" w:rsidR="00027242" w:rsidRPr="00027242" w:rsidRDefault="00B35FB8" w:rsidP="0002724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sidR="00027242" w:rsidRPr="00027242">
        <w:rPr>
          <w:rFonts w:ascii="仿宋" w:eastAsia="仿宋" w:hAnsi="仿宋" w:cs="仿宋" w:hint="eastAsia"/>
          <w:sz w:val="32"/>
          <w:szCs w:val="32"/>
        </w:rPr>
        <w:t>与仑伐替尼联用治疗既往接受抗血管生成药物治疗失败或进展的晚期RCC。</w:t>
      </w:r>
    </w:p>
    <w:p w14:paraId="0A037318" w14:textId="77777777" w:rsidR="00027242" w:rsidRPr="008A5628" w:rsidRDefault="00027242" w:rsidP="008A5628">
      <w:pPr>
        <w:spacing w:line="360" w:lineRule="auto"/>
        <w:ind w:firstLineChars="200" w:firstLine="643"/>
        <w:rPr>
          <w:rFonts w:ascii="仿宋" w:eastAsia="仿宋" w:hAnsi="仿宋" w:cs="仿宋"/>
          <w:b/>
          <w:sz w:val="32"/>
          <w:szCs w:val="32"/>
        </w:rPr>
      </w:pPr>
      <w:r w:rsidRPr="008A5628">
        <w:rPr>
          <w:rFonts w:ascii="仿宋" w:eastAsia="仿宋" w:hAnsi="仿宋" w:cs="仿宋" w:hint="eastAsia"/>
          <w:b/>
          <w:sz w:val="32"/>
          <w:szCs w:val="32"/>
        </w:rPr>
        <w:t>合理用药要点：</w:t>
      </w:r>
    </w:p>
    <w:p w14:paraId="41630363"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1.肝功能损伤会使依维莫司暴露量增加，按如下方式进行给药调整：（1）轻度肝功能损伤（Child-Pugh A级）：推荐剂量为每天7.5mg；如果不能很好地耐受，可将剂量降至每天5mg。（2）中度肝功能损伤（Child-Pugh B级）：推荐剂量是每天5mg；如果不能很好地耐受，可将剂量降至每天2.5mg。（3）重度肝功能损伤（Child-Pugh C级）：如果预期的获益高于风险，可以采用每天2.5mg，但不得超过这一剂量。</w:t>
      </w:r>
    </w:p>
    <w:p w14:paraId="0E85C91F"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2.用药期间必须注意常见的口腔炎等；应特别注意非感染性肺炎的发生。</w:t>
      </w:r>
    </w:p>
    <w:p w14:paraId="3D815E7D"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3.避免合并使用强效CYP3A4诱导剂。</w:t>
      </w:r>
    </w:p>
    <w:p w14:paraId="2712AC0A"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4.在本品治疗期间应避免接种活疫苗，避免与接种过活疫苗的人密切接触。</w:t>
      </w:r>
    </w:p>
    <w:p w14:paraId="125ED22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5.和仑伐替尼的联合治疗的</w:t>
      </w:r>
      <w:r w:rsidR="008A5628">
        <w:rPr>
          <w:rFonts w:ascii="仿宋" w:eastAsia="仿宋" w:hAnsi="仿宋" w:cs="仿宋" w:hint="eastAsia"/>
          <w:sz w:val="32"/>
          <w:szCs w:val="32"/>
        </w:rPr>
        <w:t>其他</w:t>
      </w:r>
      <w:r w:rsidRPr="00027242">
        <w:rPr>
          <w:rFonts w:ascii="仿宋" w:eastAsia="仿宋" w:hAnsi="仿宋" w:cs="仿宋" w:hint="eastAsia"/>
          <w:sz w:val="32"/>
          <w:szCs w:val="32"/>
        </w:rPr>
        <w:t>注意事项请参考“仑伐替尼”部分。</w:t>
      </w:r>
    </w:p>
    <w:p w14:paraId="5AB1DA51" w14:textId="77777777" w:rsidR="00027242" w:rsidRPr="00027242" w:rsidRDefault="00027242" w:rsidP="0002724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 xml:space="preserve">二、索拉非尼 </w:t>
      </w:r>
      <w:r w:rsidR="00123BB2">
        <w:rPr>
          <w:rFonts w:ascii="黑体" w:eastAsia="黑体" w:hAnsi="黑体" w:cs="黑体" w:hint="eastAsia"/>
          <w:sz w:val="32"/>
          <w:szCs w:val="32"/>
        </w:rPr>
        <w:t>S</w:t>
      </w:r>
      <w:r w:rsidRPr="00027242">
        <w:rPr>
          <w:rFonts w:ascii="黑体" w:eastAsia="黑体" w:hAnsi="黑体" w:cs="黑体" w:hint="eastAsia"/>
          <w:sz w:val="32"/>
          <w:szCs w:val="32"/>
        </w:rPr>
        <w:t>orafenib</w:t>
      </w:r>
    </w:p>
    <w:p w14:paraId="74114AB0" w14:textId="77777777" w:rsidR="00027242" w:rsidRPr="00027242" w:rsidRDefault="00027242" w:rsidP="008A5628">
      <w:pPr>
        <w:spacing w:line="360" w:lineRule="auto"/>
        <w:ind w:firstLineChars="200" w:firstLine="643"/>
        <w:rPr>
          <w:rFonts w:ascii="仿宋" w:eastAsia="仿宋" w:hAnsi="仿宋" w:cs="仿宋"/>
          <w:sz w:val="32"/>
          <w:szCs w:val="32"/>
        </w:rPr>
      </w:pPr>
      <w:r w:rsidRPr="008A5628">
        <w:rPr>
          <w:rFonts w:ascii="仿宋" w:eastAsia="仿宋" w:hAnsi="仿宋" w:cs="仿宋" w:hint="eastAsia"/>
          <w:b/>
          <w:sz w:val="32"/>
          <w:szCs w:val="32"/>
        </w:rPr>
        <w:t>制剂与规格：</w:t>
      </w:r>
      <w:r w:rsidRPr="00027242">
        <w:rPr>
          <w:rFonts w:ascii="仿宋" w:eastAsia="仿宋" w:hAnsi="仿宋" w:cs="仿宋" w:hint="eastAsia"/>
          <w:sz w:val="32"/>
          <w:szCs w:val="32"/>
        </w:rPr>
        <w:t xml:space="preserve">片剂：200mg </w:t>
      </w:r>
    </w:p>
    <w:p w14:paraId="566B260A" w14:textId="77777777" w:rsidR="00027242" w:rsidRPr="00027242" w:rsidRDefault="00027242" w:rsidP="008A5628">
      <w:pPr>
        <w:spacing w:line="360" w:lineRule="auto"/>
        <w:ind w:firstLineChars="200" w:firstLine="643"/>
        <w:rPr>
          <w:rFonts w:ascii="仿宋" w:eastAsia="仿宋" w:hAnsi="仿宋" w:cs="仿宋"/>
          <w:sz w:val="32"/>
          <w:szCs w:val="32"/>
        </w:rPr>
      </w:pPr>
      <w:r w:rsidRPr="008A5628">
        <w:rPr>
          <w:rFonts w:ascii="仿宋" w:eastAsia="仿宋" w:hAnsi="仿宋" w:cs="仿宋" w:hint="eastAsia"/>
          <w:b/>
          <w:sz w:val="32"/>
          <w:szCs w:val="32"/>
        </w:rPr>
        <w:t>适应证：</w:t>
      </w:r>
      <w:r w:rsidRPr="00027242">
        <w:rPr>
          <w:rFonts w:ascii="仿宋" w:eastAsia="仿宋" w:hAnsi="仿宋" w:cs="仿宋" w:hint="eastAsia"/>
          <w:sz w:val="32"/>
          <w:szCs w:val="32"/>
        </w:rPr>
        <w:t>晚期肾癌。</w:t>
      </w:r>
    </w:p>
    <w:p w14:paraId="679F413F" w14:textId="77777777" w:rsidR="00027242" w:rsidRPr="008A5628" w:rsidRDefault="00027242" w:rsidP="008A5628">
      <w:pPr>
        <w:spacing w:line="360" w:lineRule="auto"/>
        <w:ind w:firstLineChars="200" w:firstLine="643"/>
        <w:rPr>
          <w:rFonts w:ascii="仿宋" w:eastAsia="仿宋" w:hAnsi="仿宋" w:cs="仿宋"/>
          <w:b/>
          <w:sz w:val="32"/>
          <w:szCs w:val="32"/>
        </w:rPr>
      </w:pPr>
      <w:r w:rsidRPr="008A5628">
        <w:rPr>
          <w:rFonts w:ascii="仿宋" w:eastAsia="仿宋" w:hAnsi="仿宋" w:cs="仿宋" w:hint="eastAsia"/>
          <w:b/>
          <w:sz w:val="32"/>
          <w:szCs w:val="32"/>
        </w:rPr>
        <w:t>合理用药要点：</w:t>
      </w:r>
    </w:p>
    <w:p w14:paraId="6396F224"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lastRenderedPageBreak/>
        <w:t>1.CYP3A4诱导剂联合索拉非尼可减低索拉非尼的药物浓度，而根据目前数据，CYP3A4抑制剂和索拉非尼在临床药代动力学方面不太可能存在相互作用。</w:t>
      </w:r>
    </w:p>
    <w:p w14:paraId="30D42A44"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2.空腹给药，用药前无需进行基因检测。</w:t>
      </w:r>
    </w:p>
    <w:p w14:paraId="56664EB7"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3.存在可疑的药物不良反应时，可能需要暂停和/或减少索拉非尼剂量。</w:t>
      </w:r>
    </w:p>
    <w:p w14:paraId="2DE69E6B"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4.最常见的不良反应有腹泻、乏力、脱发、感染、手足皮肤反应、皮疹。避免应用CYP3A4强效抑制剂和强效诱导剂。</w:t>
      </w:r>
    </w:p>
    <w:p w14:paraId="035843D8"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5.对索拉非尼或本品任一非活性成分有严重过敏症状的患者禁用。</w:t>
      </w:r>
    </w:p>
    <w:p w14:paraId="6C2F6831" w14:textId="77777777" w:rsidR="00027242" w:rsidRPr="00027242" w:rsidRDefault="00027242" w:rsidP="0002724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三、舒尼替尼</w:t>
      </w:r>
      <w:r w:rsidR="00123BB2">
        <w:rPr>
          <w:rFonts w:ascii="黑体" w:eastAsia="黑体" w:hAnsi="黑体" w:cs="黑体" w:hint="eastAsia"/>
          <w:sz w:val="32"/>
          <w:szCs w:val="32"/>
        </w:rPr>
        <w:t>S</w:t>
      </w:r>
      <w:r w:rsidRPr="00027242">
        <w:rPr>
          <w:rFonts w:ascii="黑体" w:eastAsia="黑体" w:hAnsi="黑体" w:cs="黑体" w:hint="eastAsia"/>
          <w:sz w:val="32"/>
          <w:szCs w:val="32"/>
        </w:rPr>
        <w:t>unitinib</w:t>
      </w:r>
    </w:p>
    <w:p w14:paraId="71BD1EE0" w14:textId="77777777" w:rsidR="00027242" w:rsidRPr="00027242" w:rsidRDefault="00027242" w:rsidP="008A5628">
      <w:pPr>
        <w:spacing w:line="360" w:lineRule="auto"/>
        <w:ind w:firstLineChars="200" w:firstLine="643"/>
        <w:rPr>
          <w:rFonts w:ascii="仿宋" w:eastAsia="仿宋" w:hAnsi="仿宋" w:cs="仿宋"/>
          <w:sz w:val="32"/>
          <w:szCs w:val="32"/>
        </w:rPr>
      </w:pPr>
      <w:r w:rsidRPr="008A5628">
        <w:rPr>
          <w:rFonts w:ascii="仿宋" w:eastAsia="仿宋" w:hAnsi="仿宋" w:cs="仿宋" w:hint="eastAsia"/>
          <w:b/>
          <w:sz w:val="32"/>
          <w:szCs w:val="32"/>
        </w:rPr>
        <w:t>制剂与规格：</w:t>
      </w:r>
      <w:r w:rsidRPr="00027242">
        <w:rPr>
          <w:rFonts w:ascii="仿宋" w:eastAsia="仿宋" w:hAnsi="仿宋" w:cs="仿宋" w:hint="eastAsia"/>
          <w:sz w:val="32"/>
          <w:szCs w:val="32"/>
        </w:rPr>
        <w:t xml:space="preserve">胶囊：12.5mg </w:t>
      </w:r>
    </w:p>
    <w:p w14:paraId="7F5679F9" w14:textId="77777777" w:rsidR="00027242" w:rsidRPr="00027242" w:rsidRDefault="00027242" w:rsidP="008A5628">
      <w:pPr>
        <w:spacing w:line="360" w:lineRule="auto"/>
        <w:ind w:firstLineChars="200" w:firstLine="643"/>
        <w:rPr>
          <w:rFonts w:ascii="仿宋" w:eastAsia="仿宋" w:hAnsi="仿宋" w:cs="仿宋"/>
          <w:sz w:val="32"/>
          <w:szCs w:val="32"/>
        </w:rPr>
      </w:pPr>
      <w:r w:rsidRPr="008A5628">
        <w:rPr>
          <w:rFonts w:ascii="仿宋" w:eastAsia="仿宋" w:hAnsi="仿宋" w:cs="仿宋" w:hint="eastAsia"/>
          <w:b/>
          <w:sz w:val="32"/>
          <w:szCs w:val="32"/>
        </w:rPr>
        <w:t>适应证：</w:t>
      </w:r>
      <w:r w:rsidRPr="00027242">
        <w:rPr>
          <w:rFonts w:ascii="仿宋" w:eastAsia="仿宋" w:hAnsi="仿宋" w:cs="仿宋" w:hint="eastAsia"/>
          <w:sz w:val="32"/>
          <w:szCs w:val="32"/>
        </w:rPr>
        <w:t>晚期肾癌。</w:t>
      </w:r>
    </w:p>
    <w:p w14:paraId="33923660" w14:textId="77777777" w:rsidR="00027242" w:rsidRPr="008A5628" w:rsidRDefault="00027242" w:rsidP="008A5628">
      <w:pPr>
        <w:spacing w:line="360" w:lineRule="auto"/>
        <w:ind w:firstLineChars="200" w:firstLine="643"/>
        <w:rPr>
          <w:rFonts w:ascii="仿宋" w:eastAsia="仿宋" w:hAnsi="仿宋" w:cs="仿宋"/>
          <w:b/>
          <w:sz w:val="32"/>
          <w:szCs w:val="32"/>
        </w:rPr>
      </w:pPr>
      <w:r w:rsidRPr="008A5628">
        <w:rPr>
          <w:rFonts w:ascii="仿宋" w:eastAsia="仿宋" w:hAnsi="仿宋" w:cs="仿宋" w:hint="eastAsia"/>
          <w:b/>
          <w:sz w:val="32"/>
          <w:szCs w:val="32"/>
        </w:rPr>
        <w:t>合理用药要点：</w:t>
      </w:r>
    </w:p>
    <w:p w14:paraId="0B3CD087"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1.推荐剂量为50mg，每日一次，口服，服药4周，停药2周（4/2给药方案）。</w:t>
      </w:r>
    </w:p>
    <w:p w14:paraId="371881B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2.根据患者个体的安全性和耐受性，以12.5mg为梯度单位逐步调整剂量。每日最高剂量不超过75mg，最低剂量为25mg。根据患者个体的安全性和耐受性情况可能需要中断治疗。</w:t>
      </w:r>
    </w:p>
    <w:p w14:paraId="4236206D"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3.避免与强效CYP3A4/5抑制剂或诱导剂合用。</w:t>
      </w:r>
    </w:p>
    <w:p w14:paraId="3186DD99"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lastRenderedPageBreak/>
        <w:t>4.舒尼替尼服用4周，停药2周（4/2给药方案）可能会发现白细胞及血小板下降等严重骨髓抑制，因此用药期间需要密切监测血常规。必要时可采用2/1给药方案，即舒尼替尼服用2周，停药1周。</w:t>
      </w:r>
    </w:p>
    <w:p w14:paraId="1DF014EB" w14:textId="77777777" w:rsidR="00027242" w:rsidRPr="00027242" w:rsidRDefault="00027242" w:rsidP="0002724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四、阿昔替尼</w:t>
      </w:r>
      <w:proofErr w:type="spellStart"/>
      <w:r w:rsidR="00123BB2">
        <w:rPr>
          <w:rFonts w:ascii="黑体" w:eastAsia="黑体" w:hAnsi="黑体" w:cs="黑体" w:hint="eastAsia"/>
          <w:sz w:val="32"/>
          <w:szCs w:val="32"/>
        </w:rPr>
        <w:t>A</w:t>
      </w:r>
      <w:r w:rsidRPr="00027242">
        <w:rPr>
          <w:rFonts w:ascii="黑体" w:eastAsia="黑体" w:hAnsi="黑体" w:cs="黑体" w:hint="eastAsia"/>
          <w:sz w:val="32"/>
          <w:szCs w:val="32"/>
        </w:rPr>
        <w:t>xitinib</w:t>
      </w:r>
      <w:proofErr w:type="spellEnd"/>
    </w:p>
    <w:p w14:paraId="1E5F4926" w14:textId="77777777" w:rsidR="00027242" w:rsidRPr="00027242" w:rsidRDefault="00027242" w:rsidP="00BF38D1">
      <w:pPr>
        <w:spacing w:line="360" w:lineRule="auto"/>
        <w:ind w:firstLineChars="200" w:firstLine="643"/>
        <w:rPr>
          <w:rFonts w:ascii="仿宋" w:eastAsia="仿宋" w:hAnsi="仿宋" w:cs="仿宋"/>
          <w:sz w:val="32"/>
          <w:szCs w:val="32"/>
        </w:rPr>
      </w:pPr>
      <w:r w:rsidRPr="00BF38D1">
        <w:rPr>
          <w:rFonts w:ascii="仿宋" w:eastAsia="仿宋" w:hAnsi="仿宋" w:cs="仿宋" w:hint="eastAsia"/>
          <w:b/>
          <w:sz w:val="32"/>
          <w:szCs w:val="32"/>
        </w:rPr>
        <w:t>制剂与规格：</w:t>
      </w:r>
      <w:r w:rsidRPr="00027242">
        <w:rPr>
          <w:rFonts w:ascii="仿宋" w:eastAsia="仿宋" w:hAnsi="仿宋" w:cs="仿宋" w:hint="eastAsia"/>
          <w:sz w:val="32"/>
          <w:szCs w:val="32"/>
        </w:rPr>
        <w:t xml:space="preserve">片剂：1mg、5mg </w:t>
      </w:r>
    </w:p>
    <w:p w14:paraId="4885FF1C" w14:textId="77777777" w:rsidR="00027242" w:rsidRPr="00BF38D1" w:rsidRDefault="00027242" w:rsidP="00BF38D1">
      <w:pPr>
        <w:spacing w:line="360" w:lineRule="auto"/>
        <w:ind w:firstLineChars="200" w:firstLine="643"/>
        <w:rPr>
          <w:rFonts w:ascii="仿宋" w:eastAsia="仿宋" w:hAnsi="仿宋" w:cs="仿宋"/>
          <w:b/>
          <w:sz w:val="32"/>
          <w:szCs w:val="32"/>
        </w:rPr>
      </w:pPr>
      <w:r w:rsidRPr="00BF38D1">
        <w:rPr>
          <w:rFonts w:ascii="仿宋" w:eastAsia="仿宋" w:hAnsi="仿宋" w:cs="仿宋" w:hint="eastAsia"/>
          <w:b/>
          <w:sz w:val="32"/>
          <w:szCs w:val="32"/>
        </w:rPr>
        <w:t>适应证：</w:t>
      </w:r>
    </w:p>
    <w:p w14:paraId="5798B9E0"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1.用于既往接受过一种酪氨酸激酶抑制剂或细胞因子治疗失败的进展期RCC的成人患者。</w:t>
      </w:r>
    </w:p>
    <w:p w14:paraId="191FA503"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2.联合帕博利珠单抗适用于晚期肾透明细胞癌的一线治疗。</w:t>
      </w:r>
    </w:p>
    <w:p w14:paraId="6E0A275F" w14:textId="77777777" w:rsidR="00027242" w:rsidRPr="00BF38D1" w:rsidRDefault="00027242" w:rsidP="00BF38D1">
      <w:pPr>
        <w:spacing w:line="360" w:lineRule="auto"/>
        <w:ind w:firstLineChars="200" w:firstLine="643"/>
        <w:rPr>
          <w:rFonts w:ascii="仿宋" w:eastAsia="仿宋" w:hAnsi="仿宋" w:cs="仿宋"/>
          <w:b/>
          <w:sz w:val="32"/>
          <w:szCs w:val="32"/>
        </w:rPr>
      </w:pPr>
      <w:r w:rsidRPr="00BF38D1">
        <w:rPr>
          <w:rFonts w:ascii="仿宋" w:eastAsia="仿宋" w:hAnsi="仿宋" w:cs="仿宋" w:hint="eastAsia"/>
          <w:b/>
          <w:sz w:val="32"/>
          <w:szCs w:val="32"/>
        </w:rPr>
        <w:t>合理用药要点：</w:t>
      </w:r>
    </w:p>
    <w:p w14:paraId="16956C10"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阿昔替尼推荐的起始口服剂量为5mg，每日两次，可与食物同服或空腹给药，每日两次给药的时间间隔约为12小时。只要观察到临床获益，就应继续治疗直至发生不能接受的毒性。如果患者呕吐或漏服一次剂量，不应另外服用一次剂量，应按常规服用下一次剂量。</w:t>
      </w:r>
    </w:p>
    <w:p w14:paraId="7D5F61B9" w14:textId="77777777" w:rsidR="00123BB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建议根据患者安全性和耐受性的个体差异增加或降低剂量：（1）在治疗过程中，满足下述标准的患者可增加剂量：能耐受阿昔替尼至少两周连续治疗、未出现2级以上不良反应、血压正常、未接受降压药物治疗。当推荐从5mg</w:t>
      </w:r>
      <w:r w:rsidR="006D76B9">
        <w:rPr>
          <w:rFonts w:ascii="仿宋" w:eastAsia="仿宋" w:hAnsi="仿宋" w:cs="仿宋" w:hint="eastAsia"/>
          <w:sz w:val="32"/>
          <w:szCs w:val="32"/>
        </w:rPr>
        <w:t>，</w:t>
      </w:r>
      <w:r w:rsidRPr="00027242">
        <w:rPr>
          <w:rFonts w:ascii="仿宋" w:eastAsia="仿宋" w:hAnsi="仿宋" w:cs="仿宋" w:hint="eastAsia"/>
          <w:sz w:val="32"/>
          <w:szCs w:val="32"/>
        </w:rPr>
        <w:t>每日两次开始增加剂量时，可将阿昔替尼剂量增加至7mg</w:t>
      </w:r>
      <w:r w:rsidR="006D76B9">
        <w:rPr>
          <w:rFonts w:ascii="仿宋" w:eastAsia="仿宋" w:hAnsi="仿宋" w:cs="仿宋" w:hint="eastAsia"/>
          <w:sz w:val="32"/>
          <w:szCs w:val="32"/>
        </w:rPr>
        <w:t>，</w:t>
      </w:r>
      <w:r w:rsidRPr="00027242">
        <w:rPr>
          <w:rFonts w:ascii="仿宋" w:eastAsia="仿宋" w:hAnsi="仿宋" w:cs="仿宋" w:hint="eastAsia"/>
          <w:sz w:val="32"/>
          <w:szCs w:val="32"/>
        </w:rPr>
        <w:lastRenderedPageBreak/>
        <w:t>每日两次，然后采用相同标准，进一步将剂量增加至10mg</w:t>
      </w:r>
      <w:r w:rsidR="006D76B9">
        <w:rPr>
          <w:rFonts w:ascii="仿宋" w:eastAsia="仿宋" w:hAnsi="仿宋" w:cs="仿宋" w:hint="eastAsia"/>
          <w:sz w:val="32"/>
          <w:szCs w:val="32"/>
        </w:rPr>
        <w:t>，</w:t>
      </w:r>
      <w:r w:rsidRPr="00027242">
        <w:rPr>
          <w:rFonts w:ascii="仿宋" w:eastAsia="仿宋" w:hAnsi="仿宋" w:cs="仿宋" w:hint="eastAsia"/>
          <w:sz w:val="32"/>
          <w:szCs w:val="32"/>
        </w:rPr>
        <w:t>每日两次。（2）在治疗过程中，可能需要暂停或永久终止给药，或降低阿昔替尼剂量。如果需要从5mg</w:t>
      </w:r>
      <w:r w:rsidR="006D76B9">
        <w:rPr>
          <w:rFonts w:ascii="仿宋" w:eastAsia="仿宋" w:hAnsi="仿宋" w:cs="仿宋" w:hint="eastAsia"/>
          <w:sz w:val="32"/>
          <w:szCs w:val="32"/>
        </w:rPr>
        <w:t>，</w:t>
      </w:r>
      <w:r w:rsidRPr="00027242">
        <w:rPr>
          <w:rFonts w:ascii="仿宋" w:eastAsia="仿宋" w:hAnsi="仿宋" w:cs="仿宋" w:hint="eastAsia"/>
          <w:sz w:val="32"/>
          <w:szCs w:val="32"/>
        </w:rPr>
        <w:t>每日两次开始减量，则推荐剂量为3mg</w:t>
      </w:r>
      <w:r w:rsidR="006D76B9">
        <w:rPr>
          <w:rFonts w:ascii="仿宋" w:eastAsia="仿宋" w:hAnsi="仿宋" w:cs="仿宋" w:hint="eastAsia"/>
          <w:sz w:val="32"/>
          <w:szCs w:val="32"/>
        </w:rPr>
        <w:t>，</w:t>
      </w:r>
      <w:r w:rsidRPr="00027242">
        <w:rPr>
          <w:rFonts w:ascii="仿宋" w:eastAsia="仿宋" w:hAnsi="仿宋" w:cs="仿宋" w:hint="eastAsia"/>
          <w:sz w:val="32"/>
          <w:szCs w:val="32"/>
        </w:rPr>
        <w:t>每日两次。如果需要再次减量，则推荐剂量为2mg</w:t>
      </w:r>
      <w:r w:rsidR="006D76B9">
        <w:rPr>
          <w:rFonts w:ascii="仿宋" w:eastAsia="仿宋" w:hAnsi="仿宋" w:cs="仿宋" w:hint="eastAsia"/>
          <w:sz w:val="32"/>
          <w:szCs w:val="32"/>
        </w:rPr>
        <w:t>，</w:t>
      </w:r>
      <w:r w:rsidRPr="00027242">
        <w:rPr>
          <w:rFonts w:ascii="仿宋" w:eastAsia="仿宋" w:hAnsi="仿宋" w:cs="仿宋" w:hint="eastAsia"/>
          <w:sz w:val="32"/>
          <w:szCs w:val="32"/>
        </w:rPr>
        <w:t>每日两次。</w:t>
      </w:r>
    </w:p>
    <w:p w14:paraId="4F34F416" w14:textId="77777777" w:rsidR="00123BB2" w:rsidRDefault="00123BB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3.避免与强效CYP3A4/5抑制剂或诱导剂合用。</w:t>
      </w:r>
    </w:p>
    <w:p w14:paraId="3D84CFD3" w14:textId="77777777" w:rsidR="00123BB2" w:rsidRPr="00027242" w:rsidRDefault="00123BB2" w:rsidP="00123BB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4.联合帕博利珠单抗治疗晚期肾透明细胞癌时，推荐阿昔替尼的剂量为5mg</w:t>
      </w:r>
      <w:r w:rsidR="006D76B9">
        <w:rPr>
          <w:rFonts w:ascii="仿宋" w:eastAsia="仿宋" w:hAnsi="仿宋" w:cs="仿宋" w:hint="eastAsia"/>
          <w:sz w:val="32"/>
          <w:szCs w:val="32"/>
        </w:rPr>
        <w:t>，每日两次</w:t>
      </w:r>
      <w:r w:rsidRPr="00027242">
        <w:rPr>
          <w:rFonts w:ascii="仿宋" w:eastAsia="仿宋" w:hAnsi="仿宋" w:cs="仿宋" w:hint="eastAsia"/>
          <w:sz w:val="32"/>
          <w:szCs w:val="32"/>
        </w:rPr>
        <w:t>，如能耐受，可考虑剂量滴定。联合治疗期间</w:t>
      </w:r>
      <w:r w:rsidR="00AD66BD">
        <w:rPr>
          <w:rFonts w:ascii="仿宋" w:eastAsia="仿宋" w:hAnsi="仿宋" w:cs="仿宋" w:hint="eastAsia"/>
          <w:sz w:val="32"/>
          <w:szCs w:val="32"/>
        </w:rPr>
        <w:t>帕博利珠</w:t>
      </w:r>
      <w:r w:rsidRPr="00027242">
        <w:rPr>
          <w:rFonts w:ascii="仿宋" w:eastAsia="仿宋" w:hAnsi="仿宋" w:cs="仿宋" w:hint="eastAsia"/>
          <w:sz w:val="32"/>
          <w:szCs w:val="32"/>
        </w:rPr>
        <w:t>单抗的用药要点请参见“</w:t>
      </w:r>
      <w:r w:rsidR="00AD66BD">
        <w:rPr>
          <w:rFonts w:ascii="仿宋" w:eastAsia="仿宋" w:hAnsi="仿宋" w:cs="仿宋" w:hint="eastAsia"/>
          <w:sz w:val="32"/>
          <w:szCs w:val="32"/>
        </w:rPr>
        <w:t>帕博利珠</w:t>
      </w:r>
      <w:r w:rsidRPr="00027242">
        <w:rPr>
          <w:rFonts w:ascii="仿宋" w:eastAsia="仿宋" w:hAnsi="仿宋" w:cs="仿宋" w:hint="eastAsia"/>
          <w:sz w:val="32"/>
          <w:szCs w:val="32"/>
        </w:rPr>
        <w:t>单抗”部分。</w:t>
      </w:r>
    </w:p>
    <w:p w14:paraId="2B25B7B5" w14:textId="77777777" w:rsidR="00027242" w:rsidRPr="00027242" w:rsidRDefault="00123BB2" w:rsidP="00123BB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 xml:space="preserve">五、培唑帕尼 </w:t>
      </w:r>
      <w:r w:rsidR="00C128C3">
        <w:rPr>
          <w:rFonts w:ascii="黑体" w:eastAsia="黑体" w:hAnsi="黑体" w:cs="黑体" w:hint="eastAsia"/>
          <w:sz w:val="32"/>
          <w:szCs w:val="32"/>
        </w:rPr>
        <w:t>P</w:t>
      </w:r>
      <w:r w:rsidRPr="00027242">
        <w:rPr>
          <w:rFonts w:ascii="黑体" w:eastAsia="黑体" w:hAnsi="黑体" w:cs="黑体" w:hint="eastAsia"/>
          <w:sz w:val="32"/>
          <w:szCs w:val="32"/>
        </w:rPr>
        <w:t>azopanib</w:t>
      </w:r>
    </w:p>
    <w:p w14:paraId="61055D5D"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制剂与规格：</w:t>
      </w:r>
      <w:r w:rsidRPr="00027242">
        <w:rPr>
          <w:rFonts w:ascii="仿宋" w:eastAsia="仿宋" w:hAnsi="仿宋" w:cs="仿宋" w:hint="eastAsia"/>
          <w:sz w:val="32"/>
          <w:szCs w:val="32"/>
        </w:rPr>
        <w:t xml:space="preserve">片剂：200mg </w:t>
      </w:r>
    </w:p>
    <w:p w14:paraId="25DBA4FC"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适应证：</w:t>
      </w:r>
      <w:r w:rsidRPr="00027242">
        <w:rPr>
          <w:rFonts w:ascii="仿宋" w:eastAsia="仿宋" w:hAnsi="仿宋" w:cs="仿宋" w:hint="eastAsia"/>
          <w:sz w:val="32"/>
          <w:szCs w:val="32"/>
        </w:rPr>
        <w:t>本品适用于晚期RCC患者的一线治疗和曾接受细胞因子治疗的晚期RCC患者的治疗。</w:t>
      </w:r>
    </w:p>
    <w:p w14:paraId="7655161C" w14:textId="77777777" w:rsidR="00027242" w:rsidRPr="006D76B9" w:rsidRDefault="00027242" w:rsidP="006D76B9">
      <w:pPr>
        <w:spacing w:line="360" w:lineRule="auto"/>
        <w:ind w:firstLineChars="200" w:firstLine="643"/>
        <w:rPr>
          <w:rFonts w:ascii="仿宋" w:eastAsia="仿宋" w:hAnsi="仿宋" w:cs="仿宋"/>
          <w:b/>
          <w:sz w:val="32"/>
          <w:szCs w:val="32"/>
        </w:rPr>
      </w:pPr>
      <w:r w:rsidRPr="006D76B9">
        <w:rPr>
          <w:rFonts w:ascii="仿宋" w:eastAsia="仿宋" w:hAnsi="仿宋" w:cs="仿宋" w:hint="eastAsia"/>
          <w:b/>
          <w:sz w:val="32"/>
          <w:szCs w:val="32"/>
        </w:rPr>
        <w:t>合理用药要点：</w:t>
      </w:r>
    </w:p>
    <w:p w14:paraId="393E23B6"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1.培唑帕尼的推荐剂量为800mg，每日一次，空腹服药。如果漏服剂量，且距下次剂量的服用时间不足12小时，则不应补服。</w:t>
      </w:r>
    </w:p>
    <w:p w14:paraId="1FECDA8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2.剂量调整应根据个体耐受情况，按200mg的幅度逐步递增或递减，以控制不良反应。培唑帕尼的剂量不应超过800mg。</w:t>
      </w:r>
    </w:p>
    <w:p w14:paraId="5C894077"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3.在培唑帕尼使用期间，轻度或中度肝功能损伤患者应</w:t>
      </w:r>
      <w:r w:rsidRPr="00027242">
        <w:rPr>
          <w:rFonts w:ascii="仿宋" w:eastAsia="仿宋" w:hAnsi="仿宋" w:cs="仿宋" w:hint="eastAsia"/>
          <w:sz w:val="32"/>
          <w:szCs w:val="32"/>
        </w:rPr>
        <w:lastRenderedPageBreak/>
        <w:t>慎用培唑帕尼，并且应密切监测，对于基线总胆红素的数值≤1.5倍ULN，且AST及ALT的数值≤2倍ULN的患者，其剂量调整参见针对药物性肝毒性的剂量调整指南。</w:t>
      </w:r>
    </w:p>
    <w:p w14:paraId="187B0EF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4.用药期间必须注意常见的肝功能损伤和高血压。</w:t>
      </w:r>
    </w:p>
    <w:p w14:paraId="43FAE01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5.避免同时使用CYP3A4、P-糖蛋白（P-</w:t>
      </w:r>
      <w:proofErr w:type="spellStart"/>
      <w:r w:rsidRPr="00027242">
        <w:rPr>
          <w:rFonts w:ascii="仿宋" w:eastAsia="仿宋" w:hAnsi="仿宋" w:cs="仿宋" w:hint="eastAsia"/>
          <w:sz w:val="32"/>
          <w:szCs w:val="32"/>
        </w:rPr>
        <w:t>gp</w:t>
      </w:r>
      <w:proofErr w:type="spellEnd"/>
      <w:r w:rsidRPr="00027242">
        <w:rPr>
          <w:rFonts w:ascii="仿宋" w:eastAsia="仿宋" w:hAnsi="仿宋" w:cs="仿宋" w:hint="eastAsia"/>
          <w:sz w:val="32"/>
          <w:szCs w:val="32"/>
        </w:rPr>
        <w:t>）或乳腺癌耐药蛋白（BCRP）的强抑制剂治疗。</w:t>
      </w:r>
    </w:p>
    <w:p w14:paraId="0A74C16F" w14:textId="77777777" w:rsidR="00027242" w:rsidRPr="00027242" w:rsidRDefault="00027242" w:rsidP="0002724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六、仑伐替尼</w:t>
      </w:r>
      <w:r w:rsidR="00C128C3">
        <w:rPr>
          <w:rFonts w:ascii="黑体" w:eastAsia="黑体" w:hAnsi="黑体" w:cs="黑体" w:hint="eastAsia"/>
          <w:sz w:val="32"/>
          <w:szCs w:val="32"/>
        </w:rPr>
        <w:t>L</w:t>
      </w:r>
      <w:r w:rsidRPr="00027242">
        <w:rPr>
          <w:rFonts w:ascii="黑体" w:eastAsia="黑体" w:hAnsi="黑体" w:cs="黑体" w:hint="eastAsia"/>
          <w:sz w:val="32"/>
          <w:szCs w:val="32"/>
        </w:rPr>
        <w:t>envatinib</w:t>
      </w:r>
    </w:p>
    <w:p w14:paraId="3C2D6D55"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制剂与规格：</w:t>
      </w:r>
      <w:r w:rsidRPr="00027242">
        <w:rPr>
          <w:rFonts w:ascii="仿宋" w:eastAsia="仿宋" w:hAnsi="仿宋" w:cs="仿宋" w:hint="eastAsia"/>
          <w:sz w:val="32"/>
          <w:szCs w:val="32"/>
        </w:rPr>
        <w:t>片剂：4mg、10mg</w:t>
      </w:r>
    </w:p>
    <w:p w14:paraId="35C81D96"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适应证：</w:t>
      </w:r>
      <w:r w:rsidRPr="00027242">
        <w:rPr>
          <w:rFonts w:ascii="仿宋" w:eastAsia="仿宋" w:hAnsi="仿宋" w:cs="仿宋" w:hint="eastAsia"/>
          <w:sz w:val="32"/>
          <w:szCs w:val="32"/>
        </w:rPr>
        <w:t>与依维莫司联用治疗既往接受抗血管生成药物治疗失败或进展的晚期肾细胞癌（RCC）</w:t>
      </w:r>
    </w:p>
    <w:p w14:paraId="5923D6D0" w14:textId="77777777" w:rsidR="00027242" w:rsidRPr="006D76B9" w:rsidRDefault="00027242" w:rsidP="006D76B9">
      <w:pPr>
        <w:spacing w:line="360" w:lineRule="auto"/>
        <w:ind w:firstLineChars="200" w:firstLine="643"/>
        <w:rPr>
          <w:rFonts w:ascii="仿宋" w:eastAsia="仿宋" w:hAnsi="仿宋" w:cs="仿宋"/>
          <w:b/>
          <w:sz w:val="32"/>
          <w:szCs w:val="32"/>
        </w:rPr>
      </w:pPr>
      <w:r w:rsidRPr="006D76B9">
        <w:rPr>
          <w:rFonts w:ascii="仿宋" w:eastAsia="仿宋" w:hAnsi="仿宋" w:cs="仿宋" w:hint="eastAsia"/>
          <w:b/>
          <w:sz w:val="32"/>
          <w:szCs w:val="32"/>
        </w:rPr>
        <w:t>合理用药要点：</w:t>
      </w:r>
    </w:p>
    <w:p w14:paraId="4EF4C2CD"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1.推荐剂量为18mg口服联合依维莫司5mg口服，每日一次。</w:t>
      </w:r>
    </w:p>
    <w:p w14:paraId="1EE21920"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2.避免合并使用强效CYP3A4诱导剂。</w:t>
      </w:r>
    </w:p>
    <w:p w14:paraId="62EAB49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3.用药过程需密切监测不良反应的发生。在肾癌治疗中，最常见的不良反应（≥30%)为腹泻、乏力、骨关节疼痛、食欲减退、恶心、呕吐、口腔炎、高血压等。必要时减量、暂停用药或永久停药。</w:t>
      </w:r>
    </w:p>
    <w:p w14:paraId="612002FD"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4.减量推荐：需按照18mg→14mg→10mg→8mg的剂量减量。</w:t>
      </w:r>
    </w:p>
    <w:p w14:paraId="241F8BD6"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5.严重肾功能障碍和肝功能不全的患者，仑伐替尼的剂量应改为10mg。</w:t>
      </w:r>
    </w:p>
    <w:p w14:paraId="6944681B"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lastRenderedPageBreak/>
        <w:t>6.仑伐替尼应在每天固定时间服用，空腹或与食物同服均可。如果患者遗漏一次用药且无法在 12 小时内服用，无需补服，应按常规用药时间进行下一次服药。</w:t>
      </w:r>
    </w:p>
    <w:p w14:paraId="005ACC13" w14:textId="77777777" w:rsidR="00027242" w:rsidRPr="00027242" w:rsidRDefault="00027242" w:rsidP="00027242">
      <w:pPr>
        <w:spacing w:line="360" w:lineRule="auto"/>
        <w:ind w:firstLineChars="200" w:firstLine="640"/>
        <w:rPr>
          <w:rFonts w:ascii="黑体" w:eastAsia="黑体" w:hAnsi="黑体" w:cs="黑体"/>
          <w:sz w:val="32"/>
          <w:szCs w:val="32"/>
        </w:rPr>
      </w:pPr>
      <w:r w:rsidRPr="00027242">
        <w:rPr>
          <w:rFonts w:ascii="黑体" w:eastAsia="黑体" w:hAnsi="黑体" w:cs="黑体" w:hint="eastAsia"/>
          <w:sz w:val="32"/>
          <w:szCs w:val="32"/>
        </w:rPr>
        <w:t>七、安罗替尼</w:t>
      </w:r>
      <w:proofErr w:type="spellStart"/>
      <w:r w:rsidR="00C128C3" w:rsidRPr="00136FBE">
        <w:rPr>
          <w:rFonts w:ascii="黑体" w:eastAsia="黑体" w:hAnsi="黑体" w:cs="黑体" w:hint="eastAsia"/>
          <w:sz w:val="32"/>
          <w:szCs w:val="32"/>
        </w:rPr>
        <w:t>A</w:t>
      </w:r>
      <w:r w:rsidR="00C128C3" w:rsidRPr="00136FBE">
        <w:rPr>
          <w:rFonts w:ascii="黑体" w:eastAsia="黑体" w:hAnsi="黑体" w:cs="黑体"/>
          <w:sz w:val="32"/>
          <w:szCs w:val="32"/>
        </w:rPr>
        <w:t>nlotinib</w:t>
      </w:r>
      <w:proofErr w:type="spellEnd"/>
    </w:p>
    <w:p w14:paraId="36539679"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制剂与规格：</w:t>
      </w:r>
      <w:r w:rsidRPr="00027242">
        <w:rPr>
          <w:rFonts w:ascii="仿宋" w:eastAsia="仿宋" w:hAnsi="仿宋" w:cs="仿宋" w:hint="eastAsia"/>
          <w:sz w:val="32"/>
          <w:szCs w:val="32"/>
        </w:rPr>
        <w:t>胶囊：</w:t>
      </w:r>
      <w:r w:rsidR="00C128C3" w:rsidRPr="00027242">
        <w:rPr>
          <w:rFonts w:ascii="仿宋" w:eastAsia="仿宋" w:hAnsi="仿宋" w:cs="仿宋" w:hint="eastAsia"/>
          <w:sz w:val="32"/>
          <w:szCs w:val="32"/>
        </w:rPr>
        <w:t>8mg</w:t>
      </w:r>
      <w:r w:rsidRPr="00027242">
        <w:rPr>
          <w:rFonts w:ascii="仿宋" w:eastAsia="仿宋" w:hAnsi="仿宋" w:cs="仿宋" w:hint="eastAsia"/>
          <w:sz w:val="32"/>
          <w:szCs w:val="32"/>
        </w:rPr>
        <w:t>、10mg、</w:t>
      </w:r>
      <w:r w:rsidR="00C128C3" w:rsidRPr="00027242">
        <w:rPr>
          <w:rFonts w:ascii="仿宋" w:eastAsia="仿宋" w:hAnsi="仿宋" w:cs="仿宋" w:hint="eastAsia"/>
          <w:sz w:val="32"/>
          <w:szCs w:val="32"/>
        </w:rPr>
        <w:t>12mg</w:t>
      </w:r>
    </w:p>
    <w:p w14:paraId="3FC061D2"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适应证：</w:t>
      </w:r>
      <w:r w:rsidRPr="00027242">
        <w:rPr>
          <w:rFonts w:ascii="仿宋" w:eastAsia="仿宋" w:hAnsi="仿宋" w:cs="仿宋" w:hint="eastAsia"/>
          <w:sz w:val="32"/>
          <w:szCs w:val="32"/>
        </w:rPr>
        <w:t>本品适用于晚期RCC中高危患者的一线治疗和曾接受VEGFR-TKI治疗失败的晚期RCC患者的治疗。</w:t>
      </w:r>
    </w:p>
    <w:p w14:paraId="5275908D" w14:textId="77777777" w:rsidR="00027242" w:rsidRPr="006D76B9" w:rsidRDefault="00027242" w:rsidP="006D76B9">
      <w:pPr>
        <w:spacing w:line="360" w:lineRule="auto"/>
        <w:ind w:firstLineChars="200" w:firstLine="643"/>
        <w:rPr>
          <w:rFonts w:ascii="仿宋" w:eastAsia="仿宋" w:hAnsi="仿宋" w:cs="仿宋"/>
          <w:b/>
          <w:sz w:val="32"/>
          <w:szCs w:val="32"/>
        </w:rPr>
      </w:pPr>
      <w:r w:rsidRPr="006D76B9">
        <w:rPr>
          <w:rFonts w:ascii="仿宋" w:eastAsia="仿宋" w:hAnsi="仿宋" w:cs="仿宋" w:hint="eastAsia"/>
          <w:b/>
          <w:sz w:val="32"/>
          <w:szCs w:val="32"/>
        </w:rPr>
        <w:t>合理用药要点：</w:t>
      </w:r>
    </w:p>
    <w:p w14:paraId="03375435"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w:t>
      </w:r>
      <w:r w:rsidR="006D76B9">
        <w:rPr>
          <w:rFonts w:ascii="仿宋" w:eastAsia="仿宋" w:hAnsi="仿宋" w:cs="仿宋" w:hint="eastAsia"/>
          <w:sz w:val="32"/>
          <w:szCs w:val="32"/>
        </w:rPr>
        <w:t>.</w:t>
      </w:r>
      <w:r w:rsidRPr="00027242">
        <w:rPr>
          <w:rFonts w:ascii="仿宋" w:eastAsia="仿宋" w:hAnsi="仿宋" w:cs="仿宋" w:hint="eastAsia"/>
          <w:sz w:val="32"/>
          <w:szCs w:val="32"/>
        </w:rPr>
        <w:t>推荐剂量为每次12mg,每日1次，早餐前口服。连续服药2周，停药1周，即3周（21天）为一个疗程。</w:t>
      </w:r>
    </w:p>
    <w:p w14:paraId="7CA626B4"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w:t>
      </w:r>
      <w:r w:rsidR="006D76B9">
        <w:rPr>
          <w:rFonts w:ascii="仿宋" w:eastAsia="仿宋" w:hAnsi="仿宋" w:cs="仿宋" w:hint="eastAsia"/>
          <w:sz w:val="32"/>
          <w:szCs w:val="32"/>
        </w:rPr>
        <w:t>.</w:t>
      </w:r>
      <w:r w:rsidRPr="00027242">
        <w:rPr>
          <w:rFonts w:ascii="仿宋" w:eastAsia="仿宋" w:hAnsi="仿宋" w:cs="仿宋" w:hint="eastAsia"/>
          <w:sz w:val="32"/>
          <w:szCs w:val="32"/>
        </w:rPr>
        <w:t>本品所致的不良反应可通过对症治疗、暂停用药和／或调整剂量等方式处理。</w:t>
      </w:r>
      <w:r w:rsidR="006D76B9">
        <w:rPr>
          <w:rFonts w:ascii="仿宋" w:eastAsia="仿宋" w:hAnsi="仿宋" w:cs="仿宋" w:hint="eastAsia"/>
          <w:sz w:val="32"/>
          <w:szCs w:val="32"/>
        </w:rPr>
        <w:t>（1）</w:t>
      </w:r>
      <w:r w:rsidRPr="00027242">
        <w:rPr>
          <w:rFonts w:ascii="仿宋" w:eastAsia="仿宋" w:hAnsi="仿宋" w:cs="仿宋" w:hint="eastAsia"/>
          <w:sz w:val="32"/>
          <w:szCs w:val="32"/>
        </w:rPr>
        <w:t>第一次调整剂量：10mg,每日一次，连服2周，停药1周</w:t>
      </w:r>
      <w:r w:rsidR="006D76B9">
        <w:rPr>
          <w:rFonts w:ascii="仿宋" w:eastAsia="仿宋" w:hAnsi="仿宋" w:cs="仿宋" w:hint="eastAsia"/>
          <w:sz w:val="32"/>
          <w:szCs w:val="32"/>
        </w:rPr>
        <w:t>。（2）</w:t>
      </w:r>
      <w:r w:rsidRPr="00027242">
        <w:rPr>
          <w:rFonts w:ascii="仿宋" w:eastAsia="仿宋" w:hAnsi="仿宋" w:cs="仿宋" w:hint="eastAsia"/>
          <w:sz w:val="32"/>
          <w:szCs w:val="32"/>
        </w:rPr>
        <w:t>第二次调整剂量：8mg,每日一次，连服2周，停药1周如8mg剂量仍无法耐受，则永久停药。</w:t>
      </w:r>
    </w:p>
    <w:p w14:paraId="0D27C31A"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w:t>
      </w:r>
      <w:r w:rsidR="006D76B9">
        <w:rPr>
          <w:rFonts w:ascii="仿宋" w:eastAsia="仿宋" w:hAnsi="仿宋" w:cs="仿宋" w:hint="eastAsia"/>
          <w:sz w:val="32"/>
          <w:szCs w:val="32"/>
        </w:rPr>
        <w:t>.</w:t>
      </w:r>
      <w:r w:rsidRPr="00027242">
        <w:rPr>
          <w:rFonts w:ascii="仿宋" w:eastAsia="仿宋" w:hAnsi="仿宋" w:cs="仿宋" w:hint="eastAsia"/>
          <w:sz w:val="32"/>
          <w:szCs w:val="32"/>
        </w:rPr>
        <w:t>治疗期间应对患者的出血相关体征和症状进行监测，具有出血风险、凝血功能异常的患者慎用本品，服用本品期间应严密监测血小板，凝血酶原时间。</w:t>
      </w:r>
    </w:p>
    <w:p w14:paraId="497482A7"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w:t>
      </w:r>
      <w:r w:rsidR="006D76B9">
        <w:rPr>
          <w:rFonts w:ascii="仿宋" w:eastAsia="仿宋" w:hAnsi="仿宋" w:cs="仿宋" w:hint="eastAsia"/>
          <w:sz w:val="32"/>
          <w:szCs w:val="32"/>
        </w:rPr>
        <w:t>.</w:t>
      </w:r>
      <w:r w:rsidRPr="00027242">
        <w:rPr>
          <w:rFonts w:ascii="仿宋" w:eastAsia="仿宋" w:hAnsi="仿宋" w:cs="仿宋" w:hint="eastAsia"/>
          <w:sz w:val="32"/>
          <w:szCs w:val="32"/>
        </w:rPr>
        <w:t>轻中度肝肾功能不全患者慎用本品，重度肝肾功能不全患者禁用。</w:t>
      </w:r>
    </w:p>
    <w:p w14:paraId="15C52214"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w:t>
      </w:r>
      <w:r w:rsidR="006D76B9">
        <w:rPr>
          <w:rFonts w:ascii="仿宋" w:eastAsia="仿宋" w:hAnsi="仿宋" w:cs="仿宋" w:hint="eastAsia"/>
          <w:sz w:val="32"/>
          <w:szCs w:val="32"/>
        </w:rPr>
        <w:t>.</w:t>
      </w:r>
      <w:r w:rsidRPr="00027242">
        <w:rPr>
          <w:rFonts w:ascii="仿宋" w:eastAsia="仿宋" w:hAnsi="仿宋" w:cs="仿宋" w:hint="eastAsia"/>
          <w:sz w:val="32"/>
          <w:szCs w:val="32"/>
        </w:rPr>
        <w:t>CYP1A2和CYP3A4/5诱导剂（如奥美拉唑或利福平）可能降低本品的血浆浓度，建议避免与CYP1A2和CYP3A4的</w:t>
      </w:r>
      <w:r w:rsidRPr="00027242">
        <w:rPr>
          <w:rFonts w:ascii="仿宋" w:eastAsia="仿宋" w:hAnsi="仿宋" w:cs="仿宋" w:hint="eastAsia"/>
          <w:sz w:val="32"/>
          <w:szCs w:val="32"/>
        </w:rPr>
        <w:lastRenderedPageBreak/>
        <w:t>抑制剂及诱导剂合用。</w:t>
      </w:r>
    </w:p>
    <w:p w14:paraId="46B911D6"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6.用药期间应密切关注高血压的发生，常规降压药物可有效控制患者血压。</w:t>
      </w:r>
    </w:p>
    <w:p w14:paraId="44EE1DE7" w14:textId="77777777" w:rsidR="00027242" w:rsidRPr="00027242" w:rsidRDefault="00027242" w:rsidP="00027242">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八</w:t>
      </w:r>
      <w:r w:rsidRPr="00027242">
        <w:rPr>
          <w:rFonts w:ascii="黑体" w:eastAsia="黑体" w:hAnsi="黑体" w:cs="黑体" w:hint="eastAsia"/>
          <w:sz w:val="32"/>
          <w:szCs w:val="32"/>
        </w:rPr>
        <w:t xml:space="preserve">、帕博利珠单抗 </w:t>
      </w:r>
      <w:r w:rsidR="00C128C3">
        <w:rPr>
          <w:rFonts w:ascii="黑体" w:eastAsia="黑体" w:hAnsi="黑体" w:cs="黑体" w:hint="eastAsia"/>
          <w:sz w:val="32"/>
          <w:szCs w:val="32"/>
        </w:rPr>
        <w:t>P</w:t>
      </w:r>
      <w:r w:rsidRPr="00027242">
        <w:rPr>
          <w:rFonts w:ascii="黑体" w:eastAsia="黑体" w:hAnsi="黑体" w:cs="黑体" w:hint="eastAsia"/>
          <w:sz w:val="32"/>
          <w:szCs w:val="32"/>
        </w:rPr>
        <w:t>embrolizumab</w:t>
      </w:r>
    </w:p>
    <w:p w14:paraId="7DFDF49D"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制剂与规格：</w:t>
      </w:r>
      <w:r w:rsidRPr="00027242">
        <w:rPr>
          <w:rFonts w:ascii="仿宋" w:eastAsia="仿宋" w:hAnsi="仿宋" w:cs="仿宋" w:hint="eastAsia"/>
          <w:sz w:val="32"/>
          <w:szCs w:val="32"/>
        </w:rPr>
        <w:t>注射液 100mg</w:t>
      </w:r>
    </w:p>
    <w:p w14:paraId="129E391A" w14:textId="77777777" w:rsidR="00027242" w:rsidRPr="00027242" w:rsidRDefault="00027242" w:rsidP="006D76B9">
      <w:pPr>
        <w:spacing w:line="360" w:lineRule="auto"/>
        <w:ind w:firstLineChars="200" w:firstLine="643"/>
        <w:rPr>
          <w:rFonts w:ascii="仿宋" w:eastAsia="仿宋" w:hAnsi="仿宋" w:cs="仿宋"/>
          <w:sz w:val="32"/>
          <w:szCs w:val="32"/>
        </w:rPr>
      </w:pPr>
      <w:r w:rsidRPr="006D76B9">
        <w:rPr>
          <w:rFonts w:ascii="仿宋" w:eastAsia="仿宋" w:hAnsi="仿宋" w:cs="仿宋" w:hint="eastAsia"/>
          <w:b/>
          <w:sz w:val="32"/>
          <w:szCs w:val="32"/>
        </w:rPr>
        <w:t>适应证：</w:t>
      </w:r>
      <w:r w:rsidRPr="00027242">
        <w:rPr>
          <w:rFonts w:ascii="仿宋" w:eastAsia="仿宋" w:hAnsi="仿宋" w:cs="仿宋" w:hint="eastAsia"/>
          <w:sz w:val="32"/>
          <w:szCs w:val="32"/>
        </w:rPr>
        <w:t>帕博利珠单抗联合阿昔替尼适用于晚期肾透明细胞癌的一线治疗。</w:t>
      </w:r>
    </w:p>
    <w:p w14:paraId="5B015CE8" w14:textId="77777777" w:rsidR="00027242" w:rsidRPr="00935E5D" w:rsidRDefault="00027242" w:rsidP="00935E5D">
      <w:pPr>
        <w:spacing w:line="360" w:lineRule="auto"/>
        <w:ind w:firstLineChars="200" w:firstLine="643"/>
        <w:rPr>
          <w:rFonts w:ascii="仿宋" w:eastAsia="仿宋" w:hAnsi="仿宋" w:cs="仿宋"/>
          <w:b/>
          <w:sz w:val="32"/>
          <w:szCs w:val="32"/>
        </w:rPr>
      </w:pPr>
      <w:r w:rsidRPr="00935E5D">
        <w:rPr>
          <w:rFonts w:ascii="仿宋" w:eastAsia="仿宋" w:hAnsi="仿宋" w:cs="仿宋" w:hint="eastAsia"/>
          <w:b/>
          <w:sz w:val="32"/>
          <w:szCs w:val="32"/>
        </w:rPr>
        <w:t>合理用药要点：</w:t>
      </w:r>
    </w:p>
    <w:p w14:paraId="5E560E8A"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1.帕博利珠单抗联合阿昔替尼用于晚期肾透明细胞癌的一线治疗</w:t>
      </w:r>
      <w:r w:rsidR="00935E5D">
        <w:rPr>
          <w:rFonts w:ascii="仿宋" w:eastAsia="仿宋" w:hAnsi="仿宋" w:cs="仿宋" w:hint="eastAsia"/>
          <w:sz w:val="32"/>
          <w:szCs w:val="32"/>
        </w:rPr>
        <w:t>适应证</w:t>
      </w:r>
      <w:r w:rsidRPr="00027242">
        <w:rPr>
          <w:rFonts w:ascii="仿宋" w:eastAsia="仿宋" w:hAnsi="仿宋" w:cs="仿宋" w:hint="eastAsia"/>
          <w:sz w:val="32"/>
          <w:szCs w:val="32"/>
        </w:rPr>
        <w:t>是基于全球Ⅲ期KEYNOTE-426临床研究的结果。</w:t>
      </w:r>
      <w:r w:rsidR="00AD66BD">
        <w:rPr>
          <w:rFonts w:ascii="仿宋" w:eastAsia="仿宋" w:hAnsi="仿宋" w:cs="仿宋" w:hint="eastAsia"/>
          <w:sz w:val="32"/>
          <w:szCs w:val="32"/>
        </w:rPr>
        <w:t>帕博利珠</w:t>
      </w:r>
      <w:r w:rsidRPr="00027242">
        <w:rPr>
          <w:rFonts w:ascii="仿宋" w:eastAsia="仿宋" w:hAnsi="仿宋" w:cs="仿宋" w:hint="eastAsia"/>
          <w:sz w:val="32"/>
          <w:szCs w:val="32"/>
        </w:rPr>
        <w:t>单抗通过静脉注射给药200mg固定剂量，每3周一次，每次持续至少30分钟，阿昔替尼 5mg</w:t>
      </w:r>
      <w:r w:rsidR="00AD66BD">
        <w:rPr>
          <w:rFonts w:ascii="仿宋" w:eastAsia="仿宋" w:hAnsi="仿宋" w:cs="仿宋" w:hint="eastAsia"/>
          <w:sz w:val="32"/>
          <w:szCs w:val="32"/>
        </w:rPr>
        <w:t>，每日两次</w:t>
      </w:r>
      <w:r w:rsidRPr="00027242">
        <w:rPr>
          <w:rFonts w:ascii="仿宋" w:eastAsia="仿宋" w:hAnsi="仿宋" w:cs="仿宋" w:hint="eastAsia"/>
          <w:sz w:val="32"/>
          <w:szCs w:val="32"/>
        </w:rPr>
        <w:t>口服（部分患者进行了剂量滴定）。该联合方案已获得美国FDA批准，但目前尚未得到中国NMPA的获批，可在与患者充分沟通的情况下考虑使用。</w:t>
      </w:r>
    </w:p>
    <w:p w14:paraId="2678B14E"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2.对于既往靶向治疗失败的晚期肾透明细胞癌，也可以考虑帕博利珠单抗联合阿昔替尼用于二三线治疗。</w:t>
      </w:r>
    </w:p>
    <w:p w14:paraId="7F36C9C2"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3.在使用本品之前应避免使用全身性糖皮质激素或免疫抑制剂，因为这些药物可能会影响本品的药效学活性及疗效。但在本品开始给药后，可使用全身性糖皮质激素或其他免疫抑制剂治疗免疫介导性不良反应。</w:t>
      </w:r>
    </w:p>
    <w:p w14:paraId="73E7222A"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4.根据个体患者的安全性和耐受性，可能需要暂停给药</w:t>
      </w:r>
      <w:r w:rsidRPr="00027242">
        <w:rPr>
          <w:rFonts w:ascii="仿宋" w:eastAsia="仿宋" w:hAnsi="仿宋" w:cs="仿宋" w:hint="eastAsia"/>
          <w:sz w:val="32"/>
          <w:szCs w:val="32"/>
        </w:rPr>
        <w:lastRenderedPageBreak/>
        <w:t>或停药，不建议增加或减少剂量。</w:t>
      </w:r>
    </w:p>
    <w:p w14:paraId="0516ADDB"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5.根据</w:t>
      </w:r>
      <w:r w:rsidR="00AD66BD">
        <w:rPr>
          <w:rFonts w:ascii="仿宋" w:eastAsia="仿宋" w:hAnsi="仿宋" w:cs="仿宋" w:hint="eastAsia"/>
          <w:sz w:val="32"/>
          <w:szCs w:val="32"/>
        </w:rPr>
        <w:t>不良反应</w:t>
      </w:r>
      <w:r w:rsidRPr="00027242">
        <w:rPr>
          <w:rFonts w:ascii="仿宋" w:eastAsia="仿宋" w:hAnsi="仿宋" w:cs="仿宋" w:hint="eastAsia"/>
          <w:sz w:val="32"/>
          <w:szCs w:val="32"/>
        </w:rPr>
        <w:t>判断其与药物的相关性。如发生4级或复发性3级，考虑与</w:t>
      </w:r>
      <w:r w:rsidR="00AD66BD">
        <w:rPr>
          <w:rFonts w:ascii="仿宋" w:eastAsia="仿宋" w:hAnsi="仿宋" w:cs="仿宋" w:hint="eastAsia"/>
          <w:sz w:val="32"/>
          <w:szCs w:val="32"/>
        </w:rPr>
        <w:t>帕博利珠</w:t>
      </w:r>
      <w:r w:rsidRPr="00027242">
        <w:rPr>
          <w:rFonts w:ascii="仿宋" w:eastAsia="仿宋" w:hAnsi="仿宋" w:cs="仿宋" w:hint="eastAsia"/>
          <w:sz w:val="32"/>
          <w:szCs w:val="32"/>
        </w:rPr>
        <w:t>单抗相关的不良反应，虽然进行治疗调整但仍持续存在2级或3级不良反应，应永久性停用帕博利珠单抗。有关阿昔替尼的具体用法详见阿昔替尼部分的介绍。</w:t>
      </w:r>
    </w:p>
    <w:p w14:paraId="52186321"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6.老年人群的数据尚不明确，轻或中度肾功能不全患者无需调整剂量，重度肾功能不全患者的数据有限。</w:t>
      </w:r>
    </w:p>
    <w:p w14:paraId="0C9FC827"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7.轻度肝功能损伤患者无需调整剂量，尚未在中度或重度肝功能不全患者中进行本品的相关研究。</w:t>
      </w:r>
    </w:p>
    <w:p w14:paraId="68CE2781"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8.帕博利珠单抗可引起免疫相关性不良反应。因为不良反应可能在帕博利珠单抗治疗期间或帕博利珠单抗治疗停止后的任何时间发生，应持续进行患者监测。</w:t>
      </w:r>
    </w:p>
    <w:p w14:paraId="47CE6790"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9.对于疑似免疫相关性不良反应，应进行充分的评估以确认病因或排除其他病因。根据不良反应的严重程度，暂停帕博利珠单抗治疗，并给予糖皮质激素或非糖皮质激素性免疫抑制剂治疗。必要时与相关领域学科进行多学科诊疗。</w:t>
      </w:r>
    </w:p>
    <w:p w14:paraId="5467E823"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10.在患者接受免疫抑制剂量的糖皮质激素或其他免疫抑制治疗期间，不可重新使用帕博利珠单抗治疗。</w:t>
      </w:r>
    </w:p>
    <w:p w14:paraId="314164FA" w14:textId="77777777" w:rsidR="00027242" w:rsidRPr="00027242" w:rsidRDefault="00027242" w:rsidP="00027242">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九</w:t>
      </w:r>
      <w:r w:rsidRPr="00027242">
        <w:rPr>
          <w:rFonts w:ascii="黑体" w:eastAsia="黑体" w:hAnsi="黑体" w:cs="黑体" w:hint="eastAsia"/>
          <w:sz w:val="32"/>
          <w:szCs w:val="32"/>
        </w:rPr>
        <w:t xml:space="preserve">、纳武利尤单抗 </w:t>
      </w:r>
      <w:r w:rsidR="00C128C3">
        <w:rPr>
          <w:rFonts w:ascii="黑体" w:eastAsia="黑体" w:hAnsi="黑体" w:cs="黑体" w:hint="eastAsia"/>
          <w:sz w:val="32"/>
          <w:szCs w:val="32"/>
        </w:rPr>
        <w:t>N</w:t>
      </w:r>
      <w:r w:rsidRPr="00027242">
        <w:rPr>
          <w:rFonts w:ascii="黑体" w:eastAsia="黑体" w:hAnsi="黑体" w:cs="黑体" w:hint="eastAsia"/>
          <w:sz w:val="32"/>
          <w:szCs w:val="32"/>
        </w:rPr>
        <w:t>ivolumab</w:t>
      </w:r>
    </w:p>
    <w:p w14:paraId="34CB91A1" w14:textId="77777777" w:rsidR="00027242" w:rsidRPr="00027242" w:rsidRDefault="00027242" w:rsidP="00AD66BD">
      <w:pPr>
        <w:spacing w:line="360" w:lineRule="auto"/>
        <w:ind w:firstLineChars="200" w:firstLine="643"/>
        <w:rPr>
          <w:rFonts w:ascii="仿宋" w:eastAsia="仿宋" w:hAnsi="仿宋" w:cs="仿宋"/>
          <w:sz w:val="32"/>
          <w:szCs w:val="32"/>
        </w:rPr>
      </w:pPr>
      <w:r w:rsidRPr="00AD66BD">
        <w:rPr>
          <w:rFonts w:ascii="仿宋" w:eastAsia="仿宋" w:hAnsi="仿宋" w:cs="仿宋" w:hint="eastAsia"/>
          <w:b/>
          <w:sz w:val="32"/>
          <w:szCs w:val="32"/>
        </w:rPr>
        <w:t>制剂与规格：</w:t>
      </w:r>
      <w:r w:rsidRPr="00027242">
        <w:rPr>
          <w:rFonts w:ascii="仿宋" w:eastAsia="仿宋" w:hAnsi="仿宋" w:cs="仿宋" w:hint="eastAsia"/>
          <w:sz w:val="32"/>
          <w:szCs w:val="32"/>
        </w:rPr>
        <w:t>注射液：40mg（4ml）/瓶、100mg（10ml）/瓶</w:t>
      </w:r>
    </w:p>
    <w:p w14:paraId="009E99EB" w14:textId="77777777" w:rsidR="00027242" w:rsidRPr="00027242" w:rsidRDefault="00027242" w:rsidP="00AD66BD">
      <w:pPr>
        <w:spacing w:line="360" w:lineRule="auto"/>
        <w:ind w:firstLineChars="200" w:firstLine="643"/>
        <w:rPr>
          <w:rFonts w:ascii="仿宋" w:eastAsia="仿宋" w:hAnsi="仿宋" w:cs="仿宋"/>
          <w:sz w:val="32"/>
          <w:szCs w:val="32"/>
        </w:rPr>
      </w:pPr>
      <w:r w:rsidRPr="00AD66BD">
        <w:rPr>
          <w:rFonts w:ascii="仿宋" w:eastAsia="仿宋" w:hAnsi="仿宋" w:cs="仿宋" w:hint="eastAsia"/>
          <w:b/>
          <w:sz w:val="32"/>
          <w:szCs w:val="32"/>
        </w:rPr>
        <w:lastRenderedPageBreak/>
        <w:t>适应证：</w:t>
      </w:r>
      <w:r w:rsidRPr="00027242">
        <w:rPr>
          <w:rFonts w:ascii="仿宋" w:eastAsia="仿宋" w:hAnsi="仿宋" w:cs="仿宋" w:hint="eastAsia"/>
          <w:sz w:val="32"/>
          <w:szCs w:val="32"/>
        </w:rPr>
        <w:t>本品联合伊匹单抗适用于国际转移性肾细胞癌联合数据库（IMDC）评分为中高危的晚期肾细胞癌患者的一线治疗。</w:t>
      </w:r>
    </w:p>
    <w:p w14:paraId="5F838A56" w14:textId="77777777" w:rsidR="00027242" w:rsidRPr="00AD66BD" w:rsidRDefault="00027242" w:rsidP="00AD66BD">
      <w:pPr>
        <w:spacing w:line="360" w:lineRule="auto"/>
        <w:ind w:firstLineChars="200" w:firstLine="643"/>
        <w:rPr>
          <w:rFonts w:ascii="仿宋" w:eastAsia="仿宋" w:hAnsi="仿宋" w:cs="仿宋"/>
          <w:b/>
          <w:sz w:val="32"/>
          <w:szCs w:val="32"/>
        </w:rPr>
      </w:pPr>
      <w:r w:rsidRPr="00AD66BD">
        <w:rPr>
          <w:rFonts w:ascii="仿宋" w:eastAsia="仿宋" w:hAnsi="仿宋" w:cs="仿宋" w:hint="eastAsia"/>
          <w:b/>
          <w:sz w:val="32"/>
          <w:szCs w:val="32"/>
        </w:rPr>
        <w:t>合理用药要点：</w:t>
      </w:r>
    </w:p>
    <w:p w14:paraId="545EE766"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1.纳武利尤单抗联合伊匹单抗用于IMDC评分为中高危的晚期肾细胞癌的一线治疗基于CheckMate214研究。该治疗方法已获得美国FDA和欧洲药品管理局获批，推荐临床剂量是纳武利尤单抗3mg/kg每次持续至少60分钟+伊匹单抗 1mg/mg每次持续至少30分钟，每3周1次，连续4次后，改为纳武利尤单抗3mg/kg每2周1次，每次持续至少60分钟。但该</w:t>
      </w:r>
      <w:r w:rsidR="00935E5D">
        <w:rPr>
          <w:rFonts w:ascii="仿宋" w:eastAsia="仿宋" w:hAnsi="仿宋" w:cs="仿宋" w:hint="eastAsia"/>
          <w:sz w:val="32"/>
          <w:szCs w:val="32"/>
        </w:rPr>
        <w:t>适应证</w:t>
      </w:r>
      <w:r w:rsidRPr="00027242">
        <w:rPr>
          <w:rFonts w:ascii="仿宋" w:eastAsia="仿宋" w:hAnsi="仿宋" w:cs="仿宋" w:hint="eastAsia"/>
          <w:sz w:val="32"/>
          <w:szCs w:val="32"/>
        </w:rPr>
        <w:t>尚未获得中国NMPA批准，可在与患者充分沟通的情况下考虑使用。</w:t>
      </w:r>
    </w:p>
    <w:p w14:paraId="57E01769"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2.IMDC评分内容包括：贫血（低于正常值下限）、中性粒细胞升高（高于正常值上限）、血小板升高（高于正常值上限）、KPS评分</w:t>
      </w:r>
      <w:r w:rsidR="00AD66BD" w:rsidRPr="00027242">
        <w:rPr>
          <w:rFonts w:ascii="仿宋" w:eastAsia="仿宋" w:hAnsi="仿宋" w:cs="仿宋" w:hint="eastAsia"/>
          <w:sz w:val="32"/>
          <w:szCs w:val="32"/>
        </w:rPr>
        <w:t>＜</w:t>
      </w:r>
      <w:r w:rsidRPr="00027242">
        <w:rPr>
          <w:rFonts w:ascii="仿宋" w:eastAsia="仿宋" w:hAnsi="仿宋" w:cs="仿宋" w:hint="eastAsia"/>
          <w:sz w:val="32"/>
          <w:szCs w:val="32"/>
        </w:rPr>
        <w:t>80、一线治疗距诊断时间＜1年、高钙血症。每项为1分。总分0分为低危人群，1</w:t>
      </w:r>
      <w:r w:rsidR="00AD66BD">
        <w:rPr>
          <w:rFonts w:ascii="仿宋" w:eastAsia="仿宋" w:hAnsi="仿宋" w:cs="仿宋" w:hint="eastAsia"/>
          <w:sz w:val="32"/>
          <w:szCs w:val="32"/>
        </w:rPr>
        <w:t>～</w:t>
      </w:r>
      <w:r w:rsidRPr="00027242">
        <w:rPr>
          <w:rFonts w:ascii="仿宋" w:eastAsia="仿宋" w:hAnsi="仿宋" w:cs="仿宋" w:hint="eastAsia"/>
          <w:sz w:val="32"/>
          <w:szCs w:val="32"/>
        </w:rPr>
        <w:t>2分为中危人群，≥3分为高危人群。</w:t>
      </w:r>
    </w:p>
    <w:p w14:paraId="4AEEEB70"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3.因部分患者使用免疫治疗可能会出现假性进展（治疗最初数月内肿瘤出现短暂性增大或出现新的小病灶，随后肿瘤缩小甚至消失），故只要观察到临床获益，应继续使用纳武利尤单抗联合伊匹单抗或纳武利尤单抗单药治疗至明确疾病进展或发生不可接受的毒性。如果患者临床症状稳定，</w:t>
      </w:r>
      <w:r w:rsidRPr="00027242">
        <w:rPr>
          <w:rFonts w:ascii="仿宋" w:eastAsia="仿宋" w:hAnsi="仿宋" w:cs="仿宋" w:hint="eastAsia"/>
          <w:sz w:val="32"/>
          <w:szCs w:val="32"/>
        </w:rPr>
        <w:lastRenderedPageBreak/>
        <w:t>即使有疾病进展的初步证据，但基于总体临床获益的判断，可考虑继续应用本品治疗，直至证实疾病进展。</w:t>
      </w:r>
    </w:p>
    <w:p w14:paraId="4ACB0ECA"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4.根据个体患者的安全性和耐受性，可暂停给药或停药。不建议增加或减少剂量。</w:t>
      </w:r>
    </w:p>
    <w:p w14:paraId="6B0332D2"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5.根据</w:t>
      </w:r>
      <w:r w:rsidR="00AD66BD">
        <w:rPr>
          <w:rFonts w:ascii="仿宋" w:eastAsia="仿宋" w:hAnsi="仿宋" w:cs="仿宋" w:hint="eastAsia"/>
          <w:sz w:val="32"/>
          <w:szCs w:val="32"/>
        </w:rPr>
        <w:t>不良反应</w:t>
      </w:r>
      <w:r w:rsidRPr="00027242">
        <w:rPr>
          <w:rFonts w:ascii="仿宋" w:eastAsia="仿宋" w:hAnsi="仿宋" w:cs="仿宋" w:hint="eastAsia"/>
          <w:sz w:val="32"/>
          <w:szCs w:val="32"/>
        </w:rPr>
        <w:t>判断其与药物纳武利尤单抗及伊匹单抗的相关性。如发生4级或复发性3级，虽然进行治疗调整但仍持续存在2级或3级不良反应，应充分分析引发该</w:t>
      </w:r>
      <w:r w:rsidR="00AD66BD">
        <w:rPr>
          <w:rFonts w:ascii="仿宋" w:eastAsia="仿宋" w:hAnsi="仿宋" w:cs="仿宋" w:hint="eastAsia"/>
          <w:sz w:val="32"/>
          <w:szCs w:val="32"/>
        </w:rPr>
        <w:t>不良反应</w:t>
      </w:r>
      <w:r w:rsidRPr="00027242">
        <w:rPr>
          <w:rFonts w:ascii="仿宋" w:eastAsia="仿宋" w:hAnsi="仿宋" w:cs="仿宋" w:hint="eastAsia"/>
          <w:sz w:val="32"/>
          <w:szCs w:val="32"/>
        </w:rPr>
        <w:t>的可能的药物，可能需要永久性停用双抗或纳武利尤单抗或伊匹单抗。</w:t>
      </w:r>
    </w:p>
    <w:p w14:paraId="74C1A184"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6.老年患者数据有限，轻或中度肾功能损伤患者无需调整剂量。重度肾功能损伤患者的数据有限。</w:t>
      </w:r>
    </w:p>
    <w:p w14:paraId="435E2F47"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7.轻</w:t>
      </w:r>
      <w:r w:rsidR="00AD66BD">
        <w:rPr>
          <w:rFonts w:ascii="仿宋" w:eastAsia="仿宋" w:hAnsi="仿宋" w:cs="仿宋" w:hint="eastAsia"/>
          <w:sz w:val="32"/>
          <w:szCs w:val="32"/>
        </w:rPr>
        <w:t>度</w:t>
      </w:r>
      <w:r w:rsidRPr="00027242">
        <w:rPr>
          <w:rFonts w:ascii="仿宋" w:eastAsia="仿宋" w:hAnsi="仿宋" w:cs="仿宋" w:hint="eastAsia"/>
          <w:sz w:val="32"/>
          <w:szCs w:val="32"/>
        </w:rPr>
        <w:t>肝功能损伤患者无需调整剂量，没有对中度、重度肝功能损伤患者进行本品的相关研究。</w:t>
      </w:r>
    </w:p>
    <w:p w14:paraId="0F48870B"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8.纳武利尤单抗±伊匹单抗可引起免疫相关性不良反应。因为不良反应可能在免疫治疗期间或免疫治疗停止后的任何时间发生，应持续进行患者监测。</w:t>
      </w:r>
    </w:p>
    <w:p w14:paraId="6C717913" w14:textId="77777777" w:rsidR="00027242" w:rsidRP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9.对于疑似免疫相关性不良反应，应进行充分的评估以确认病因或排除其他病因。根据不良反应的严重程度，暂停纳武利尤单抗治疗并给予糖皮质激素或非糖皮质激素性免疫抑制剂治疗。必要时与相关领域学科进行多学科诊疗。</w:t>
      </w:r>
    </w:p>
    <w:p w14:paraId="583EC410" w14:textId="77777777" w:rsidR="00027242" w:rsidRDefault="00027242" w:rsidP="00027242">
      <w:pPr>
        <w:spacing w:line="360" w:lineRule="auto"/>
        <w:ind w:firstLineChars="200" w:firstLine="640"/>
        <w:rPr>
          <w:rFonts w:ascii="仿宋" w:eastAsia="仿宋" w:hAnsi="仿宋" w:cs="仿宋"/>
          <w:sz w:val="32"/>
          <w:szCs w:val="32"/>
        </w:rPr>
      </w:pPr>
      <w:r w:rsidRPr="00027242">
        <w:rPr>
          <w:rFonts w:ascii="仿宋" w:eastAsia="仿宋" w:hAnsi="仿宋" w:cs="仿宋" w:hint="eastAsia"/>
          <w:sz w:val="32"/>
          <w:szCs w:val="32"/>
        </w:rPr>
        <w:t>10.在患者接受免疫抑制剂量的糖皮质激素或其他免疫抑制治疗期间，不可重新使用纳武利尤单抗治疗。</w:t>
      </w:r>
    </w:p>
    <w:p w14:paraId="7AF484E2" w14:textId="77777777" w:rsidR="00B23A40" w:rsidRPr="00136FBE" w:rsidRDefault="00B23A40">
      <w:pPr>
        <w:spacing w:line="360" w:lineRule="auto"/>
        <w:ind w:firstLineChars="200" w:firstLine="643"/>
        <w:jc w:val="center"/>
        <w:rPr>
          <w:rFonts w:ascii="仿宋" w:eastAsia="仿宋" w:hAnsi="仿宋" w:cs="Times New Roman"/>
          <w:b/>
          <w:bCs/>
          <w:sz w:val="32"/>
          <w:szCs w:val="32"/>
        </w:rPr>
      </w:pPr>
    </w:p>
    <w:p w14:paraId="119AC199" w14:textId="77777777"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乳腺癌用药</w:t>
      </w:r>
    </w:p>
    <w:p w14:paraId="7901C8D8" w14:textId="77777777" w:rsidR="00B23A40" w:rsidRPr="00136FBE" w:rsidRDefault="00B23A40">
      <w:pPr>
        <w:spacing w:line="360" w:lineRule="auto"/>
        <w:ind w:firstLineChars="200" w:firstLine="643"/>
        <w:jc w:val="center"/>
        <w:rPr>
          <w:rFonts w:ascii="仿宋" w:eastAsia="仿宋" w:hAnsi="仿宋" w:cs="Times New Roman"/>
          <w:b/>
          <w:bCs/>
          <w:sz w:val="32"/>
          <w:szCs w:val="32"/>
        </w:rPr>
      </w:pPr>
    </w:p>
    <w:p w14:paraId="5483047F" w14:textId="77777777" w:rsidR="00B23A40" w:rsidRPr="00136FBE" w:rsidRDefault="00DD1A0D">
      <w:pPr>
        <w:ind w:firstLineChars="200" w:firstLine="640"/>
        <w:rPr>
          <w:rFonts w:ascii="仿宋" w:eastAsia="仿宋" w:hAnsi="仿宋"/>
          <w:color w:val="000000"/>
          <w:sz w:val="32"/>
          <w:szCs w:val="32"/>
        </w:rPr>
      </w:pPr>
      <w:r w:rsidRPr="00136FBE">
        <w:rPr>
          <w:rFonts w:ascii="黑体" w:eastAsia="黑体" w:hAnsi="黑体" w:hint="eastAsia"/>
          <w:color w:val="000000"/>
          <w:sz w:val="32"/>
          <w:szCs w:val="32"/>
        </w:rPr>
        <w:t xml:space="preserve">一、曲妥珠单抗 </w:t>
      </w:r>
      <w:r w:rsidR="00F111D5" w:rsidRPr="00136FBE">
        <w:rPr>
          <w:rFonts w:ascii="黑体" w:eastAsia="黑体" w:hAnsi="黑体" w:hint="eastAsia"/>
          <w:color w:val="000000"/>
          <w:sz w:val="32"/>
          <w:szCs w:val="32"/>
        </w:rPr>
        <w:t>T</w:t>
      </w:r>
      <w:r w:rsidRPr="00136FBE">
        <w:rPr>
          <w:rFonts w:ascii="黑体" w:eastAsia="黑体" w:hAnsi="黑体"/>
          <w:color w:val="000000"/>
          <w:sz w:val="32"/>
          <w:szCs w:val="32"/>
        </w:rPr>
        <w:t>rastuzumab</w:t>
      </w:r>
    </w:p>
    <w:p w14:paraId="41506A0F"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注射剂：440mg（20ml）/瓶</w:t>
      </w:r>
    </w:p>
    <w:p w14:paraId="450186D5"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适应证：</w:t>
      </w:r>
    </w:p>
    <w:p w14:paraId="669E7ADC"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1.复发转移性乳腺癌：本品适用于HER2阳性转移性乳腺癌，单药用于已接受过多个化疗方案的转移性乳腺癌；与紫杉醇或多西他赛等化疗药物联合，用于未接受化疗的转移性乳腺癌患者。</w:t>
      </w:r>
    </w:p>
    <w:p w14:paraId="68DC2FD2"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乳腺癌辅助治疗：本品适用于肿瘤直径＞0.5cm的HER2阳性可手术乳腺癌的辅助治疗；对肿瘤直径＜0.5cm浸润性乳腺癌，需要结合其他因素考虑是否使用。曲妥珠单抗一般不与蒽环类药物联合使用，但可序贯使用；可与紫杉类及其他（环磷酰胺、卡铂等）化疗药物合用，还可与放疗、辅助内分泌治疗同时使用。</w:t>
      </w:r>
    </w:p>
    <w:p w14:paraId="62238CB0"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3.乳腺癌新辅助治疗：与化疗联合</w:t>
      </w:r>
      <w:r w:rsidR="00B74F09">
        <w:rPr>
          <w:rFonts w:ascii="仿宋" w:eastAsia="仿宋" w:hAnsi="仿宋" w:hint="eastAsia"/>
          <w:color w:val="000000"/>
          <w:sz w:val="32"/>
          <w:szCs w:val="32"/>
        </w:rPr>
        <w:t>进行</w:t>
      </w:r>
      <w:r w:rsidRPr="00136FBE">
        <w:rPr>
          <w:rFonts w:ascii="仿宋" w:eastAsia="仿宋" w:hAnsi="仿宋" w:hint="eastAsia"/>
          <w:color w:val="000000"/>
          <w:sz w:val="32"/>
          <w:szCs w:val="32"/>
        </w:rPr>
        <w:t>新辅助治疗，继以辅助治疗，用于局部晚期（包括炎性）的HER2阳性乳腺癌。术后继续使用曲妥珠单抗总疗程为1年。</w:t>
      </w:r>
    </w:p>
    <w:p w14:paraId="08D93061"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0F21B70F"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1.在接受曲妥珠单抗治疗前，应在有资质的病理实验室进行HER2检测，HER2阳性患者方可应用曲妥珠单抗治疗，</w:t>
      </w:r>
      <w:r w:rsidRPr="00136FBE">
        <w:rPr>
          <w:rFonts w:ascii="仿宋" w:eastAsia="仿宋" w:hAnsi="仿宋" w:hint="eastAsia"/>
          <w:color w:val="000000"/>
          <w:sz w:val="32"/>
          <w:szCs w:val="32"/>
        </w:rPr>
        <w:lastRenderedPageBreak/>
        <w:t>HER2阳性的定义为IHC3+和/或FISH阳性。</w:t>
      </w:r>
    </w:p>
    <w:p w14:paraId="1B78684F"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2.与蒽环类药物同期应用须慎重，可能增加</w:t>
      </w:r>
      <w:r w:rsidR="00F57B1B">
        <w:rPr>
          <w:rFonts w:ascii="仿宋" w:eastAsia="仿宋" w:hAnsi="仿宋" w:hint="eastAsia"/>
          <w:color w:val="000000"/>
          <w:sz w:val="32"/>
          <w:szCs w:val="32"/>
        </w:rPr>
        <w:t>心脏毒性</w:t>
      </w:r>
      <w:r w:rsidRPr="00136FBE">
        <w:rPr>
          <w:rFonts w:ascii="仿宋" w:eastAsia="仿宋" w:hAnsi="仿宋" w:hint="eastAsia"/>
          <w:color w:val="000000"/>
          <w:sz w:val="32"/>
          <w:szCs w:val="32"/>
        </w:rPr>
        <w:t>，严重者会发生心力衰竭，</w:t>
      </w:r>
      <w:r w:rsidR="00526F2A">
        <w:rPr>
          <w:rFonts w:ascii="仿宋" w:eastAsia="仿宋" w:hAnsi="仿宋" w:hint="eastAsia"/>
          <w:color w:val="000000"/>
          <w:sz w:val="32"/>
          <w:szCs w:val="32"/>
        </w:rPr>
        <w:t>建议</w:t>
      </w:r>
      <w:r w:rsidRPr="00136FBE">
        <w:rPr>
          <w:rFonts w:ascii="仿宋" w:eastAsia="仿宋" w:hAnsi="仿宋" w:hint="eastAsia"/>
          <w:color w:val="000000"/>
          <w:sz w:val="32"/>
          <w:szCs w:val="32"/>
        </w:rPr>
        <w:t>序贯使用或分别使用。</w:t>
      </w:r>
    </w:p>
    <w:p w14:paraId="75465877"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3.临床实践中要对既往史、体格检查、心电图、超声心动图LVEF基线评估后，再开始应用曲妥珠单抗，使用期间应每3个月监测LVEF。若患者有无症状性心功能不全，监测频率应更高。出现下列情况时：</w:t>
      </w:r>
      <w:r w:rsidR="003F6F2D" w:rsidRPr="003F6F2D">
        <w:rPr>
          <w:rFonts w:ascii="仿宋" w:eastAsia="仿宋" w:hAnsi="仿宋" w:hint="eastAsia"/>
          <w:color w:val="000000"/>
          <w:sz w:val="32"/>
          <w:szCs w:val="32"/>
        </w:rPr>
        <w:t>治疗中若出现LVEF＜50%或低于治疗前16%以上，应暂停治疗，并跟踪监测LVEF动态变化，直至恢复到50%以上方可继续用药。</w:t>
      </w:r>
      <w:r w:rsidRPr="00136FBE">
        <w:rPr>
          <w:rFonts w:ascii="仿宋" w:eastAsia="仿宋" w:hAnsi="仿宋" w:hint="eastAsia"/>
          <w:color w:val="000000"/>
          <w:sz w:val="32"/>
          <w:szCs w:val="32"/>
        </w:rPr>
        <w:t>LVEF持续下降（大于8周），或者3次以上因</w:t>
      </w:r>
      <w:r w:rsidR="00F57B1B">
        <w:rPr>
          <w:rFonts w:ascii="仿宋" w:eastAsia="仿宋" w:hAnsi="仿宋" w:hint="eastAsia"/>
          <w:color w:val="000000"/>
          <w:sz w:val="32"/>
          <w:szCs w:val="32"/>
        </w:rPr>
        <w:t>心脏毒性</w:t>
      </w:r>
      <w:r w:rsidRPr="00136FBE">
        <w:rPr>
          <w:rFonts w:ascii="仿宋" w:eastAsia="仿宋" w:hAnsi="仿宋" w:hint="eastAsia"/>
          <w:color w:val="000000"/>
          <w:sz w:val="32"/>
          <w:szCs w:val="32"/>
        </w:rPr>
        <w:t>而停止曲妥珠单抗治疗，应永久停用曲妥珠单抗。</w:t>
      </w:r>
    </w:p>
    <w:p w14:paraId="26BCCF28"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4.多项临床研究证实，HER2阳性转移性乳腺癌患者，在其他化疗药物或内分泌药物治疗时，联合曲妥珠单抗可进一步增加临床获益。</w:t>
      </w:r>
    </w:p>
    <w:p w14:paraId="34640A2C"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5.曲妥珠单抗治疗后进展的HER2阳性乳腺癌，也有证据证实继续使用曲妥珠单抗的临床获益。</w:t>
      </w:r>
    </w:p>
    <w:p w14:paraId="7CE70F40" w14:textId="77777777" w:rsidR="008C7D59"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每周给药方案初次负荷剂量：建议本品的初次负荷量为4mg/kg。静脉输注90分钟以上。维持剂量：建议本品每周用量为2mg/kg。如初次负荷量可耐受，则此剂量可静脉输注30分钟。3周给药方案初始负荷剂量为8mg/kg，随后6mg/kg每三周给药一次。且重复6mg/kg每三周给药一次时输注时间约为90分钟。如果患者在首次输注时耐受性良好，</w:t>
      </w:r>
      <w:r w:rsidRPr="00136FBE">
        <w:rPr>
          <w:rFonts w:ascii="仿宋" w:eastAsia="仿宋" w:hAnsi="仿宋" w:hint="eastAsia"/>
          <w:color w:val="000000"/>
          <w:sz w:val="32"/>
          <w:szCs w:val="32"/>
        </w:rPr>
        <w:lastRenderedPageBreak/>
        <w:t>后续输注可改为30分钟。</w:t>
      </w:r>
    </w:p>
    <w:p w14:paraId="4740FF37" w14:textId="77777777" w:rsidR="00B23A40" w:rsidRPr="00136FBE" w:rsidRDefault="008C7D59">
      <w:pPr>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DD1A0D" w:rsidRPr="00136FBE">
        <w:rPr>
          <w:rFonts w:ascii="仿宋" w:eastAsia="仿宋" w:hAnsi="仿宋" w:hint="eastAsia"/>
          <w:color w:val="000000"/>
          <w:sz w:val="32"/>
          <w:szCs w:val="32"/>
        </w:rPr>
        <w:t>疗程：乳腺癌患者术后使用曲妥珠单抗辅助治疗时间为1年，不建议延长治疗时间。</w:t>
      </w:r>
    </w:p>
    <w:p w14:paraId="238BA94A" w14:textId="77777777" w:rsidR="00203011" w:rsidRPr="00136FBE" w:rsidRDefault="00203011" w:rsidP="00203011">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二、恩美曲妥珠单抗T</w:t>
      </w:r>
      <w:r w:rsidRPr="00136FBE">
        <w:rPr>
          <w:rFonts w:ascii="黑体" w:eastAsia="黑体" w:hAnsi="黑体" w:cs="黑体"/>
          <w:sz w:val="32"/>
          <w:szCs w:val="32"/>
        </w:rPr>
        <w:t xml:space="preserve">rastuzumab </w:t>
      </w:r>
      <w:r w:rsidRPr="00136FBE">
        <w:rPr>
          <w:rFonts w:ascii="黑体" w:eastAsia="黑体" w:hAnsi="黑体" w:cs="黑体" w:hint="eastAsia"/>
          <w:sz w:val="32"/>
          <w:szCs w:val="32"/>
        </w:rPr>
        <w:t>E</w:t>
      </w:r>
      <w:r w:rsidRPr="00136FBE">
        <w:rPr>
          <w:rFonts w:ascii="黑体" w:eastAsia="黑体" w:hAnsi="黑体" w:cs="黑体"/>
          <w:sz w:val="32"/>
          <w:szCs w:val="32"/>
        </w:rPr>
        <w:t>mtansine</w:t>
      </w:r>
    </w:p>
    <w:p w14:paraId="3FEA3A39"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 xml:space="preserve">针剂：100mg/瓶、160mg/瓶 </w:t>
      </w:r>
    </w:p>
    <w:p w14:paraId="17C87B58" w14:textId="77777777" w:rsidR="00203011" w:rsidRPr="00136FBE" w:rsidRDefault="00203011" w:rsidP="00203011">
      <w:pPr>
        <w:spacing w:line="360" w:lineRule="auto"/>
        <w:ind w:firstLineChars="200" w:firstLine="643"/>
        <w:rPr>
          <w:rFonts w:ascii="仿宋" w:eastAsia="仿宋" w:hAnsi="仿宋"/>
          <w:color w:val="000000"/>
          <w:sz w:val="32"/>
          <w:szCs w:val="32"/>
        </w:rPr>
      </w:pPr>
      <w:r w:rsidRPr="00136FBE">
        <w:rPr>
          <w:rFonts w:ascii="仿宋" w:eastAsia="仿宋" w:hAnsi="仿宋" w:cs="仿宋" w:hint="eastAsia"/>
          <w:b/>
          <w:bCs/>
          <w:sz w:val="32"/>
          <w:szCs w:val="32"/>
        </w:rPr>
        <w:t>适应证：</w:t>
      </w:r>
      <w:r w:rsidRPr="00136FBE">
        <w:rPr>
          <w:rFonts w:ascii="仿宋" w:eastAsia="仿宋" w:hAnsi="仿宋" w:hint="eastAsia"/>
          <w:color w:val="000000"/>
          <w:sz w:val="32"/>
          <w:szCs w:val="32"/>
        </w:rPr>
        <w:t>单药适用于接受了紫杉类联合曲妥珠单抗为基础的新辅助治疗后仍残存侵袭性病灶的</w:t>
      </w:r>
      <w:r w:rsidRPr="00136FBE">
        <w:rPr>
          <w:rFonts w:ascii="仿宋" w:eastAsia="仿宋" w:hAnsi="仿宋"/>
          <w:color w:val="000000"/>
          <w:sz w:val="32"/>
          <w:szCs w:val="32"/>
        </w:rPr>
        <w:t>HER2阳性早期乳腺癌患者的辅助治疗。</w:t>
      </w:r>
    </w:p>
    <w:p w14:paraId="0130A242" w14:textId="77777777" w:rsidR="00203011" w:rsidRPr="00136FBE" w:rsidRDefault="00203011" w:rsidP="00203011">
      <w:pPr>
        <w:spacing w:line="360" w:lineRule="auto"/>
        <w:ind w:firstLineChars="200" w:firstLine="643"/>
        <w:rPr>
          <w:rFonts w:ascii="黑体" w:eastAsia="黑体" w:hAnsi="黑体" w:cs="黑体"/>
          <w:sz w:val="32"/>
          <w:szCs w:val="32"/>
        </w:rPr>
      </w:pPr>
      <w:r w:rsidRPr="00136FBE">
        <w:rPr>
          <w:rFonts w:ascii="仿宋" w:eastAsia="仿宋" w:hAnsi="仿宋" w:cs="仿宋" w:hint="eastAsia"/>
          <w:b/>
          <w:bCs/>
          <w:sz w:val="32"/>
          <w:szCs w:val="32"/>
        </w:rPr>
        <w:t>合理用药要点：</w:t>
      </w:r>
    </w:p>
    <w:p w14:paraId="41CD75CC"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1.恩美曲妥珠单抗（T-DM1）与曲妥珠单抗为不同药物，禁止在临床应用中进行替换。</w:t>
      </w:r>
    </w:p>
    <w:p w14:paraId="022CF951"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接受T-DM1辅助治疗的患者应符合以下要求：（1）应在有资质的病理实验室通过HER2检测确认为HER2阳性（HER2阳性的定义为IHC3+和/或FISH阳性）；（2）完成以曲妥珠单抗（H）和紫杉类为基础的新辅助治疗方案；（3）新辅助治疗后的病理评估结果未能达到病理学完全缓解。病理学完全缓解（</w:t>
      </w:r>
      <w:proofErr w:type="spellStart"/>
      <w:r w:rsidRPr="00136FBE">
        <w:rPr>
          <w:rFonts w:ascii="仿宋" w:eastAsia="仿宋" w:hAnsi="仿宋" w:cs="仿宋" w:hint="eastAsia"/>
          <w:sz w:val="32"/>
          <w:szCs w:val="32"/>
        </w:rPr>
        <w:t>pCR</w:t>
      </w:r>
      <w:proofErr w:type="spellEnd"/>
      <w:r w:rsidRPr="00136FBE">
        <w:rPr>
          <w:rFonts w:ascii="仿宋" w:eastAsia="仿宋" w:hAnsi="仿宋" w:cs="仿宋" w:hint="eastAsia"/>
          <w:sz w:val="32"/>
          <w:szCs w:val="32"/>
        </w:rPr>
        <w:t>）定义为乳腺原发灶无浸润性癌且区域淋巴结阴性，即ypT0/Tis ypN0。新辅助治疗后仅残余乳腺脉管内肿瘤或仅淋巴结内残余ITC均不能诊断</w:t>
      </w:r>
      <w:proofErr w:type="spellStart"/>
      <w:r w:rsidRPr="00136FBE">
        <w:rPr>
          <w:rFonts w:ascii="仿宋" w:eastAsia="仿宋" w:hAnsi="仿宋" w:cs="仿宋" w:hint="eastAsia"/>
          <w:sz w:val="32"/>
          <w:szCs w:val="32"/>
        </w:rPr>
        <w:t>pCR</w:t>
      </w:r>
      <w:proofErr w:type="spellEnd"/>
      <w:r w:rsidRPr="00136FBE">
        <w:rPr>
          <w:rFonts w:ascii="仿宋" w:eastAsia="仿宋" w:hAnsi="仿宋" w:cs="仿宋" w:hint="eastAsia"/>
          <w:sz w:val="32"/>
          <w:szCs w:val="32"/>
        </w:rPr>
        <w:t>。</w:t>
      </w:r>
    </w:p>
    <w:p w14:paraId="12654E14"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w:t>
      </w:r>
      <w:r w:rsidRPr="00136FBE">
        <w:rPr>
          <w:rFonts w:ascii="仿宋" w:eastAsia="仿宋" w:hAnsi="仿宋" w:cs="仿宋"/>
          <w:sz w:val="32"/>
          <w:szCs w:val="32"/>
        </w:rPr>
        <w:t xml:space="preserve"> T-DM1</w:t>
      </w:r>
      <w:r w:rsidRPr="00136FBE">
        <w:rPr>
          <w:rFonts w:ascii="仿宋" w:eastAsia="仿宋" w:hAnsi="仿宋" w:cs="仿宋" w:hint="eastAsia"/>
          <w:sz w:val="32"/>
          <w:szCs w:val="32"/>
        </w:rPr>
        <w:t>的推荐剂量为3.6mg/kg，采用静脉输注给药，每3周一次（21天为一个周期）。早期乳腺癌患者应接受共14个周期的治疗，除非疾病复发或出现无法控制的毒性。发</w:t>
      </w:r>
      <w:r w:rsidRPr="00136FBE">
        <w:rPr>
          <w:rFonts w:ascii="仿宋" w:eastAsia="仿宋" w:hAnsi="仿宋" w:cs="仿宋" w:hint="eastAsia"/>
          <w:sz w:val="32"/>
          <w:szCs w:val="32"/>
        </w:rPr>
        <w:lastRenderedPageBreak/>
        <w:t>生不良反应时应根据说明书及时调整剂量，剂量降低方案如下表。降低剂量后，不应再增加T-DM1剂量。</w:t>
      </w:r>
    </w:p>
    <w:tbl>
      <w:tblPr>
        <w:tblStyle w:val="af8"/>
        <w:tblW w:w="5000" w:type="pct"/>
        <w:tblLook w:val="04A0" w:firstRow="1" w:lastRow="0" w:firstColumn="1" w:lastColumn="0" w:noHBand="0" w:noVBand="1"/>
      </w:tblPr>
      <w:tblGrid>
        <w:gridCol w:w="4261"/>
        <w:gridCol w:w="4261"/>
      </w:tblGrid>
      <w:tr w:rsidR="00203011" w:rsidRPr="00136FBE" w14:paraId="32B9C614" w14:textId="77777777" w:rsidTr="008438A0">
        <w:trPr>
          <w:trHeight w:val="454"/>
        </w:trPr>
        <w:tc>
          <w:tcPr>
            <w:tcW w:w="5000" w:type="pct"/>
            <w:gridSpan w:val="2"/>
            <w:tcBorders>
              <w:top w:val="nil"/>
              <w:left w:val="nil"/>
              <w:bottom w:val="single" w:sz="4" w:space="0" w:color="auto"/>
              <w:right w:val="nil"/>
            </w:tcBorders>
            <w:vAlign w:val="center"/>
          </w:tcPr>
          <w:p w14:paraId="53710AD7" w14:textId="77777777" w:rsidR="00203011" w:rsidRPr="00136FBE" w:rsidRDefault="00203011" w:rsidP="009250AC">
            <w:pPr>
              <w:spacing w:line="360" w:lineRule="auto"/>
              <w:jc w:val="center"/>
              <w:rPr>
                <w:rFonts w:ascii="仿宋" w:eastAsia="仿宋" w:hAnsi="仿宋" w:cs="仿宋"/>
                <w:b/>
              </w:rPr>
            </w:pPr>
            <w:r w:rsidRPr="00136FBE">
              <w:rPr>
                <w:rFonts w:ascii="仿宋" w:eastAsia="仿宋" w:hAnsi="仿宋" w:cs="仿宋" w:hint="eastAsia"/>
                <w:b/>
              </w:rPr>
              <w:t>表</w:t>
            </w:r>
            <w:r w:rsidR="00AA08EA">
              <w:rPr>
                <w:rFonts w:ascii="仿宋" w:eastAsia="仿宋" w:hAnsi="仿宋" w:cs="仿宋" w:hint="eastAsia"/>
                <w:b/>
              </w:rPr>
              <w:t>4</w:t>
            </w:r>
            <w:r w:rsidR="004021D5">
              <w:rPr>
                <w:rFonts w:ascii="仿宋" w:eastAsia="仿宋" w:hAnsi="仿宋" w:cs="仿宋" w:hint="eastAsia"/>
                <w:b/>
              </w:rPr>
              <w:t xml:space="preserve"> </w:t>
            </w:r>
            <w:r w:rsidRPr="00136FBE">
              <w:rPr>
                <w:rFonts w:ascii="仿宋" w:eastAsia="仿宋" w:hAnsi="仿宋" w:cs="仿宋" w:hint="eastAsia"/>
                <w:b/>
              </w:rPr>
              <w:t>恩美曲妥珠单抗</w:t>
            </w:r>
            <w:r w:rsidRPr="00136FBE">
              <w:rPr>
                <w:rFonts w:ascii="仿宋" w:eastAsia="仿宋" w:hAnsi="仿宋" w:cs="仿宋"/>
                <w:b/>
              </w:rPr>
              <w:t>剂量降低方案</w:t>
            </w:r>
          </w:p>
        </w:tc>
      </w:tr>
      <w:tr w:rsidR="00203011" w:rsidRPr="00136FBE" w14:paraId="2EFCA066" w14:textId="77777777" w:rsidTr="008438A0">
        <w:trPr>
          <w:trHeight w:val="454"/>
        </w:trPr>
        <w:tc>
          <w:tcPr>
            <w:tcW w:w="2500" w:type="pct"/>
            <w:tcBorders>
              <w:top w:val="single" w:sz="4" w:space="0" w:color="auto"/>
            </w:tcBorders>
            <w:vAlign w:val="center"/>
          </w:tcPr>
          <w:p w14:paraId="1BF0BD4B" w14:textId="77777777" w:rsidR="00203011" w:rsidRPr="00136FBE" w:rsidRDefault="00203011" w:rsidP="009250AC">
            <w:pPr>
              <w:spacing w:line="360" w:lineRule="auto"/>
              <w:jc w:val="left"/>
              <w:rPr>
                <w:rFonts w:ascii="仿宋" w:eastAsia="仿宋" w:hAnsi="仿宋" w:cs="仿宋"/>
                <w:b/>
              </w:rPr>
            </w:pPr>
            <w:r w:rsidRPr="00136FBE">
              <w:rPr>
                <w:rFonts w:ascii="仿宋" w:eastAsia="仿宋" w:hAnsi="仿宋" w:cs="仿宋"/>
                <w:b/>
              </w:rPr>
              <w:t>剂量降低方案</w:t>
            </w:r>
          </w:p>
        </w:tc>
        <w:tc>
          <w:tcPr>
            <w:tcW w:w="2500" w:type="pct"/>
            <w:tcBorders>
              <w:top w:val="single" w:sz="4" w:space="0" w:color="auto"/>
            </w:tcBorders>
            <w:vAlign w:val="center"/>
          </w:tcPr>
          <w:p w14:paraId="7D9A996B" w14:textId="77777777" w:rsidR="00203011" w:rsidRPr="00136FBE" w:rsidRDefault="00203011" w:rsidP="009250AC">
            <w:pPr>
              <w:spacing w:line="360" w:lineRule="auto"/>
              <w:jc w:val="left"/>
              <w:rPr>
                <w:rFonts w:ascii="仿宋" w:eastAsia="仿宋" w:hAnsi="仿宋" w:cs="仿宋"/>
                <w:b/>
              </w:rPr>
            </w:pPr>
            <w:r w:rsidRPr="00136FBE">
              <w:rPr>
                <w:rFonts w:ascii="仿宋" w:eastAsia="仿宋" w:hAnsi="仿宋" w:cs="仿宋"/>
                <w:b/>
              </w:rPr>
              <w:t>剂量水平</w:t>
            </w:r>
          </w:p>
        </w:tc>
      </w:tr>
      <w:tr w:rsidR="00203011" w:rsidRPr="00136FBE" w14:paraId="0D0EB40B" w14:textId="77777777" w:rsidTr="008438A0">
        <w:trPr>
          <w:trHeight w:val="454"/>
        </w:trPr>
        <w:tc>
          <w:tcPr>
            <w:tcW w:w="2500" w:type="pct"/>
            <w:vAlign w:val="center"/>
          </w:tcPr>
          <w:p w14:paraId="2CA22CB7" w14:textId="77777777" w:rsidR="00203011" w:rsidRPr="00136FBE" w:rsidRDefault="00203011" w:rsidP="009250AC">
            <w:pPr>
              <w:spacing w:line="360" w:lineRule="auto"/>
              <w:jc w:val="left"/>
              <w:rPr>
                <w:rFonts w:ascii="仿宋" w:eastAsia="仿宋" w:hAnsi="仿宋" w:cs="仿宋"/>
              </w:rPr>
            </w:pPr>
            <w:r w:rsidRPr="00136FBE">
              <w:rPr>
                <w:rFonts w:ascii="仿宋" w:eastAsia="仿宋" w:hAnsi="仿宋" w:cs="仿宋"/>
              </w:rPr>
              <w:t>起始剂量</w:t>
            </w:r>
          </w:p>
        </w:tc>
        <w:tc>
          <w:tcPr>
            <w:tcW w:w="2500" w:type="pct"/>
            <w:vAlign w:val="center"/>
          </w:tcPr>
          <w:p w14:paraId="649A4324" w14:textId="77777777" w:rsidR="00203011" w:rsidRPr="00136FBE" w:rsidRDefault="009250AC" w:rsidP="009250AC">
            <w:pPr>
              <w:spacing w:line="360" w:lineRule="auto"/>
              <w:jc w:val="left"/>
              <w:rPr>
                <w:rFonts w:ascii="仿宋" w:eastAsia="仿宋" w:hAnsi="仿宋" w:cs="仿宋"/>
              </w:rPr>
            </w:pPr>
            <w:r w:rsidRPr="00136FBE">
              <w:rPr>
                <w:rFonts w:ascii="仿宋" w:eastAsia="仿宋" w:hAnsi="仿宋" w:cs="仿宋"/>
              </w:rPr>
              <w:t>3.6</w:t>
            </w:r>
            <w:r w:rsidR="00203011" w:rsidRPr="00136FBE">
              <w:rPr>
                <w:rFonts w:ascii="仿宋" w:eastAsia="仿宋" w:hAnsi="仿宋" w:cs="仿宋"/>
              </w:rPr>
              <w:t>mg/kg</w:t>
            </w:r>
          </w:p>
        </w:tc>
      </w:tr>
      <w:tr w:rsidR="00203011" w:rsidRPr="00136FBE" w14:paraId="3F1CB2B4" w14:textId="77777777" w:rsidTr="008438A0">
        <w:trPr>
          <w:trHeight w:val="454"/>
        </w:trPr>
        <w:tc>
          <w:tcPr>
            <w:tcW w:w="2500" w:type="pct"/>
            <w:vAlign w:val="center"/>
          </w:tcPr>
          <w:p w14:paraId="081DB60F" w14:textId="77777777" w:rsidR="00203011" w:rsidRPr="00136FBE" w:rsidRDefault="00203011" w:rsidP="009250AC">
            <w:pPr>
              <w:spacing w:line="360" w:lineRule="auto"/>
              <w:jc w:val="left"/>
              <w:rPr>
                <w:rFonts w:ascii="仿宋" w:eastAsia="仿宋" w:hAnsi="仿宋" w:cs="仿宋"/>
              </w:rPr>
            </w:pPr>
            <w:r w:rsidRPr="00136FBE">
              <w:rPr>
                <w:rFonts w:ascii="仿宋" w:eastAsia="仿宋" w:hAnsi="仿宋" w:cs="仿宋"/>
              </w:rPr>
              <w:t>第一次降低剂量</w:t>
            </w:r>
          </w:p>
        </w:tc>
        <w:tc>
          <w:tcPr>
            <w:tcW w:w="2500" w:type="pct"/>
            <w:vAlign w:val="center"/>
          </w:tcPr>
          <w:p w14:paraId="76DE096E" w14:textId="77777777" w:rsidR="00203011" w:rsidRPr="00136FBE" w:rsidRDefault="00203011" w:rsidP="009250AC">
            <w:pPr>
              <w:spacing w:line="360" w:lineRule="auto"/>
              <w:jc w:val="left"/>
              <w:rPr>
                <w:rFonts w:ascii="仿宋" w:eastAsia="仿宋" w:hAnsi="仿宋" w:cs="仿宋"/>
              </w:rPr>
            </w:pPr>
            <w:r w:rsidRPr="00136FBE">
              <w:rPr>
                <w:rFonts w:ascii="仿宋" w:eastAsia="仿宋" w:hAnsi="仿宋" w:cs="仿宋"/>
              </w:rPr>
              <w:t>3mg/kg</w:t>
            </w:r>
          </w:p>
        </w:tc>
      </w:tr>
      <w:tr w:rsidR="00203011" w:rsidRPr="00136FBE" w14:paraId="16482E12" w14:textId="77777777" w:rsidTr="008438A0">
        <w:trPr>
          <w:trHeight w:val="454"/>
        </w:trPr>
        <w:tc>
          <w:tcPr>
            <w:tcW w:w="2500" w:type="pct"/>
            <w:vAlign w:val="center"/>
          </w:tcPr>
          <w:p w14:paraId="4B00730A" w14:textId="77777777" w:rsidR="00203011" w:rsidRPr="00136FBE" w:rsidRDefault="00203011" w:rsidP="009250AC">
            <w:pPr>
              <w:spacing w:line="360" w:lineRule="auto"/>
              <w:jc w:val="left"/>
              <w:rPr>
                <w:rFonts w:ascii="仿宋" w:eastAsia="仿宋" w:hAnsi="仿宋" w:cs="仿宋"/>
              </w:rPr>
            </w:pPr>
            <w:r w:rsidRPr="00136FBE">
              <w:rPr>
                <w:rFonts w:ascii="仿宋" w:eastAsia="仿宋" w:hAnsi="仿宋" w:cs="仿宋"/>
              </w:rPr>
              <w:t>第二次降低剂量</w:t>
            </w:r>
          </w:p>
        </w:tc>
        <w:tc>
          <w:tcPr>
            <w:tcW w:w="2500" w:type="pct"/>
            <w:vAlign w:val="center"/>
          </w:tcPr>
          <w:p w14:paraId="6B4A23B1" w14:textId="77777777" w:rsidR="00203011" w:rsidRPr="00136FBE" w:rsidRDefault="009250AC" w:rsidP="009250AC">
            <w:pPr>
              <w:spacing w:line="360" w:lineRule="auto"/>
              <w:jc w:val="left"/>
              <w:rPr>
                <w:rFonts w:ascii="仿宋" w:eastAsia="仿宋" w:hAnsi="仿宋" w:cs="仿宋"/>
              </w:rPr>
            </w:pPr>
            <w:r w:rsidRPr="00136FBE">
              <w:rPr>
                <w:rFonts w:ascii="仿宋" w:eastAsia="仿宋" w:hAnsi="仿宋" w:cs="仿宋"/>
              </w:rPr>
              <w:t>2.4</w:t>
            </w:r>
            <w:r w:rsidR="00203011" w:rsidRPr="00136FBE">
              <w:rPr>
                <w:rFonts w:ascii="仿宋" w:eastAsia="仿宋" w:hAnsi="仿宋" w:cs="仿宋"/>
              </w:rPr>
              <w:t>mg/kg</w:t>
            </w:r>
          </w:p>
        </w:tc>
      </w:tr>
      <w:tr w:rsidR="00203011" w:rsidRPr="00136FBE" w14:paraId="39D4173E" w14:textId="77777777" w:rsidTr="008438A0">
        <w:trPr>
          <w:trHeight w:val="454"/>
        </w:trPr>
        <w:tc>
          <w:tcPr>
            <w:tcW w:w="2500" w:type="pct"/>
            <w:vAlign w:val="center"/>
          </w:tcPr>
          <w:p w14:paraId="6A1C2A40" w14:textId="77777777" w:rsidR="00203011" w:rsidRPr="00136FBE" w:rsidRDefault="00203011" w:rsidP="009250AC">
            <w:pPr>
              <w:spacing w:line="360" w:lineRule="auto"/>
              <w:jc w:val="left"/>
              <w:rPr>
                <w:rFonts w:ascii="仿宋" w:eastAsia="仿宋" w:hAnsi="仿宋" w:cs="仿宋"/>
              </w:rPr>
            </w:pPr>
            <w:r w:rsidRPr="00136FBE">
              <w:rPr>
                <w:rFonts w:ascii="仿宋" w:eastAsia="仿宋" w:hAnsi="仿宋" w:cs="仿宋"/>
              </w:rPr>
              <w:t>需要进一步降低剂量</w:t>
            </w:r>
          </w:p>
        </w:tc>
        <w:tc>
          <w:tcPr>
            <w:tcW w:w="2500" w:type="pct"/>
            <w:vAlign w:val="center"/>
          </w:tcPr>
          <w:p w14:paraId="558DBE8D" w14:textId="77777777" w:rsidR="00203011" w:rsidRPr="00136FBE" w:rsidRDefault="00203011" w:rsidP="009250AC">
            <w:pPr>
              <w:spacing w:line="360" w:lineRule="auto"/>
              <w:jc w:val="left"/>
              <w:rPr>
                <w:rFonts w:ascii="仿宋" w:eastAsia="仿宋" w:hAnsi="仿宋" w:cs="仿宋"/>
              </w:rPr>
            </w:pPr>
            <w:r w:rsidRPr="00136FBE">
              <w:rPr>
                <w:rFonts w:ascii="仿宋" w:eastAsia="仿宋" w:hAnsi="仿宋" w:cs="仿宋"/>
              </w:rPr>
              <w:t>终止治疗</w:t>
            </w:r>
          </w:p>
        </w:tc>
      </w:tr>
    </w:tbl>
    <w:p w14:paraId="188C6E35"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4.临床实践中要对既往史、体格检查、心电图、超声心动图LVEF基线评估后，再开始应用T</w:t>
      </w:r>
      <w:r w:rsidRPr="00136FBE">
        <w:rPr>
          <w:rFonts w:ascii="仿宋" w:eastAsia="仿宋" w:hAnsi="仿宋" w:cs="仿宋"/>
          <w:sz w:val="32"/>
          <w:szCs w:val="32"/>
        </w:rPr>
        <w:t>-DM1</w:t>
      </w:r>
      <w:r w:rsidRPr="00136FBE">
        <w:rPr>
          <w:rFonts w:ascii="仿宋" w:eastAsia="仿宋" w:hAnsi="仿宋" w:cs="仿宋" w:hint="eastAsia"/>
          <w:sz w:val="32"/>
          <w:szCs w:val="32"/>
        </w:rPr>
        <w:t>，使用期间应每3个月监测LVEF。若患者有无症状性心功能不全，监测频率应更高。出现下列情况时：（1）LVEF＜45%应暂停治疗，3周内重复评估LVEF。如果确认LVEF＜45%，应终止治疗。（2）LVEF为45%至＜50%，且相对基线下降≥10%，应暂停治疗，并在3周内重复评估LVEF。如果LVEF仍为＜50%，并且相对基线未恢复至＜10%，应终止治疗。（3）LVEF为45%至＜50%，相对基线下降＜10%，可继续治疗，并在3周内重复评估LVEF。（</w:t>
      </w:r>
      <w:r w:rsidRPr="00136FBE">
        <w:rPr>
          <w:rFonts w:ascii="仿宋" w:eastAsia="仿宋" w:hAnsi="仿宋" w:cs="仿宋"/>
          <w:sz w:val="32"/>
          <w:szCs w:val="32"/>
        </w:rPr>
        <w:t>4）</w:t>
      </w:r>
      <w:r w:rsidRPr="00136FBE">
        <w:rPr>
          <w:rFonts w:ascii="仿宋" w:eastAsia="仿宋" w:hAnsi="仿宋" w:cs="仿宋" w:hint="eastAsia"/>
          <w:sz w:val="32"/>
          <w:szCs w:val="32"/>
        </w:rPr>
        <w:t>LVEF≥50%，可继续进行治疗。（5）症状性充血性心力衰竭（CHF），3～4级左心室收缩功能障碍（LVSD）或3</w:t>
      </w:r>
      <w:r w:rsidRPr="00136FBE">
        <w:rPr>
          <w:rFonts w:ascii="仿宋" w:eastAsia="仿宋" w:hAnsi="仿宋" w:cs="仿宋"/>
          <w:sz w:val="32"/>
          <w:szCs w:val="32"/>
        </w:rPr>
        <w:t>～</w:t>
      </w:r>
      <w:r w:rsidRPr="00136FBE">
        <w:rPr>
          <w:rFonts w:ascii="仿宋" w:eastAsia="仿宋" w:hAnsi="仿宋" w:cs="仿宋" w:hint="eastAsia"/>
          <w:sz w:val="32"/>
          <w:szCs w:val="32"/>
        </w:rPr>
        <w:t>4级心力衰竭，或2级心力衰竭伴有 LVEF＜45%</w:t>
      </w:r>
      <w:r w:rsidRPr="00136FBE">
        <w:rPr>
          <w:rFonts w:ascii="仿宋" w:eastAsia="仿宋" w:hAnsi="仿宋" w:cs="仿宋"/>
          <w:sz w:val="32"/>
          <w:szCs w:val="32"/>
        </w:rPr>
        <w:t>，</w:t>
      </w:r>
      <w:r w:rsidRPr="00136FBE">
        <w:rPr>
          <w:rFonts w:ascii="仿宋" w:eastAsia="仿宋" w:hAnsi="仿宋" w:cs="仿宋" w:hint="eastAsia"/>
          <w:sz w:val="32"/>
          <w:szCs w:val="32"/>
        </w:rPr>
        <w:t>应终止治疗。</w:t>
      </w:r>
    </w:p>
    <w:p w14:paraId="5E6CA212"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5.建议在每次T</w:t>
      </w:r>
      <w:r w:rsidRPr="00136FBE">
        <w:rPr>
          <w:rFonts w:ascii="仿宋" w:eastAsia="仿宋" w:hAnsi="仿宋" w:cs="仿宋"/>
          <w:sz w:val="32"/>
          <w:szCs w:val="32"/>
        </w:rPr>
        <w:t>-DM1</w:t>
      </w:r>
      <w:r w:rsidRPr="00136FBE">
        <w:rPr>
          <w:rFonts w:ascii="仿宋" w:eastAsia="仿宋" w:hAnsi="仿宋" w:cs="仿宋" w:hint="eastAsia"/>
          <w:sz w:val="32"/>
          <w:szCs w:val="32"/>
        </w:rPr>
        <w:t>给药之前监测血小板计数：（1）如果计划治疗日时为2～3级（</w:t>
      </w:r>
      <w:r w:rsidRPr="00136FBE">
        <w:rPr>
          <w:rFonts w:ascii="仿宋" w:eastAsia="仿宋" w:hAnsi="仿宋" w:cs="仿宋" w:hint="eastAsia"/>
          <w:color w:val="000000"/>
          <w:sz w:val="32"/>
          <w:szCs w:val="32"/>
        </w:rPr>
        <w:t>2</w:t>
      </w:r>
      <w:r w:rsidRPr="00136FBE">
        <w:rPr>
          <w:rFonts w:ascii="仿宋" w:eastAsia="仿宋" w:hAnsi="仿宋" w:cs="仿宋"/>
          <w:color w:val="000000"/>
          <w:sz w:val="32"/>
          <w:szCs w:val="32"/>
        </w:rPr>
        <w:t>5.0</w:t>
      </w:r>
      <w:r w:rsidR="0031378F"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75.0</w:t>
      </w:r>
      <w:r w:rsidR="0031378F" w:rsidRPr="00136FBE">
        <w:rPr>
          <w:rFonts w:ascii="仿宋" w:eastAsia="仿宋" w:hAnsi="仿宋" w:cs="仿宋" w:hint="eastAsia"/>
          <w:color w:val="000000"/>
          <w:sz w:val="32"/>
          <w:szCs w:val="32"/>
        </w:rPr>
        <w:t>）</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sz w:val="32"/>
          <w:szCs w:val="32"/>
        </w:rPr>
        <w:t>，则应延迟至血小板计数恢复至≤1级（</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75.0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sz w:val="32"/>
          <w:szCs w:val="32"/>
        </w:rPr>
        <w:t>）后以相同剂</w:t>
      </w:r>
      <w:r w:rsidRPr="00136FBE">
        <w:rPr>
          <w:rFonts w:ascii="仿宋" w:eastAsia="仿宋" w:hAnsi="仿宋" w:cs="仿宋" w:hint="eastAsia"/>
          <w:sz w:val="32"/>
          <w:szCs w:val="32"/>
        </w:rPr>
        <w:lastRenderedPageBreak/>
        <w:t>量水平进行治疗。如果患者因血小板减少症需延迟2次给药，应考虑降低一个剂量水平进行治疗。（2）如果血小板降低达到4级（＜</w:t>
      </w:r>
      <w:r w:rsidRPr="00136FBE">
        <w:rPr>
          <w:rFonts w:ascii="仿宋" w:eastAsia="仿宋" w:hAnsi="仿宋" w:cs="仿宋" w:hint="eastAsia"/>
          <w:color w:val="000000"/>
          <w:sz w:val="32"/>
          <w:szCs w:val="32"/>
        </w:rPr>
        <w:t>2</w:t>
      </w:r>
      <w:r w:rsidRPr="00136FBE">
        <w:rPr>
          <w:rFonts w:ascii="仿宋" w:eastAsia="仿宋" w:hAnsi="仿宋" w:cs="仿宋"/>
          <w:color w:val="000000"/>
          <w:sz w:val="32"/>
          <w:szCs w:val="32"/>
        </w:rPr>
        <w:t>5.0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color w:val="000000"/>
          <w:sz w:val="32"/>
          <w:szCs w:val="32"/>
        </w:rPr>
        <w:t>）</w:t>
      </w:r>
      <w:r w:rsidRPr="00136FBE">
        <w:rPr>
          <w:rFonts w:ascii="仿宋" w:eastAsia="仿宋" w:hAnsi="仿宋" w:cs="仿宋" w:hint="eastAsia"/>
          <w:sz w:val="32"/>
          <w:szCs w:val="32"/>
        </w:rPr>
        <w:t>，则应延迟至血小板计数恢复至≤1级（≥</w:t>
      </w:r>
      <w:r w:rsidRPr="00136FBE">
        <w:rPr>
          <w:rFonts w:ascii="仿宋" w:eastAsia="仿宋" w:hAnsi="仿宋" w:cs="仿宋"/>
          <w:color w:val="000000"/>
          <w:sz w:val="32"/>
          <w:szCs w:val="32"/>
        </w:rPr>
        <w:t>75.0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sz w:val="32"/>
          <w:szCs w:val="32"/>
        </w:rPr>
        <w:t>）后降低一个剂量水平进行治疗。（3）对于出现血小板减少症（血小板计数＜</w:t>
      </w:r>
      <w:r w:rsidRPr="00136FBE">
        <w:rPr>
          <w:rFonts w:ascii="仿宋" w:eastAsia="仿宋" w:hAnsi="仿宋" w:cs="仿宋" w:hint="eastAsia"/>
          <w:color w:val="000000"/>
          <w:sz w:val="32"/>
          <w:szCs w:val="32"/>
        </w:rPr>
        <w:t>100</w:t>
      </w:r>
      <w:r w:rsidRPr="00136FBE">
        <w:rPr>
          <w:rFonts w:ascii="仿宋" w:eastAsia="仿宋" w:hAnsi="仿宋" w:cs="仿宋"/>
          <w:color w:val="000000"/>
          <w:sz w:val="32"/>
          <w:szCs w:val="32"/>
        </w:rPr>
        <w:t>.0</w:t>
      </w:r>
      <w:r w:rsidRPr="00136FBE">
        <w:rPr>
          <w:rFonts w:ascii="仿宋" w:eastAsia="仿宋" w:hAnsi="仿宋" w:cs="仿宋" w:hint="eastAsia"/>
          <w:color w:val="000000"/>
          <w:sz w:val="32"/>
          <w:szCs w:val="32"/>
        </w:rPr>
        <w:t>×</w:t>
      </w:r>
      <w:r w:rsidRPr="00136FBE">
        <w:rPr>
          <w:rFonts w:ascii="仿宋" w:eastAsia="仿宋" w:hAnsi="仿宋" w:cs="仿宋"/>
          <w:color w:val="000000"/>
          <w:sz w:val="32"/>
          <w:szCs w:val="32"/>
        </w:rPr>
        <w:t>10</w:t>
      </w:r>
      <w:r w:rsidRPr="00136FBE">
        <w:rPr>
          <w:rFonts w:ascii="仿宋" w:eastAsia="仿宋" w:hAnsi="仿宋" w:cs="仿宋"/>
          <w:color w:val="000000"/>
          <w:sz w:val="32"/>
          <w:szCs w:val="32"/>
          <w:vertAlign w:val="superscript"/>
        </w:rPr>
        <w:t>9</w:t>
      </w:r>
      <w:r w:rsidRPr="00136FBE">
        <w:rPr>
          <w:rFonts w:ascii="仿宋" w:eastAsia="仿宋" w:hAnsi="仿宋" w:cs="仿宋"/>
          <w:color w:val="000000"/>
          <w:sz w:val="32"/>
          <w:szCs w:val="32"/>
        </w:rPr>
        <w:t>/L</w:t>
      </w:r>
      <w:r w:rsidRPr="00136FBE">
        <w:rPr>
          <w:rFonts w:ascii="仿宋" w:eastAsia="仿宋" w:hAnsi="仿宋" w:cs="仿宋" w:hint="eastAsia"/>
          <w:sz w:val="32"/>
          <w:szCs w:val="32"/>
        </w:rPr>
        <w:t>）的患者和正在接受抗凝治疗的患者，在本品治疗期间，应该对其进行密切监测。（4）绝大多数血小板减少可以根据说明书进行暂停或减量及停药处理后恢复。经常规升血小板治疗后效果不佳时，应尽早请血液科专科医师会诊，必要时给予针对性的检查如骨髓穿刺、血小板生成素（TPO）抗体、血小板抗体检测等，明确可能的病因后给予对症处理。</w:t>
      </w:r>
    </w:p>
    <w:p w14:paraId="08927CEF"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6.两项国际多中心Ⅲ期临床研究结果提示：T</w:t>
      </w:r>
      <w:r w:rsidRPr="00136FBE">
        <w:rPr>
          <w:rFonts w:ascii="仿宋" w:eastAsia="仿宋" w:hAnsi="仿宋" w:cs="仿宋"/>
          <w:sz w:val="32"/>
          <w:szCs w:val="32"/>
        </w:rPr>
        <w:t>-DM1</w:t>
      </w:r>
      <w:r w:rsidRPr="00136FBE">
        <w:rPr>
          <w:rFonts w:ascii="仿宋" w:eastAsia="仿宋" w:hAnsi="仿宋" w:cs="仿宋" w:hint="eastAsia"/>
          <w:sz w:val="32"/>
          <w:szCs w:val="32"/>
        </w:rPr>
        <w:t>用于曲妥珠单抗治疗失败的HER2阳性晚期乳腺癌患者，对比拉帕替尼联合卡培他滨和医师选择的治疗方案均可显著延长患者的无进展生存期和总生存。T-DM1可作为HER2阳性晚期乳腺癌患者二线及后线的治疗选择。</w:t>
      </w:r>
    </w:p>
    <w:p w14:paraId="76CFA1FB" w14:textId="77777777" w:rsidR="00203011" w:rsidRPr="00136FBE" w:rsidRDefault="00747003" w:rsidP="00203011">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三</w:t>
      </w:r>
      <w:r w:rsidR="00203011" w:rsidRPr="00136FBE">
        <w:rPr>
          <w:rFonts w:ascii="黑体" w:eastAsia="黑体" w:hAnsi="黑体" w:hint="eastAsia"/>
          <w:color w:val="000000"/>
          <w:sz w:val="32"/>
          <w:szCs w:val="32"/>
        </w:rPr>
        <w:t xml:space="preserve">、帕妥珠单抗 </w:t>
      </w:r>
      <w:proofErr w:type="spellStart"/>
      <w:r w:rsidR="00F111D5" w:rsidRPr="00136FBE">
        <w:rPr>
          <w:rFonts w:ascii="黑体" w:eastAsia="黑体" w:hAnsi="黑体" w:hint="eastAsia"/>
          <w:color w:val="000000"/>
          <w:sz w:val="32"/>
          <w:szCs w:val="32"/>
        </w:rPr>
        <w:t>P</w:t>
      </w:r>
      <w:r w:rsidR="00203011" w:rsidRPr="00136FBE">
        <w:rPr>
          <w:rFonts w:ascii="黑体" w:eastAsia="黑体" w:hAnsi="黑体"/>
          <w:color w:val="000000"/>
          <w:sz w:val="32"/>
          <w:szCs w:val="32"/>
        </w:rPr>
        <w:t>ertuzumab</w:t>
      </w:r>
      <w:proofErr w:type="spellEnd"/>
    </w:p>
    <w:p w14:paraId="16860D20" w14:textId="77777777" w:rsidR="00203011" w:rsidRPr="00136FBE" w:rsidRDefault="00203011" w:rsidP="00203011">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注射液：420mg（14ml）/瓶</w:t>
      </w:r>
    </w:p>
    <w:p w14:paraId="2FB250AE" w14:textId="77777777" w:rsidR="00203011" w:rsidRPr="00136FBE" w:rsidRDefault="00203011" w:rsidP="00203011">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适应证：</w:t>
      </w:r>
    </w:p>
    <w:p w14:paraId="66CDE4B2"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1.乳腺癌辅助治疗：本品与曲妥珠单抗和化疗联合，用于高复发风险的HER2阳性早期乳腺癌患者的辅助治疗。帕妥珠单抗与曲妥珠单抗联合，还可与辅助内分泌治疗同时使</w:t>
      </w:r>
      <w:r w:rsidRPr="00136FBE">
        <w:rPr>
          <w:rFonts w:ascii="仿宋" w:eastAsia="仿宋" w:hAnsi="仿宋" w:hint="eastAsia"/>
          <w:color w:val="000000"/>
          <w:sz w:val="32"/>
          <w:szCs w:val="32"/>
        </w:rPr>
        <w:lastRenderedPageBreak/>
        <w:t>用。</w:t>
      </w:r>
    </w:p>
    <w:p w14:paraId="03CB776E"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2.乳腺癌新辅助治疗：本品与曲妥珠单抗和化疗联合，用于HER2阳性、局部晚期、炎性或早期乳腺癌患者（肿瘤直径＞2cm或淋巴结阳性）的新辅助治疗。</w:t>
      </w:r>
    </w:p>
    <w:p w14:paraId="2FB1669E"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复发转移性乳腺癌治疗：本品与曲妥珠单抗和紫杉类化疗药联合用于HER2阳性、转移性或不可切除的局部复发性乳腺癌患者。患者既往针对转移性疾病应未接受过抗HER2治疗，或既往辅助治疗阶段接受过抗HER2治疗，停止抗HER2治疗后一年以上复发转移的患者。</w:t>
      </w:r>
    </w:p>
    <w:p w14:paraId="43BA82F4" w14:textId="77777777" w:rsidR="00203011" w:rsidRPr="00136FBE" w:rsidRDefault="00203011" w:rsidP="00203011">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653EB663"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1.接受帕妥珠单抗治疗的患者病灶组织标本，应在有资质的病理实验室进行HER2检测，HER2阳性患者方可应用，HER2阳性的定义为IHC3+和/或FISH阳性。</w:t>
      </w:r>
    </w:p>
    <w:p w14:paraId="31E7D573"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帕妥珠单抗的推荐起始剂量为840mg，静脉输注60分钟，此后每3周给药一次，给药剂量为420mg，输注时间30～60分钟。在每次完成帕妥珠单抗输液后，建议观察30～60分钟。观察时间结束后方可给予后续曲妥珠单抗或化疗。</w:t>
      </w:r>
    </w:p>
    <w:p w14:paraId="25F45C52"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帕妥珠单抗和曲妥珠单抗必须序贯给药，但先后顺序均可。在与帕妥珠单抗联合使用时，曲妥珠单抗的使用建议采用每3周一次使用；对于接受紫杉类药物治疗的患者，帕妥珠单抗和曲妥珠单抗给药应先于紫杉类药物；对于接受蒽环类药物治疗的患者，帕妥珠单抗和曲妥珠单抗应在完成完</w:t>
      </w:r>
      <w:r w:rsidRPr="00136FBE">
        <w:rPr>
          <w:rFonts w:ascii="仿宋" w:eastAsia="仿宋" w:hAnsi="仿宋" w:hint="eastAsia"/>
          <w:color w:val="000000"/>
          <w:sz w:val="32"/>
          <w:szCs w:val="32"/>
        </w:rPr>
        <w:lastRenderedPageBreak/>
        <w:t>整蒽环类药物治疗方案后给予。</w:t>
      </w:r>
    </w:p>
    <w:p w14:paraId="2A866A77"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4.帕妥珠单抗稀释于250ml的0.9％氯化钠中，不得使用5%葡萄糖溶液稀释帕妥珠单抗，同时也不得与其他药物混合或稀释。配置好后应轻轻倒置输液袋以混合溶液，避免起泡。</w:t>
      </w:r>
    </w:p>
    <w:p w14:paraId="01AF254F"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用于术前新辅助治疗时，建议患者接受4～6个周期的含帕妥珠单抗联合治疗。用于辅助治疗时（手术后），作为早期乳腺癌完整治疗方案的一部分（包括标准的蒽环类和/或紫杉类化疗），帕妥珠单抗应与曲妥珠单抗联合使用，疗程一年。用于复发转移性乳腺癌治疗时，帕妥珠单抗与曲妥珠单抗和紫杉类化疗药物联合使用，直至出现疾病进展或不可控制的毒性，即使终止化疗后，帕妥珠单抗与曲妥珠单抗的治疗也可继续。</w:t>
      </w:r>
    </w:p>
    <w:p w14:paraId="37370584"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6.在首次接受帕妥珠单抗治疗之前评估LVEF，并在治疗期间予以定期评估（约4个周期见表</w:t>
      </w:r>
      <w:r w:rsidR="00AA755D">
        <w:rPr>
          <w:rFonts w:ascii="仿宋" w:eastAsia="仿宋" w:hAnsi="仿宋" w:hint="eastAsia"/>
          <w:color w:val="000000"/>
          <w:sz w:val="32"/>
          <w:szCs w:val="32"/>
        </w:rPr>
        <w:t>5</w:t>
      </w:r>
      <w:r w:rsidRPr="00136FBE">
        <w:rPr>
          <w:rFonts w:ascii="仿宋" w:eastAsia="仿宋" w:hAnsi="仿宋" w:hint="eastAsia"/>
          <w:color w:val="000000"/>
          <w:sz w:val="32"/>
          <w:szCs w:val="32"/>
        </w:rPr>
        <w:t>），以确保LVEF在正常范围内（＞50%）。如果LVEF下降并未改善，或者在后续评估中进一步下降，应考虑停用帕妥珠单抗及曲妥珠单抗。</w:t>
      </w:r>
    </w:p>
    <w:p w14:paraId="54DB6D2D" w14:textId="77777777" w:rsidR="00203011" w:rsidRPr="00136FBE" w:rsidRDefault="00203011" w:rsidP="00203011">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7.临床研究证实，HER2阳性复发转移性乳腺癌患者，在其他化疗药物或内分泌药物治疗时，联合帕妥珠单抗和曲妥珠单抗可进一步增加临床获益。</w:t>
      </w:r>
    </w:p>
    <w:p w14:paraId="00F82820" w14:textId="77777777" w:rsidR="00203011"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8</w:t>
      </w:r>
      <w:r w:rsidRPr="00136FBE">
        <w:rPr>
          <w:rFonts w:ascii="仿宋" w:eastAsia="仿宋" w:hAnsi="仿宋"/>
          <w:color w:val="000000"/>
          <w:sz w:val="32"/>
          <w:szCs w:val="32"/>
        </w:rPr>
        <w:t>.</w:t>
      </w:r>
      <w:r w:rsidRPr="00136FBE">
        <w:rPr>
          <w:rFonts w:ascii="仿宋" w:eastAsia="仿宋" w:hAnsi="仿宋" w:hint="eastAsia"/>
          <w:color w:val="000000"/>
          <w:sz w:val="32"/>
          <w:szCs w:val="32"/>
        </w:rPr>
        <w:t>帕妥珠单抗用于18岁以下儿童和青少年的安全性和有效性尚未确定。</w:t>
      </w:r>
    </w:p>
    <w:p w14:paraId="4B27FFC2" w14:textId="77777777" w:rsidR="000210CF" w:rsidRPr="00136FBE" w:rsidRDefault="000210CF" w:rsidP="000210CF">
      <w:pPr>
        <w:spacing w:line="360" w:lineRule="auto"/>
        <w:jc w:val="center"/>
        <w:rPr>
          <w:rFonts w:ascii="仿宋" w:eastAsia="仿宋" w:hAnsi="仿宋"/>
          <w:b/>
          <w:color w:val="000000"/>
        </w:rPr>
      </w:pPr>
      <w:r w:rsidRPr="00136FBE">
        <w:rPr>
          <w:rFonts w:ascii="仿宋" w:eastAsia="仿宋" w:hAnsi="仿宋" w:hint="eastAsia"/>
          <w:b/>
          <w:color w:val="000000"/>
        </w:rPr>
        <w:lastRenderedPageBreak/>
        <w:t>表</w:t>
      </w:r>
      <w:r>
        <w:rPr>
          <w:rFonts w:ascii="仿宋" w:eastAsia="仿宋" w:hAnsi="仿宋" w:hint="eastAsia"/>
          <w:b/>
          <w:color w:val="000000"/>
        </w:rPr>
        <w:t xml:space="preserve">5 </w:t>
      </w:r>
      <w:r w:rsidRPr="00136FBE">
        <w:rPr>
          <w:rFonts w:ascii="仿宋" w:eastAsia="仿宋" w:hAnsi="仿宋" w:hint="eastAsia"/>
          <w:b/>
          <w:color w:val="000000"/>
        </w:rPr>
        <w:t>左心室功能不全的帕妥珠单抗剂量推荐</w:t>
      </w:r>
    </w:p>
    <w:tbl>
      <w:tblPr>
        <w:tblW w:w="8362" w:type="dxa"/>
        <w:jc w:val="center"/>
        <w:tblLayout w:type="fixed"/>
        <w:tblCellMar>
          <w:top w:w="28" w:type="dxa"/>
          <w:left w:w="28" w:type="dxa"/>
          <w:bottom w:w="28" w:type="dxa"/>
          <w:right w:w="28" w:type="dxa"/>
        </w:tblCellMar>
        <w:tblLook w:val="04A0" w:firstRow="1" w:lastRow="0" w:firstColumn="1" w:lastColumn="0" w:noHBand="0" w:noVBand="1"/>
      </w:tblPr>
      <w:tblGrid>
        <w:gridCol w:w="1313"/>
        <w:gridCol w:w="1313"/>
        <w:gridCol w:w="1313"/>
        <w:gridCol w:w="1110"/>
        <w:gridCol w:w="1100"/>
        <w:gridCol w:w="10"/>
        <w:gridCol w:w="1101"/>
        <w:gridCol w:w="1102"/>
      </w:tblGrid>
      <w:tr w:rsidR="000210CF" w:rsidRPr="00136FBE" w14:paraId="37786BFF" w14:textId="77777777" w:rsidTr="00223D02">
        <w:trPr>
          <w:jc w:val="center"/>
        </w:trPr>
        <w:tc>
          <w:tcPr>
            <w:tcW w:w="1313" w:type="dxa"/>
            <w:tcBorders>
              <w:top w:val="single" w:sz="6" w:space="0" w:color="auto"/>
              <w:left w:val="single" w:sz="6" w:space="0" w:color="auto"/>
              <w:bottom w:val="single" w:sz="6" w:space="0" w:color="auto"/>
              <w:right w:val="single" w:sz="6" w:space="0" w:color="auto"/>
            </w:tcBorders>
          </w:tcPr>
          <w:p w14:paraId="588B8ECB" w14:textId="77777777" w:rsidR="000210CF" w:rsidRPr="00136FBE" w:rsidRDefault="000210CF" w:rsidP="00223D02">
            <w:pPr>
              <w:spacing w:line="360" w:lineRule="auto"/>
              <w:jc w:val="left"/>
              <w:rPr>
                <w:rFonts w:ascii="仿宋" w:eastAsia="仿宋" w:hAnsi="仿宋"/>
                <w:color w:val="000000"/>
              </w:rPr>
            </w:pPr>
            <w:bookmarkStart w:id="3" w:name="OLE_LINK93"/>
            <w:bookmarkStart w:id="4" w:name="OLE_LINK94"/>
          </w:p>
        </w:tc>
        <w:tc>
          <w:tcPr>
            <w:tcW w:w="1313" w:type="dxa"/>
            <w:tcBorders>
              <w:top w:val="single" w:sz="6" w:space="0" w:color="auto"/>
              <w:left w:val="single" w:sz="6" w:space="0" w:color="auto"/>
              <w:bottom w:val="single" w:sz="6" w:space="0" w:color="auto"/>
              <w:right w:val="single" w:sz="6" w:space="0" w:color="auto"/>
            </w:tcBorders>
          </w:tcPr>
          <w:p w14:paraId="7CF1D477" w14:textId="77777777" w:rsidR="000210CF" w:rsidRPr="00136FBE" w:rsidRDefault="000210CF" w:rsidP="00223D02">
            <w:pPr>
              <w:spacing w:line="360" w:lineRule="auto"/>
              <w:jc w:val="left"/>
              <w:rPr>
                <w:rFonts w:ascii="仿宋" w:eastAsia="仿宋" w:hAnsi="仿宋"/>
                <w:b/>
                <w:color w:val="000000"/>
              </w:rPr>
            </w:pPr>
            <w:r w:rsidRPr="00136FBE">
              <w:rPr>
                <w:rFonts w:ascii="仿宋" w:eastAsia="仿宋" w:hAnsi="仿宋" w:hint="eastAsia"/>
                <w:b/>
                <w:color w:val="000000"/>
              </w:rPr>
              <w:t>治疗前的LVEF：</w:t>
            </w:r>
          </w:p>
        </w:tc>
        <w:tc>
          <w:tcPr>
            <w:tcW w:w="1313" w:type="dxa"/>
            <w:tcBorders>
              <w:top w:val="single" w:sz="6" w:space="0" w:color="auto"/>
              <w:left w:val="single" w:sz="6" w:space="0" w:color="auto"/>
              <w:bottom w:val="single" w:sz="6" w:space="0" w:color="auto"/>
              <w:right w:val="single" w:sz="6" w:space="0" w:color="auto"/>
            </w:tcBorders>
          </w:tcPr>
          <w:p w14:paraId="6470C773" w14:textId="77777777" w:rsidR="000210CF" w:rsidRPr="00136FBE" w:rsidRDefault="000210CF" w:rsidP="00223D02">
            <w:pPr>
              <w:spacing w:line="360" w:lineRule="auto"/>
              <w:jc w:val="left"/>
              <w:rPr>
                <w:rFonts w:ascii="仿宋" w:eastAsia="仿宋" w:hAnsi="仿宋"/>
                <w:b/>
                <w:color w:val="000000"/>
              </w:rPr>
            </w:pPr>
            <w:r w:rsidRPr="00136FBE">
              <w:rPr>
                <w:rFonts w:ascii="仿宋" w:eastAsia="仿宋" w:hAnsi="仿宋" w:hint="eastAsia"/>
                <w:b/>
                <w:color w:val="000000"/>
              </w:rPr>
              <w:t>LVEF监测间隔：</w:t>
            </w:r>
          </w:p>
        </w:tc>
        <w:tc>
          <w:tcPr>
            <w:tcW w:w="2210" w:type="dxa"/>
            <w:gridSpan w:val="2"/>
            <w:tcBorders>
              <w:top w:val="single" w:sz="6" w:space="0" w:color="auto"/>
              <w:left w:val="single" w:sz="6" w:space="0" w:color="auto"/>
              <w:bottom w:val="single" w:sz="6" w:space="0" w:color="auto"/>
              <w:right w:val="single" w:sz="6" w:space="0" w:color="auto"/>
            </w:tcBorders>
          </w:tcPr>
          <w:p w14:paraId="55A0681C" w14:textId="77777777" w:rsidR="000210CF" w:rsidRPr="00136FBE" w:rsidRDefault="000210CF" w:rsidP="00223D02">
            <w:pPr>
              <w:spacing w:line="360" w:lineRule="auto"/>
              <w:jc w:val="left"/>
              <w:rPr>
                <w:rFonts w:ascii="仿宋" w:eastAsia="仿宋" w:hAnsi="仿宋"/>
                <w:b/>
                <w:color w:val="000000"/>
              </w:rPr>
            </w:pPr>
            <w:r w:rsidRPr="00136FBE">
              <w:rPr>
                <w:rFonts w:ascii="仿宋" w:eastAsia="仿宋" w:hAnsi="仿宋" w:hint="eastAsia"/>
                <w:b/>
                <w:color w:val="000000"/>
              </w:rPr>
              <w:t>当LVEF下降至以下水平，帕妥珠单抗和曲妥珠单抗至少暂停3周：</w:t>
            </w:r>
          </w:p>
        </w:tc>
        <w:tc>
          <w:tcPr>
            <w:tcW w:w="2213" w:type="dxa"/>
            <w:gridSpan w:val="3"/>
            <w:tcBorders>
              <w:top w:val="single" w:sz="6" w:space="0" w:color="auto"/>
              <w:left w:val="single" w:sz="6" w:space="0" w:color="auto"/>
              <w:bottom w:val="single" w:sz="6" w:space="0" w:color="auto"/>
              <w:right w:val="single" w:sz="6" w:space="0" w:color="auto"/>
            </w:tcBorders>
          </w:tcPr>
          <w:p w14:paraId="05C6D224" w14:textId="77777777" w:rsidR="000210CF" w:rsidRPr="00136FBE" w:rsidRDefault="000210CF" w:rsidP="00223D02">
            <w:pPr>
              <w:spacing w:line="360" w:lineRule="auto"/>
              <w:jc w:val="left"/>
              <w:rPr>
                <w:rFonts w:ascii="仿宋" w:eastAsia="仿宋" w:hAnsi="仿宋"/>
                <w:b/>
                <w:color w:val="000000"/>
              </w:rPr>
            </w:pPr>
            <w:r w:rsidRPr="00136FBE">
              <w:rPr>
                <w:rFonts w:ascii="仿宋" w:eastAsia="仿宋" w:hAnsi="仿宋" w:hint="eastAsia"/>
                <w:b/>
                <w:color w:val="000000"/>
              </w:rPr>
              <w:t>如果LVEF缓解至以下水平，则在3周后重新使用帕妥珠单抗和曲妥珠单抗：</w:t>
            </w:r>
          </w:p>
        </w:tc>
      </w:tr>
      <w:tr w:rsidR="000210CF" w:rsidRPr="00136FBE" w14:paraId="5A4BFA75" w14:textId="77777777" w:rsidTr="00223D02">
        <w:trPr>
          <w:trHeight w:val="325"/>
          <w:jc w:val="center"/>
        </w:trPr>
        <w:tc>
          <w:tcPr>
            <w:tcW w:w="1313" w:type="dxa"/>
            <w:tcBorders>
              <w:left w:val="single" w:sz="6" w:space="0" w:color="auto"/>
              <w:bottom w:val="single" w:sz="6" w:space="0" w:color="auto"/>
              <w:right w:val="single" w:sz="6" w:space="0" w:color="auto"/>
            </w:tcBorders>
          </w:tcPr>
          <w:p w14:paraId="21D3E2F7"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转移性乳腺癌</w:t>
            </w:r>
          </w:p>
        </w:tc>
        <w:tc>
          <w:tcPr>
            <w:tcW w:w="1313" w:type="dxa"/>
            <w:tcBorders>
              <w:left w:val="single" w:sz="6" w:space="0" w:color="auto"/>
              <w:bottom w:val="single" w:sz="6" w:space="0" w:color="auto"/>
              <w:right w:val="single" w:sz="6" w:space="0" w:color="auto"/>
            </w:tcBorders>
          </w:tcPr>
          <w:p w14:paraId="58B6E297"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≥50%</w:t>
            </w:r>
          </w:p>
        </w:tc>
        <w:tc>
          <w:tcPr>
            <w:tcW w:w="1313" w:type="dxa"/>
            <w:tcBorders>
              <w:left w:val="single" w:sz="6" w:space="0" w:color="auto"/>
              <w:bottom w:val="single" w:sz="6" w:space="0" w:color="auto"/>
              <w:right w:val="single" w:sz="6" w:space="0" w:color="auto"/>
            </w:tcBorders>
          </w:tcPr>
          <w:p w14:paraId="7B1F91EB"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约12周</w:t>
            </w:r>
          </w:p>
        </w:tc>
        <w:tc>
          <w:tcPr>
            <w:tcW w:w="1110" w:type="dxa"/>
            <w:tcBorders>
              <w:top w:val="single" w:sz="6" w:space="0" w:color="auto"/>
              <w:left w:val="single" w:sz="6" w:space="0" w:color="auto"/>
              <w:bottom w:val="single" w:sz="6" w:space="0" w:color="auto"/>
              <w:right w:val="single" w:sz="6" w:space="0" w:color="auto"/>
            </w:tcBorders>
          </w:tcPr>
          <w:p w14:paraId="052DE720"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＜40%或</w:t>
            </w:r>
          </w:p>
        </w:tc>
        <w:tc>
          <w:tcPr>
            <w:tcW w:w="1110" w:type="dxa"/>
            <w:gridSpan w:val="2"/>
            <w:tcBorders>
              <w:top w:val="single" w:sz="6" w:space="0" w:color="auto"/>
              <w:left w:val="single" w:sz="6" w:space="0" w:color="auto"/>
              <w:bottom w:val="single" w:sz="6" w:space="0" w:color="auto"/>
              <w:right w:val="single" w:sz="6" w:space="0" w:color="auto"/>
            </w:tcBorders>
          </w:tcPr>
          <w:p w14:paraId="4D0868C0"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40%～45%，与治疗前绝对数值相比降低了≥10%</w:t>
            </w:r>
          </w:p>
        </w:tc>
        <w:tc>
          <w:tcPr>
            <w:tcW w:w="1101" w:type="dxa"/>
            <w:tcBorders>
              <w:left w:val="single" w:sz="6" w:space="0" w:color="auto"/>
              <w:bottom w:val="single" w:sz="6" w:space="0" w:color="auto"/>
              <w:right w:val="single" w:sz="6" w:space="0" w:color="auto"/>
            </w:tcBorders>
          </w:tcPr>
          <w:p w14:paraId="56A77B72"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＞45%或</w:t>
            </w:r>
          </w:p>
        </w:tc>
        <w:tc>
          <w:tcPr>
            <w:tcW w:w="1102" w:type="dxa"/>
            <w:tcBorders>
              <w:left w:val="single" w:sz="6" w:space="0" w:color="auto"/>
              <w:bottom w:val="single" w:sz="6" w:space="0" w:color="auto"/>
              <w:right w:val="single" w:sz="6" w:space="0" w:color="auto"/>
            </w:tcBorders>
          </w:tcPr>
          <w:p w14:paraId="72379B41"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40%～45%，与治疗前绝对数值相比降低了＜10%</w:t>
            </w:r>
          </w:p>
        </w:tc>
      </w:tr>
      <w:tr w:rsidR="000210CF" w:rsidRPr="00136FBE" w14:paraId="3F170BE7" w14:textId="77777777" w:rsidTr="00223D02">
        <w:trPr>
          <w:jc w:val="center"/>
        </w:trPr>
        <w:tc>
          <w:tcPr>
            <w:tcW w:w="1313" w:type="dxa"/>
            <w:tcBorders>
              <w:top w:val="single" w:sz="6" w:space="0" w:color="auto"/>
              <w:left w:val="single" w:sz="6" w:space="0" w:color="auto"/>
              <w:bottom w:val="single" w:sz="6" w:space="0" w:color="auto"/>
              <w:right w:val="single" w:sz="6" w:space="0" w:color="auto"/>
            </w:tcBorders>
          </w:tcPr>
          <w:p w14:paraId="2FD43F6F"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早期乳腺癌</w:t>
            </w:r>
          </w:p>
        </w:tc>
        <w:tc>
          <w:tcPr>
            <w:tcW w:w="1313" w:type="dxa"/>
            <w:tcBorders>
              <w:top w:val="single" w:sz="6" w:space="0" w:color="auto"/>
              <w:left w:val="single" w:sz="6" w:space="0" w:color="auto"/>
              <w:bottom w:val="single" w:sz="6" w:space="0" w:color="auto"/>
              <w:right w:val="single" w:sz="6" w:space="0" w:color="auto"/>
            </w:tcBorders>
          </w:tcPr>
          <w:p w14:paraId="7C92527F"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≥55%</w:t>
            </w:r>
            <w:r w:rsidRPr="00136FBE">
              <w:rPr>
                <w:rFonts w:ascii="仿宋" w:eastAsia="仿宋" w:hAnsi="仿宋" w:hint="eastAsia"/>
                <w:color w:val="000000"/>
                <w:vertAlign w:val="superscript"/>
              </w:rPr>
              <w:t>*</w:t>
            </w:r>
          </w:p>
        </w:tc>
        <w:tc>
          <w:tcPr>
            <w:tcW w:w="1313" w:type="dxa"/>
            <w:tcBorders>
              <w:top w:val="single" w:sz="6" w:space="0" w:color="auto"/>
              <w:left w:val="single" w:sz="6" w:space="0" w:color="auto"/>
              <w:bottom w:val="single" w:sz="6" w:space="0" w:color="auto"/>
              <w:right w:val="single" w:sz="6" w:space="0" w:color="auto"/>
            </w:tcBorders>
          </w:tcPr>
          <w:p w14:paraId="1473D5CA"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约12周（在新辅助治疗期间监测一次）</w:t>
            </w:r>
          </w:p>
        </w:tc>
        <w:tc>
          <w:tcPr>
            <w:tcW w:w="2220" w:type="dxa"/>
            <w:gridSpan w:val="3"/>
            <w:tcBorders>
              <w:top w:val="single" w:sz="6" w:space="0" w:color="auto"/>
              <w:left w:val="single" w:sz="6" w:space="0" w:color="auto"/>
              <w:bottom w:val="single" w:sz="6" w:space="0" w:color="auto"/>
              <w:right w:val="single" w:sz="6" w:space="0" w:color="auto"/>
            </w:tcBorders>
          </w:tcPr>
          <w:p w14:paraId="3ADD5F67"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＜50%，且与治疗前绝对数值相比降低了≥10%</w:t>
            </w:r>
          </w:p>
        </w:tc>
        <w:tc>
          <w:tcPr>
            <w:tcW w:w="1101" w:type="dxa"/>
            <w:tcBorders>
              <w:top w:val="single" w:sz="6" w:space="0" w:color="auto"/>
              <w:left w:val="single" w:sz="6" w:space="0" w:color="auto"/>
              <w:bottom w:val="single" w:sz="6" w:space="0" w:color="auto"/>
              <w:right w:val="single" w:sz="6" w:space="0" w:color="auto"/>
            </w:tcBorders>
          </w:tcPr>
          <w:p w14:paraId="59A1D506"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≥50%或</w:t>
            </w:r>
          </w:p>
        </w:tc>
        <w:tc>
          <w:tcPr>
            <w:tcW w:w="1102" w:type="dxa"/>
            <w:tcBorders>
              <w:top w:val="single" w:sz="6" w:space="0" w:color="auto"/>
              <w:left w:val="single" w:sz="6" w:space="0" w:color="auto"/>
              <w:bottom w:val="single" w:sz="6" w:space="0" w:color="auto"/>
              <w:right w:val="single" w:sz="6" w:space="0" w:color="auto"/>
            </w:tcBorders>
          </w:tcPr>
          <w:p w14:paraId="30762285" w14:textId="77777777" w:rsidR="000210CF" w:rsidRPr="00136FBE" w:rsidRDefault="000210CF" w:rsidP="00223D02">
            <w:pPr>
              <w:spacing w:line="360" w:lineRule="auto"/>
              <w:jc w:val="left"/>
              <w:rPr>
                <w:rFonts w:ascii="仿宋" w:eastAsia="仿宋" w:hAnsi="仿宋"/>
                <w:color w:val="000000"/>
              </w:rPr>
            </w:pPr>
            <w:r w:rsidRPr="00136FBE">
              <w:rPr>
                <w:rFonts w:ascii="仿宋" w:eastAsia="仿宋" w:hAnsi="仿宋" w:hint="eastAsia"/>
                <w:color w:val="000000"/>
              </w:rPr>
              <w:t>与治疗前绝对数值相比降低了＜10%</w:t>
            </w:r>
          </w:p>
        </w:tc>
      </w:tr>
    </w:tbl>
    <w:bookmarkEnd w:id="3"/>
    <w:bookmarkEnd w:id="4"/>
    <w:p w14:paraId="7230709C" w14:textId="77777777" w:rsidR="000210CF" w:rsidRPr="00136FBE" w:rsidRDefault="000210CF" w:rsidP="000210CF">
      <w:pPr>
        <w:rPr>
          <w:rFonts w:ascii="仿宋" w:eastAsia="仿宋" w:hAnsi="仿宋"/>
          <w:color w:val="000000"/>
          <w:sz w:val="18"/>
          <w:szCs w:val="18"/>
        </w:rPr>
      </w:pPr>
      <w:r w:rsidRPr="00136FBE">
        <w:rPr>
          <w:rFonts w:ascii="仿宋" w:eastAsia="仿宋" w:hAnsi="仿宋" w:hint="eastAsia"/>
          <w:color w:val="000000"/>
          <w:sz w:val="18"/>
          <w:szCs w:val="18"/>
          <w:vertAlign w:val="superscript"/>
        </w:rPr>
        <w:t>*</w:t>
      </w:r>
      <w:r w:rsidRPr="00136FBE">
        <w:rPr>
          <w:rFonts w:ascii="仿宋" w:eastAsia="仿宋" w:hAnsi="仿宋" w:hint="eastAsia"/>
          <w:color w:val="000000"/>
          <w:sz w:val="18"/>
          <w:szCs w:val="18"/>
        </w:rPr>
        <w:t>对于接受蒽环类药物化疗的患者，在完成蒽环类药物化疗之后和在首次帕妥珠单抗和曲妥珠单抗之前，LVEF值需≥50％。</w:t>
      </w:r>
    </w:p>
    <w:p w14:paraId="475D0CC1" w14:textId="77777777" w:rsidR="00203011" w:rsidRPr="00136FBE" w:rsidRDefault="00203011" w:rsidP="00203011">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四、伊尼妥单抗</w:t>
      </w:r>
      <w:proofErr w:type="spellStart"/>
      <w:r w:rsidRPr="00136FBE">
        <w:rPr>
          <w:rFonts w:ascii="黑体" w:eastAsia="黑体" w:hAnsi="黑体" w:cs="黑体" w:hint="eastAsia"/>
          <w:sz w:val="32"/>
          <w:szCs w:val="32"/>
        </w:rPr>
        <w:t>Inetetamab</w:t>
      </w:r>
      <w:proofErr w:type="spellEnd"/>
    </w:p>
    <w:p w14:paraId="57BF1A29"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cs="黑体" w:hint="eastAsia"/>
          <w:b/>
          <w:sz w:val="32"/>
          <w:szCs w:val="32"/>
        </w:rPr>
        <w:t>制剂与规格：</w:t>
      </w:r>
      <w:r w:rsidRPr="00136FBE">
        <w:rPr>
          <w:rFonts w:ascii="仿宋" w:eastAsia="仿宋" w:hAnsi="仿宋" w:cs="仿宋" w:hint="eastAsia"/>
          <w:sz w:val="32"/>
          <w:szCs w:val="32"/>
        </w:rPr>
        <w:t>针剂：50mg/支</w:t>
      </w:r>
    </w:p>
    <w:p w14:paraId="595B6CC3"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cs="黑体" w:hint="eastAsia"/>
          <w:b/>
          <w:sz w:val="32"/>
          <w:szCs w:val="32"/>
        </w:rPr>
        <w:t>适应证：</w:t>
      </w:r>
      <w:r w:rsidRPr="00136FBE">
        <w:rPr>
          <w:rFonts w:ascii="仿宋" w:eastAsia="仿宋" w:hAnsi="仿宋" w:cs="仿宋" w:hint="eastAsia"/>
          <w:sz w:val="32"/>
          <w:szCs w:val="32"/>
        </w:rPr>
        <w:t>本品适用于HER2阳性，与长春瑞滨联合治疗已接受过1个或多个化疗方案的转移性乳腺癌患者。</w:t>
      </w:r>
    </w:p>
    <w:p w14:paraId="236854D3" w14:textId="77777777" w:rsidR="00203011" w:rsidRPr="00136FBE" w:rsidRDefault="00203011" w:rsidP="00203011">
      <w:pPr>
        <w:spacing w:line="360" w:lineRule="auto"/>
        <w:ind w:firstLineChars="200" w:firstLine="643"/>
        <w:rPr>
          <w:rFonts w:ascii="仿宋" w:eastAsia="仿宋" w:hAnsi="仿宋" w:cs="黑体"/>
          <w:b/>
          <w:sz w:val="32"/>
          <w:szCs w:val="32"/>
        </w:rPr>
      </w:pPr>
      <w:r w:rsidRPr="00136FBE">
        <w:rPr>
          <w:rFonts w:ascii="仿宋" w:eastAsia="仿宋" w:hAnsi="仿宋" w:cs="黑体" w:hint="eastAsia"/>
          <w:b/>
          <w:sz w:val="32"/>
          <w:szCs w:val="32"/>
        </w:rPr>
        <w:t>合理用药要点：</w:t>
      </w:r>
    </w:p>
    <w:p w14:paraId="748AF046"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w:t>
      </w:r>
      <w:r w:rsidRPr="00136FBE">
        <w:rPr>
          <w:rFonts w:ascii="仿宋" w:eastAsia="仿宋" w:hAnsi="仿宋" w:cs="仿宋"/>
          <w:sz w:val="32"/>
          <w:szCs w:val="32"/>
        </w:rPr>
        <w:t>.</w:t>
      </w:r>
      <w:r w:rsidRPr="00136FBE">
        <w:rPr>
          <w:rFonts w:ascii="仿宋" w:eastAsia="仿宋" w:hAnsi="仿宋" w:cs="仿宋" w:hint="eastAsia"/>
          <w:sz w:val="32"/>
          <w:szCs w:val="32"/>
        </w:rPr>
        <w:t>在接受伊尼妥单抗治疗前，应在有资质的病理实验室进行</w:t>
      </w:r>
      <w:r w:rsidRPr="00136FBE">
        <w:rPr>
          <w:rFonts w:ascii="仿宋" w:eastAsia="仿宋" w:hAnsi="仿宋" w:cs="仿宋"/>
          <w:sz w:val="32"/>
          <w:szCs w:val="32"/>
        </w:rPr>
        <w:t xml:space="preserve"> HER2 </w:t>
      </w:r>
      <w:r w:rsidRPr="00136FBE">
        <w:rPr>
          <w:rFonts w:ascii="仿宋" w:eastAsia="仿宋" w:hAnsi="仿宋" w:cs="仿宋" w:hint="eastAsia"/>
          <w:sz w:val="32"/>
          <w:szCs w:val="32"/>
        </w:rPr>
        <w:t>检测，</w:t>
      </w:r>
      <w:r w:rsidRPr="00136FBE">
        <w:rPr>
          <w:rFonts w:ascii="仿宋" w:eastAsia="仿宋" w:hAnsi="仿宋" w:cs="仿宋"/>
          <w:sz w:val="32"/>
          <w:szCs w:val="32"/>
        </w:rPr>
        <w:t xml:space="preserve">HER2 </w:t>
      </w:r>
      <w:r w:rsidRPr="00136FBE">
        <w:rPr>
          <w:rFonts w:ascii="仿宋" w:eastAsia="仿宋" w:hAnsi="仿宋" w:cs="仿宋" w:hint="eastAsia"/>
          <w:sz w:val="32"/>
          <w:szCs w:val="32"/>
        </w:rPr>
        <w:t>阳性患者方可应用伊尼妥单抗治疗。</w:t>
      </w:r>
    </w:p>
    <w:p w14:paraId="1130B487"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w:t>
      </w:r>
      <w:r w:rsidRPr="00136FBE">
        <w:rPr>
          <w:rFonts w:ascii="仿宋" w:eastAsia="仿宋" w:hAnsi="仿宋" w:cs="仿宋"/>
          <w:sz w:val="32"/>
          <w:szCs w:val="32"/>
        </w:rPr>
        <w:t>.</w:t>
      </w:r>
      <w:r w:rsidRPr="00136FBE">
        <w:rPr>
          <w:rFonts w:ascii="仿宋" w:eastAsia="仿宋" w:hAnsi="仿宋" w:cs="仿宋" w:hint="eastAsia"/>
          <w:sz w:val="32"/>
          <w:szCs w:val="32"/>
        </w:rPr>
        <w:t>伊尼妥单抗注册临床研究中使用了单周用药方案和三周用药方案。单周用药方案中伊尼妥单抗的推荐初始负荷剂量为</w:t>
      </w:r>
      <w:r w:rsidRPr="00136FBE">
        <w:rPr>
          <w:rFonts w:ascii="仿宋" w:eastAsia="仿宋" w:hAnsi="仿宋" w:cs="仿宋"/>
          <w:sz w:val="32"/>
          <w:szCs w:val="32"/>
        </w:rPr>
        <w:t>4mg/kg</w:t>
      </w:r>
      <w:r w:rsidRPr="00136FBE">
        <w:rPr>
          <w:rFonts w:ascii="仿宋" w:eastAsia="仿宋" w:hAnsi="仿宋" w:cs="仿宋" w:hint="eastAsia"/>
          <w:sz w:val="32"/>
          <w:szCs w:val="32"/>
        </w:rPr>
        <w:t>，静脉滴注</w:t>
      </w:r>
      <w:r w:rsidRPr="00136FBE">
        <w:rPr>
          <w:rFonts w:ascii="仿宋" w:eastAsia="仿宋" w:hAnsi="仿宋" w:cs="仿宋"/>
          <w:sz w:val="32"/>
          <w:szCs w:val="32"/>
        </w:rPr>
        <w:t>90</w:t>
      </w:r>
      <w:r w:rsidRPr="00136FBE">
        <w:rPr>
          <w:rFonts w:ascii="仿宋" w:eastAsia="仿宋" w:hAnsi="仿宋" w:cs="仿宋" w:hint="eastAsia"/>
          <w:sz w:val="32"/>
          <w:szCs w:val="32"/>
        </w:rPr>
        <w:t>分钟以上；维持剂量为</w:t>
      </w:r>
      <w:r w:rsidRPr="00136FBE">
        <w:rPr>
          <w:rFonts w:ascii="仿宋" w:eastAsia="仿宋" w:hAnsi="仿宋" w:cs="仿宋"/>
          <w:sz w:val="32"/>
          <w:szCs w:val="32"/>
        </w:rPr>
        <w:t>2mg/kg</w:t>
      </w:r>
      <w:r w:rsidRPr="00136FBE">
        <w:rPr>
          <w:rFonts w:ascii="仿宋" w:eastAsia="仿宋" w:hAnsi="仿宋" w:cs="仿宋" w:hint="eastAsia"/>
          <w:sz w:val="32"/>
          <w:szCs w:val="32"/>
        </w:rPr>
        <w:t>，</w:t>
      </w:r>
      <w:r w:rsidRPr="00136FBE">
        <w:rPr>
          <w:rFonts w:ascii="仿宋" w:eastAsia="仿宋" w:hAnsi="仿宋" w:cs="仿宋" w:hint="eastAsia"/>
          <w:sz w:val="32"/>
          <w:szCs w:val="32"/>
        </w:rPr>
        <w:lastRenderedPageBreak/>
        <w:t>每周</w:t>
      </w:r>
      <w:r w:rsidRPr="00136FBE">
        <w:rPr>
          <w:rFonts w:ascii="仿宋" w:eastAsia="仿宋" w:hAnsi="仿宋" w:cs="仿宋"/>
          <w:sz w:val="32"/>
          <w:szCs w:val="32"/>
        </w:rPr>
        <w:t>1</w:t>
      </w:r>
      <w:r w:rsidRPr="00136FBE">
        <w:rPr>
          <w:rFonts w:ascii="仿宋" w:eastAsia="仿宋" w:hAnsi="仿宋" w:cs="仿宋" w:hint="eastAsia"/>
          <w:sz w:val="32"/>
          <w:szCs w:val="32"/>
        </w:rPr>
        <w:t>次。三周用药方案中伊尼妥单抗的推荐初始负荷剂量为</w:t>
      </w:r>
      <w:r w:rsidRPr="00136FBE">
        <w:rPr>
          <w:rFonts w:ascii="仿宋" w:eastAsia="仿宋" w:hAnsi="仿宋" w:cs="仿宋"/>
          <w:sz w:val="32"/>
          <w:szCs w:val="32"/>
        </w:rPr>
        <w:t>8mg/kg</w:t>
      </w:r>
      <w:r w:rsidRPr="00136FBE">
        <w:rPr>
          <w:rFonts w:ascii="仿宋" w:eastAsia="仿宋" w:hAnsi="仿宋" w:cs="仿宋" w:hint="eastAsia"/>
          <w:sz w:val="32"/>
          <w:szCs w:val="32"/>
        </w:rPr>
        <w:t>，静脉滴注</w:t>
      </w:r>
      <w:r w:rsidRPr="00136FBE">
        <w:rPr>
          <w:rFonts w:ascii="仿宋" w:eastAsia="仿宋" w:hAnsi="仿宋" w:cs="仿宋"/>
          <w:sz w:val="32"/>
          <w:szCs w:val="32"/>
        </w:rPr>
        <w:t>90</w:t>
      </w:r>
      <w:r w:rsidRPr="00136FBE">
        <w:rPr>
          <w:rFonts w:ascii="仿宋" w:eastAsia="仿宋" w:hAnsi="仿宋" w:cs="仿宋" w:hint="eastAsia"/>
          <w:sz w:val="32"/>
          <w:szCs w:val="32"/>
        </w:rPr>
        <w:t>分钟以上；维持剂量为</w:t>
      </w:r>
      <w:r w:rsidRPr="00136FBE">
        <w:rPr>
          <w:rFonts w:ascii="仿宋" w:eastAsia="仿宋" w:hAnsi="仿宋" w:cs="仿宋"/>
          <w:sz w:val="32"/>
          <w:szCs w:val="32"/>
        </w:rPr>
        <w:t>6mg/kg</w:t>
      </w:r>
      <w:r w:rsidRPr="00136FBE">
        <w:rPr>
          <w:rFonts w:ascii="仿宋" w:eastAsia="仿宋" w:hAnsi="仿宋" w:cs="仿宋" w:hint="eastAsia"/>
          <w:sz w:val="32"/>
          <w:szCs w:val="32"/>
        </w:rPr>
        <w:t>，每</w:t>
      </w:r>
      <w:r w:rsidRPr="00136FBE">
        <w:rPr>
          <w:rFonts w:ascii="仿宋" w:eastAsia="仿宋" w:hAnsi="仿宋" w:cs="仿宋"/>
          <w:sz w:val="32"/>
          <w:szCs w:val="32"/>
        </w:rPr>
        <w:t>3</w:t>
      </w:r>
      <w:r w:rsidRPr="00136FBE">
        <w:rPr>
          <w:rFonts w:ascii="仿宋" w:eastAsia="仿宋" w:hAnsi="仿宋" w:cs="仿宋" w:hint="eastAsia"/>
          <w:sz w:val="32"/>
          <w:szCs w:val="32"/>
        </w:rPr>
        <w:t>周</w:t>
      </w:r>
      <w:r w:rsidRPr="00136FBE">
        <w:rPr>
          <w:rFonts w:ascii="仿宋" w:eastAsia="仿宋" w:hAnsi="仿宋" w:cs="仿宋"/>
          <w:sz w:val="32"/>
          <w:szCs w:val="32"/>
        </w:rPr>
        <w:t>1</w:t>
      </w:r>
      <w:r w:rsidRPr="00136FBE">
        <w:rPr>
          <w:rFonts w:ascii="仿宋" w:eastAsia="仿宋" w:hAnsi="仿宋" w:cs="仿宋" w:hint="eastAsia"/>
          <w:sz w:val="32"/>
          <w:szCs w:val="32"/>
        </w:rPr>
        <w:t>次。</w:t>
      </w:r>
    </w:p>
    <w:p w14:paraId="148A65B4"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w:t>
      </w:r>
      <w:r w:rsidRPr="00136FBE">
        <w:rPr>
          <w:rFonts w:ascii="仿宋" w:eastAsia="仿宋" w:hAnsi="仿宋" w:cs="仿宋"/>
          <w:sz w:val="32"/>
          <w:szCs w:val="32"/>
        </w:rPr>
        <w:t>.</w:t>
      </w:r>
      <w:r w:rsidRPr="00136FBE">
        <w:rPr>
          <w:rFonts w:ascii="仿宋" w:eastAsia="仿宋" w:hAnsi="仿宋" w:cs="仿宋" w:hint="eastAsia"/>
          <w:sz w:val="32"/>
          <w:szCs w:val="32"/>
        </w:rPr>
        <w:t>与蒽环类药物同期应用须慎重，可能增加</w:t>
      </w:r>
      <w:r w:rsidR="00F57B1B">
        <w:rPr>
          <w:rFonts w:ascii="仿宋" w:eastAsia="仿宋" w:hAnsi="仿宋" w:cs="仿宋" w:hint="eastAsia"/>
          <w:sz w:val="32"/>
          <w:szCs w:val="32"/>
        </w:rPr>
        <w:t>心脏毒性</w:t>
      </w:r>
      <w:r w:rsidRPr="00136FBE">
        <w:rPr>
          <w:rFonts w:ascii="仿宋" w:eastAsia="仿宋" w:hAnsi="仿宋" w:cs="仿宋" w:hint="eastAsia"/>
          <w:sz w:val="32"/>
          <w:szCs w:val="32"/>
        </w:rPr>
        <w:t>，严重者会发生心力衰竭，应序贯使用或分别使用。</w:t>
      </w:r>
    </w:p>
    <w:p w14:paraId="1C6C68E2"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w:t>
      </w:r>
      <w:r w:rsidRPr="00136FBE">
        <w:rPr>
          <w:rFonts w:ascii="仿宋" w:eastAsia="仿宋" w:hAnsi="仿宋" w:cs="仿宋"/>
          <w:sz w:val="32"/>
          <w:szCs w:val="32"/>
        </w:rPr>
        <w:t>.</w:t>
      </w:r>
      <w:r w:rsidRPr="00136FBE">
        <w:rPr>
          <w:rFonts w:ascii="仿宋" w:eastAsia="仿宋" w:hAnsi="仿宋" w:cs="仿宋" w:hint="eastAsia"/>
          <w:sz w:val="32"/>
          <w:szCs w:val="32"/>
        </w:rPr>
        <w:t>使用伊尼妥单抗治疗前，应进行病史、体检、心电图、超声心动图</w:t>
      </w:r>
      <w:r w:rsidRPr="00136FBE">
        <w:rPr>
          <w:rFonts w:ascii="仿宋" w:eastAsia="仿宋" w:hAnsi="仿宋" w:cs="仿宋"/>
          <w:sz w:val="32"/>
          <w:szCs w:val="32"/>
        </w:rPr>
        <w:t>LVEF</w:t>
      </w:r>
      <w:r w:rsidRPr="00136FBE">
        <w:rPr>
          <w:rFonts w:ascii="仿宋" w:eastAsia="仿宋" w:hAnsi="仿宋" w:cs="仿宋" w:hint="eastAsia"/>
          <w:sz w:val="32"/>
          <w:szCs w:val="32"/>
        </w:rPr>
        <w:t>基线评估，使用期间应每</w:t>
      </w:r>
      <w:r w:rsidRPr="00136FBE">
        <w:rPr>
          <w:rFonts w:ascii="仿宋" w:eastAsia="仿宋" w:hAnsi="仿宋" w:cs="仿宋"/>
          <w:sz w:val="32"/>
          <w:szCs w:val="32"/>
        </w:rPr>
        <w:t xml:space="preserve"> 3 </w:t>
      </w:r>
      <w:r w:rsidRPr="00136FBE">
        <w:rPr>
          <w:rFonts w:ascii="仿宋" w:eastAsia="仿宋" w:hAnsi="仿宋" w:cs="仿宋" w:hint="eastAsia"/>
          <w:sz w:val="32"/>
          <w:szCs w:val="32"/>
        </w:rPr>
        <w:t>个月监测</w:t>
      </w:r>
      <w:r w:rsidRPr="00136FBE">
        <w:rPr>
          <w:rFonts w:ascii="仿宋" w:eastAsia="仿宋" w:hAnsi="仿宋" w:cs="仿宋"/>
          <w:sz w:val="32"/>
          <w:szCs w:val="32"/>
        </w:rPr>
        <w:t xml:space="preserve"> LVEF</w:t>
      </w:r>
      <w:r w:rsidRPr="00136FBE">
        <w:rPr>
          <w:rFonts w:ascii="仿宋" w:eastAsia="仿宋" w:hAnsi="仿宋" w:cs="仿宋" w:hint="eastAsia"/>
          <w:sz w:val="32"/>
          <w:szCs w:val="32"/>
        </w:rPr>
        <w:t>。若</w:t>
      </w:r>
      <w:r w:rsidRPr="00136FBE">
        <w:rPr>
          <w:rFonts w:ascii="仿宋" w:eastAsia="仿宋" w:hAnsi="仿宋" w:cs="仿宋"/>
          <w:sz w:val="32"/>
          <w:szCs w:val="32"/>
        </w:rPr>
        <w:t>LVEF</w:t>
      </w:r>
      <w:r w:rsidRPr="00136FBE">
        <w:rPr>
          <w:rFonts w:ascii="仿宋" w:eastAsia="仿宋" w:hAnsi="仿宋" w:cs="仿宋" w:hint="eastAsia"/>
          <w:sz w:val="32"/>
          <w:szCs w:val="32"/>
        </w:rPr>
        <w:t>值相对基线下降</w:t>
      </w:r>
      <w:r w:rsidRPr="00136FBE">
        <w:rPr>
          <w:rFonts w:ascii="仿宋" w:eastAsia="仿宋" w:hAnsi="仿宋" w:cs="仿宋"/>
          <w:sz w:val="32"/>
          <w:szCs w:val="32"/>
        </w:rPr>
        <w:t>＞10%</w:t>
      </w:r>
      <w:r w:rsidRPr="00136FBE">
        <w:rPr>
          <w:rFonts w:ascii="仿宋" w:eastAsia="仿宋" w:hAnsi="仿宋" w:cs="仿宋" w:hint="eastAsia"/>
          <w:sz w:val="32"/>
          <w:szCs w:val="32"/>
        </w:rPr>
        <w:t>，并且下降至</w:t>
      </w:r>
      <w:r w:rsidRPr="00136FBE">
        <w:rPr>
          <w:rFonts w:ascii="仿宋" w:eastAsia="仿宋" w:hAnsi="仿宋" w:cs="仿宋"/>
          <w:sz w:val="32"/>
          <w:szCs w:val="32"/>
        </w:rPr>
        <w:t>50%</w:t>
      </w:r>
      <w:r w:rsidRPr="00136FBE">
        <w:rPr>
          <w:rFonts w:ascii="仿宋" w:eastAsia="仿宋" w:hAnsi="仿宋" w:cs="仿宋" w:hint="eastAsia"/>
          <w:sz w:val="32"/>
          <w:szCs w:val="32"/>
        </w:rPr>
        <w:t>以下，则应暂停使用伊尼妥单抗，并在约</w:t>
      </w:r>
      <w:r w:rsidRPr="00136FBE">
        <w:rPr>
          <w:rFonts w:ascii="仿宋" w:eastAsia="仿宋" w:hAnsi="仿宋" w:cs="仿宋"/>
          <w:sz w:val="32"/>
          <w:szCs w:val="32"/>
        </w:rPr>
        <w:t>3</w:t>
      </w:r>
      <w:r w:rsidRPr="00136FBE">
        <w:rPr>
          <w:rFonts w:ascii="仿宋" w:eastAsia="仿宋" w:hAnsi="仿宋" w:cs="仿宋" w:hint="eastAsia"/>
          <w:sz w:val="32"/>
          <w:szCs w:val="32"/>
        </w:rPr>
        <w:t>周内重复评估</w:t>
      </w:r>
      <w:r w:rsidRPr="00136FBE">
        <w:rPr>
          <w:rFonts w:ascii="仿宋" w:eastAsia="仿宋" w:hAnsi="仿宋" w:cs="仿宋"/>
          <w:sz w:val="32"/>
          <w:szCs w:val="32"/>
        </w:rPr>
        <w:t>LVEF</w:t>
      </w:r>
      <w:r w:rsidRPr="00136FBE">
        <w:rPr>
          <w:rFonts w:ascii="仿宋" w:eastAsia="仿宋" w:hAnsi="仿宋" w:cs="仿宋" w:hint="eastAsia"/>
          <w:sz w:val="32"/>
          <w:szCs w:val="32"/>
        </w:rPr>
        <w:t>。若</w:t>
      </w:r>
      <w:r w:rsidRPr="00136FBE">
        <w:rPr>
          <w:rFonts w:ascii="仿宋" w:eastAsia="仿宋" w:hAnsi="仿宋" w:cs="仿宋"/>
          <w:sz w:val="32"/>
          <w:szCs w:val="32"/>
        </w:rPr>
        <w:t>LVEF</w:t>
      </w:r>
      <w:r w:rsidRPr="00136FBE">
        <w:rPr>
          <w:rFonts w:ascii="仿宋" w:eastAsia="仿宋" w:hAnsi="仿宋" w:cs="仿宋" w:hint="eastAsia"/>
          <w:sz w:val="32"/>
          <w:szCs w:val="32"/>
        </w:rPr>
        <w:t>无改善或进一步下降，或出现有临床意义的充血性心力衰竭，则强烈建议终止伊尼妥单抗用药。对于发生无症状心功能不全的患者，应频繁监测（如每</w:t>
      </w:r>
      <w:r w:rsidRPr="00136FBE">
        <w:rPr>
          <w:rFonts w:ascii="仿宋" w:eastAsia="仿宋" w:hAnsi="仿宋" w:cs="仿宋"/>
          <w:sz w:val="32"/>
          <w:szCs w:val="32"/>
        </w:rPr>
        <w:t>6</w:t>
      </w:r>
      <w:r w:rsidRPr="00136FBE">
        <w:rPr>
          <w:rFonts w:ascii="仿宋" w:eastAsia="仿宋" w:hAnsi="仿宋" w:cs="仿宋" w:hint="eastAsia"/>
          <w:sz w:val="32"/>
          <w:szCs w:val="32"/>
        </w:rPr>
        <w:t>～</w:t>
      </w:r>
      <w:r w:rsidRPr="00136FBE">
        <w:rPr>
          <w:rFonts w:ascii="仿宋" w:eastAsia="仿宋" w:hAnsi="仿宋" w:cs="仿宋"/>
          <w:sz w:val="32"/>
          <w:szCs w:val="32"/>
        </w:rPr>
        <w:t>8</w:t>
      </w:r>
      <w:r w:rsidRPr="00136FBE">
        <w:rPr>
          <w:rFonts w:ascii="仿宋" w:eastAsia="仿宋" w:hAnsi="仿宋" w:cs="仿宋" w:hint="eastAsia"/>
          <w:sz w:val="32"/>
          <w:szCs w:val="32"/>
        </w:rPr>
        <w:t>周一次）。</w:t>
      </w:r>
    </w:p>
    <w:p w14:paraId="06006C50"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5</w:t>
      </w:r>
      <w:r w:rsidRPr="00136FBE">
        <w:rPr>
          <w:rFonts w:ascii="仿宋" w:eastAsia="仿宋" w:hAnsi="仿宋" w:cs="仿宋"/>
          <w:sz w:val="32"/>
          <w:szCs w:val="32"/>
        </w:rPr>
        <w:t>.</w:t>
      </w:r>
      <w:r w:rsidRPr="00136FBE">
        <w:rPr>
          <w:rFonts w:ascii="仿宋" w:eastAsia="仿宋" w:hAnsi="仿宋" w:cs="仿宋" w:hint="eastAsia"/>
          <w:sz w:val="32"/>
          <w:szCs w:val="32"/>
        </w:rPr>
        <w:t>不推荐合并有以下疾病的患者使用本品：（</w:t>
      </w:r>
      <w:r w:rsidRPr="00136FBE">
        <w:rPr>
          <w:rFonts w:ascii="仿宋" w:eastAsia="仿宋" w:hAnsi="仿宋" w:cs="仿宋"/>
          <w:sz w:val="32"/>
          <w:szCs w:val="32"/>
        </w:rPr>
        <w:t>1</w:t>
      </w:r>
      <w:r w:rsidRPr="00136FBE">
        <w:rPr>
          <w:rFonts w:ascii="仿宋" w:eastAsia="仿宋" w:hAnsi="仿宋" w:cs="仿宋" w:hint="eastAsia"/>
          <w:sz w:val="32"/>
          <w:szCs w:val="32"/>
        </w:rPr>
        <w:t>）充血性心力衰竭。（</w:t>
      </w:r>
      <w:r w:rsidRPr="00136FBE">
        <w:rPr>
          <w:rFonts w:ascii="仿宋" w:eastAsia="仿宋" w:hAnsi="仿宋" w:cs="仿宋"/>
          <w:sz w:val="32"/>
          <w:szCs w:val="32"/>
        </w:rPr>
        <w:t>2</w:t>
      </w:r>
      <w:r w:rsidRPr="00136FBE">
        <w:rPr>
          <w:rFonts w:ascii="仿宋" w:eastAsia="仿宋" w:hAnsi="仿宋" w:cs="仿宋" w:hint="eastAsia"/>
          <w:sz w:val="32"/>
          <w:szCs w:val="32"/>
        </w:rPr>
        <w:t>）高危、未控制心律失常。（</w:t>
      </w:r>
      <w:r w:rsidRPr="00136FBE">
        <w:rPr>
          <w:rFonts w:ascii="仿宋" w:eastAsia="仿宋" w:hAnsi="仿宋" w:cs="仿宋"/>
          <w:sz w:val="32"/>
          <w:szCs w:val="32"/>
        </w:rPr>
        <w:t>3</w:t>
      </w:r>
      <w:r w:rsidRPr="00136FBE">
        <w:rPr>
          <w:rFonts w:ascii="仿宋" w:eastAsia="仿宋" w:hAnsi="仿宋" w:cs="仿宋" w:hint="eastAsia"/>
          <w:sz w:val="32"/>
          <w:szCs w:val="32"/>
        </w:rPr>
        <w:t>）需要药物治疗的心绞痛。（</w:t>
      </w:r>
      <w:r w:rsidRPr="00136FBE">
        <w:rPr>
          <w:rFonts w:ascii="仿宋" w:eastAsia="仿宋" w:hAnsi="仿宋" w:cs="仿宋"/>
          <w:sz w:val="32"/>
          <w:szCs w:val="32"/>
        </w:rPr>
        <w:t>4</w:t>
      </w:r>
      <w:r w:rsidRPr="00136FBE">
        <w:rPr>
          <w:rFonts w:ascii="仿宋" w:eastAsia="仿宋" w:hAnsi="仿宋" w:cs="仿宋" w:hint="eastAsia"/>
          <w:sz w:val="32"/>
          <w:szCs w:val="32"/>
        </w:rPr>
        <w:t>）有临床意义的心瓣膜疾病。（</w:t>
      </w:r>
      <w:r w:rsidRPr="00136FBE">
        <w:rPr>
          <w:rFonts w:ascii="仿宋" w:eastAsia="仿宋" w:hAnsi="仿宋" w:cs="仿宋"/>
          <w:sz w:val="32"/>
          <w:szCs w:val="32"/>
        </w:rPr>
        <w:t>5</w:t>
      </w:r>
      <w:r w:rsidRPr="00136FBE">
        <w:rPr>
          <w:rFonts w:ascii="仿宋" w:eastAsia="仿宋" w:hAnsi="仿宋" w:cs="仿宋" w:hint="eastAsia"/>
          <w:sz w:val="32"/>
          <w:szCs w:val="32"/>
        </w:rPr>
        <w:t>）心电图提示透壁性心肌梗死。（</w:t>
      </w:r>
      <w:r w:rsidRPr="00136FBE">
        <w:rPr>
          <w:rFonts w:ascii="仿宋" w:eastAsia="仿宋" w:hAnsi="仿宋" w:cs="仿宋"/>
          <w:sz w:val="32"/>
          <w:szCs w:val="32"/>
        </w:rPr>
        <w:t>6</w:t>
      </w:r>
      <w:r w:rsidRPr="00136FBE">
        <w:rPr>
          <w:rFonts w:ascii="仿宋" w:eastAsia="仿宋" w:hAnsi="仿宋" w:cs="仿宋" w:hint="eastAsia"/>
          <w:sz w:val="32"/>
          <w:szCs w:val="32"/>
        </w:rPr>
        <w:t>）控制不佳的高血压。</w:t>
      </w:r>
    </w:p>
    <w:p w14:paraId="5947F41B"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w:t>
      </w:r>
      <w:r w:rsidRPr="00136FBE">
        <w:rPr>
          <w:rFonts w:ascii="仿宋" w:eastAsia="仿宋" w:hAnsi="仿宋" w:cs="仿宋"/>
          <w:sz w:val="32"/>
          <w:szCs w:val="32"/>
        </w:rPr>
        <w:t>.</w:t>
      </w:r>
      <w:r w:rsidRPr="00136FBE">
        <w:rPr>
          <w:rFonts w:ascii="仿宋" w:eastAsia="仿宋" w:hAnsi="仿宋" w:cs="仿宋" w:hint="eastAsia"/>
          <w:sz w:val="32"/>
          <w:szCs w:val="32"/>
        </w:rPr>
        <w:t>使用伊尼妥单抗发生呼吸困难或者临床显著的低血压时应中断输注，同时给予相应药物治疗，包括肾上腺素、糖皮质激素、苯海拉明、支气管扩张剂和氧气等。发生严重和危及生命的输注相关反应的患者应永久停止使用。</w:t>
      </w:r>
    </w:p>
    <w:p w14:paraId="386C8EBE"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sz w:val="32"/>
          <w:szCs w:val="32"/>
        </w:rPr>
        <w:t>7.</w:t>
      </w:r>
      <w:bookmarkStart w:id="5" w:name="_Hlk44948457"/>
      <w:r w:rsidRPr="00136FBE">
        <w:rPr>
          <w:rFonts w:ascii="仿宋" w:eastAsia="仿宋" w:hAnsi="仿宋" w:cs="仿宋" w:hint="eastAsia"/>
          <w:sz w:val="32"/>
          <w:szCs w:val="32"/>
        </w:rPr>
        <w:t>伊尼妥单抗注册临床研究数据显示，伊尼妥单抗联合长春瑞滨治疗既往接受过</w:t>
      </w:r>
      <w:r w:rsidRPr="00136FBE">
        <w:rPr>
          <w:rFonts w:ascii="仿宋" w:eastAsia="仿宋" w:hAnsi="仿宋" w:cs="仿宋"/>
          <w:sz w:val="32"/>
          <w:szCs w:val="32"/>
        </w:rPr>
        <w:t>1</w:t>
      </w:r>
      <w:r w:rsidRPr="00136FBE">
        <w:rPr>
          <w:rFonts w:ascii="仿宋" w:eastAsia="仿宋" w:hAnsi="仿宋" w:cs="仿宋" w:hint="eastAsia"/>
          <w:sz w:val="32"/>
          <w:szCs w:val="32"/>
        </w:rPr>
        <w:t>个或多个化疗方案的</w:t>
      </w:r>
      <w:r w:rsidRPr="00136FBE">
        <w:rPr>
          <w:rFonts w:ascii="仿宋" w:eastAsia="仿宋" w:hAnsi="仿宋" w:cs="仿宋"/>
          <w:sz w:val="32"/>
          <w:szCs w:val="32"/>
        </w:rPr>
        <w:t xml:space="preserve">HER2 </w:t>
      </w:r>
      <w:r w:rsidRPr="00136FBE">
        <w:rPr>
          <w:rFonts w:ascii="仿宋" w:eastAsia="仿宋" w:hAnsi="仿宋" w:cs="仿宋" w:hint="eastAsia"/>
          <w:sz w:val="32"/>
          <w:szCs w:val="32"/>
        </w:rPr>
        <w:t>阳性</w:t>
      </w:r>
      <w:r w:rsidRPr="00136FBE">
        <w:rPr>
          <w:rFonts w:ascii="仿宋" w:eastAsia="仿宋" w:hAnsi="仿宋" w:cs="仿宋" w:hint="eastAsia"/>
          <w:sz w:val="32"/>
          <w:szCs w:val="32"/>
        </w:rPr>
        <w:lastRenderedPageBreak/>
        <w:t>转移性乳腺癌患者，对比长春瑞滨可显著延长中位</w:t>
      </w:r>
      <w:r w:rsidRPr="00136FBE">
        <w:rPr>
          <w:rFonts w:ascii="仿宋" w:eastAsia="仿宋" w:hAnsi="仿宋" w:cs="仿宋"/>
          <w:sz w:val="32"/>
          <w:szCs w:val="32"/>
        </w:rPr>
        <w:t>PFS</w:t>
      </w:r>
      <w:r w:rsidRPr="00136FBE">
        <w:rPr>
          <w:rFonts w:ascii="仿宋" w:eastAsia="仿宋" w:hAnsi="仿宋" w:cs="仿宋" w:hint="eastAsia"/>
          <w:sz w:val="32"/>
          <w:szCs w:val="32"/>
        </w:rPr>
        <w:t>（</w:t>
      </w:r>
      <w:r w:rsidRPr="00136FBE">
        <w:rPr>
          <w:rFonts w:ascii="仿宋" w:eastAsia="仿宋" w:hAnsi="仿宋" w:cs="仿宋"/>
          <w:sz w:val="32"/>
          <w:szCs w:val="32"/>
        </w:rPr>
        <w:t>39.1</w:t>
      </w:r>
      <w:r w:rsidRPr="00136FBE">
        <w:rPr>
          <w:rFonts w:ascii="仿宋" w:eastAsia="仿宋" w:hAnsi="仿宋" w:cs="仿宋" w:hint="eastAsia"/>
          <w:sz w:val="32"/>
          <w:szCs w:val="32"/>
        </w:rPr>
        <w:t>周</w:t>
      </w:r>
      <w:r w:rsidRPr="00136FBE">
        <w:rPr>
          <w:rFonts w:ascii="仿宋" w:eastAsia="仿宋" w:hAnsi="仿宋" w:cs="仿宋"/>
          <w:i/>
          <w:iCs/>
          <w:sz w:val="32"/>
          <w:szCs w:val="32"/>
        </w:rPr>
        <w:t>vs</w:t>
      </w:r>
      <w:r w:rsidRPr="00136FBE">
        <w:rPr>
          <w:rFonts w:ascii="仿宋" w:eastAsia="仿宋" w:hAnsi="仿宋" w:cs="仿宋"/>
          <w:sz w:val="32"/>
          <w:szCs w:val="32"/>
        </w:rPr>
        <w:t>14.0</w:t>
      </w:r>
      <w:r w:rsidRPr="00136FBE">
        <w:rPr>
          <w:rFonts w:ascii="仿宋" w:eastAsia="仿宋" w:hAnsi="仿宋" w:cs="仿宋" w:hint="eastAsia"/>
          <w:sz w:val="32"/>
          <w:szCs w:val="32"/>
        </w:rPr>
        <w:t>周，</w:t>
      </w:r>
      <w:r w:rsidRPr="00136FBE">
        <w:rPr>
          <w:rFonts w:ascii="仿宋" w:eastAsia="仿宋" w:hAnsi="仿宋" w:cs="仿宋"/>
          <w:sz w:val="32"/>
          <w:szCs w:val="32"/>
        </w:rPr>
        <w:t xml:space="preserve">HR＝0.24， </w:t>
      </w:r>
      <w:r w:rsidRPr="00136FBE">
        <w:rPr>
          <w:rFonts w:ascii="仿宋" w:eastAsia="仿宋" w:hAnsi="仿宋" w:cs="仿宋"/>
          <w:i/>
          <w:iCs/>
          <w:sz w:val="32"/>
          <w:szCs w:val="32"/>
        </w:rPr>
        <w:t>p</w:t>
      </w:r>
      <w:r w:rsidRPr="00136FBE">
        <w:rPr>
          <w:rFonts w:ascii="仿宋" w:eastAsia="仿宋" w:hAnsi="仿宋" w:cs="仿宋"/>
          <w:sz w:val="32"/>
          <w:szCs w:val="32"/>
        </w:rPr>
        <w:t>＜0.0001</w:t>
      </w:r>
      <w:r w:rsidRPr="00136FBE">
        <w:rPr>
          <w:rFonts w:ascii="仿宋" w:eastAsia="仿宋" w:hAnsi="仿宋" w:cs="仿宋" w:hint="eastAsia"/>
          <w:sz w:val="32"/>
          <w:szCs w:val="32"/>
        </w:rPr>
        <w:t>），使得患者临床获益。</w:t>
      </w:r>
    </w:p>
    <w:bookmarkEnd w:id="5"/>
    <w:p w14:paraId="37ACEE2F" w14:textId="77777777" w:rsidR="00B23A40" w:rsidRPr="00136FBE" w:rsidRDefault="00203011">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五</w:t>
      </w:r>
      <w:r w:rsidR="00DD1A0D" w:rsidRPr="00136FBE">
        <w:rPr>
          <w:rFonts w:ascii="黑体" w:eastAsia="黑体" w:hAnsi="黑体" w:cs="黑体" w:hint="eastAsia"/>
          <w:sz w:val="32"/>
          <w:szCs w:val="32"/>
        </w:rPr>
        <w:t xml:space="preserve">、拉帕替尼 </w:t>
      </w:r>
      <w:r w:rsidR="008C7D59">
        <w:rPr>
          <w:rFonts w:ascii="黑体" w:eastAsia="黑体" w:hAnsi="黑体" w:cs="黑体" w:hint="eastAsia"/>
          <w:sz w:val="32"/>
          <w:szCs w:val="32"/>
        </w:rPr>
        <w:t>L</w:t>
      </w:r>
      <w:r w:rsidR="00DD1A0D" w:rsidRPr="00136FBE">
        <w:rPr>
          <w:rFonts w:ascii="黑体" w:eastAsia="黑体" w:hAnsi="黑体" w:cs="黑体"/>
          <w:sz w:val="32"/>
          <w:szCs w:val="32"/>
        </w:rPr>
        <w:t>apatinib</w:t>
      </w:r>
    </w:p>
    <w:p w14:paraId="003A4EC7"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 xml:space="preserve">0.25g </w:t>
      </w:r>
    </w:p>
    <w:p w14:paraId="57ECE9A1" w14:textId="77777777" w:rsidR="00B23A40" w:rsidRPr="00136FBE" w:rsidRDefault="00DD1A0D">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拉帕替尼与卡培他滨联用，适用于</w:t>
      </w:r>
      <w:r w:rsidRPr="00136FBE">
        <w:rPr>
          <w:rFonts w:ascii="仿宋" w:eastAsia="仿宋" w:hAnsi="仿宋" w:cs="仿宋"/>
          <w:sz w:val="32"/>
          <w:szCs w:val="32"/>
        </w:rPr>
        <w:t>HER2</w:t>
      </w:r>
      <w:r w:rsidRPr="00136FBE">
        <w:rPr>
          <w:rFonts w:ascii="仿宋" w:eastAsia="仿宋" w:hAnsi="仿宋" w:cs="仿宋" w:hint="eastAsia"/>
          <w:sz w:val="32"/>
          <w:szCs w:val="32"/>
        </w:rPr>
        <w:t>过表达且既往接受过包括蒽环类、紫杉类和曲妥珠单抗治疗的晚期或者转移性乳腺癌患者的治疗。</w:t>
      </w:r>
    </w:p>
    <w:p w14:paraId="36CBAE51"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3EEB1FB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考虑使用本药的患者需进行组织标本（原发灶或转移灶）的</w:t>
      </w:r>
      <w:r w:rsidRPr="00136FBE">
        <w:rPr>
          <w:rFonts w:ascii="仿宋" w:eastAsia="仿宋" w:hAnsi="仿宋" w:cs="仿宋"/>
          <w:sz w:val="32"/>
          <w:szCs w:val="32"/>
        </w:rPr>
        <w:t>HER2</w:t>
      </w:r>
      <w:r w:rsidRPr="00136FBE">
        <w:rPr>
          <w:rFonts w:ascii="仿宋" w:eastAsia="仿宋" w:hAnsi="仿宋" w:cs="仿宋" w:hint="eastAsia"/>
          <w:sz w:val="32"/>
          <w:szCs w:val="32"/>
        </w:rPr>
        <w:t>检测，无论是原发灶还是转移灶，</w:t>
      </w:r>
      <w:r w:rsidR="000F29B8" w:rsidRPr="00136FBE">
        <w:rPr>
          <w:rFonts w:ascii="仿宋" w:eastAsia="仿宋" w:hAnsi="仿宋" w:hint="eastAsia"/>
          <w:color w:val="000000"/>
          <w:sz w:val="32"/>
          <w:szCs w:val="32"/>
        </w:rPr>
        <w:t>HER2阳性患者方可应用，HER2阳性的定义为IHC3+和/或FISH阳性。</w:t>
      </w:r>
    </w:p>
    <w:p w14:paraId="5D2C4B2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仅适用于复发转移患者，原则上不推荐一线使用，除非是患者有曲妥珠单抗的禁忌证或参加新药临床试验。</w:t>
      </w:r>
    </w:p>
    <w:p w14:paraId="074B0BCE"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本品单独使用时每次</w:t>
      </w:r>
      <w:r w:rsidRPr="00136FBE">
        <w:rPr>
          <w:rFonts w:ascii="仿宋" w:eastAsia="仿宋" w:hAnsi="仿宋" w:cs="仿宋"/>
          <w:sz w:val="32"/>
          <w:szCs w:val="32"/>
        </w:rPr>
        <w:t>1.25g</w:t>
      </w:r>
      <w:r w:rsidRPr="00136FBE">
        <w:rPr>
          <w:rFonts w:ascii="仿宋" w:eastAsia="仿宋" w:hAnsi="仿宋" w:cs="仿宋" w:hint="eastAsia"/>
          <w:sz w:val="32"/>
          <w:szCs w:val="32"/>
        </w:rPr>
        <w:t>，每日一次，第</w:t>
      </w:r>
      <w:r w:rsidRPr="00136FBE">
        <w:rPr>
          <w:rFonts w:ascii="仿宋" w:eastAsia="仿宋" w:hAnsi="仿宋" w:cs="仿宋"/>
          <w:sz w:val="32"/>
          <w:szCs w:val="32"/>
        </w:rPr>
        <w:t>1</w:t>
      </w:r>
      <w:r w:rsidRPr="00136FBE">
        <w:rPr>
          <w:rFonts w:ascii="仿宋" w:eastAsia="仿宋" w:hAnsi="仿宋" w:cs="仿宋" w:hint="eastAsia"/>
          <w:sz w:val="32"/>
          <w:szCs w:val="32"/>
        </w:rPr>
        <w:t>～</w:t>
      </w:r>
      <w:r w:rsidRPr="00136FBE">
        <w:rPr>
          <w:rFonts w:ascii="仿宋" w:eastAsia="仿宋" w:hAnsi="仿宋" w:cs="仿宋"/>
          <w:sz w:val="32"/>
          <w:szCs w:val="32"/>
        </w:rPr>
        <w:t>21</w:t>
      </w:r>
      <w:r w:rsidRPr="00136FBE">
        <w:rPr>
          <w:rFonts w:ascii="仿宋" w:eastAsia="仿宋" w:hAnsi="仿宋" w:cs="仿宋" w:hint="eastAsia"/>
          <w:sz w:val="32"/>
          <w:szCs w:val="32"/>
        </w:rPr>
        <w:t>天连续服用。与卡培他滨联用时，拉帕替尼的推荐剂量同上，每日一次，每</w:t>
      </w:r>
      <w:r w:rsidRPr="00136FBE">
        <w:rPr>
          <w:rFonts w:ascii="仿宋" w:eastAsia="仿宋" w:hAnsi="仿宋" w:cs="仿宋"/>
          <w:sz w:val="32"/>
          <w:szCs w:val="32"/>
        </w:rPr>
        <w:t>21</w:t>
      </w:r>
      <w:r w:rsidRPr="00136FBE">
        <w:rPr>
          <w:rFonts w:ascii="仿宋" w:eastAsia="仿宋" w:hAnsi="仿宋" w:cs="仿宋" w:hint="eastAsia"/>
          <w:sz w:val="32"/>
          <w:szCs w:val="32"/>
        </w:rPr>
        <w:t>天</w:t>
      </w:r>
      <w:r w:rsidRPr="00136FBE">
        <w:rPr>
          <w:rFonts w:ascii="仿宋" w:eastAsia="仿宋" w:hAnsi="仿宋" w:cs="仿宋"/>
          <w:sz w:val="32"/>
          <w:szCs w:val="32"/>
        </w:rPr>
        <w:t>1</w:t>
      </w:r>
      <w:r w:rsidRPr="00136FBE">
        <w:rPr>
          <w:rFonts w:ascii="仿宋" w:eastAsia="仿宋" w:hAnsi="仿宋" w:cs="仿宋" w:hint="eastAsia"/>
          <w:sz w:val="32"/>
          <w:szCs w:val="32"/>
        </w:rPr>
        <w:t>个周期，建议将每日剂量一次性服用，不推荐分次服用。应在餐前至少</w:t>
      </w:r>
      <w:r w:rsidRPr="00136FBE">
        <w:rPr>
          <w:rFonts w:ascii="仿宋" w:eastAsia="仿宋" w:hAnsi="仿宋" w:cs="仿宋"/>
          <w:sz w:val="32"/>
          <w:szCs w:val="32"/>
        </w:rPr>
        <w:t>1</w:t>
      </w:r>
      <w:r w:rsidRPr="00136FBE">
        <w:rPr>
          <w:rFonts w:ascii="仿宋" w:eastAsia="仿宋" w:hAnsi="仿宋" w:cs="仿宋" w:hint="eastAsia"/>
          <w:sz w:val="32"/>
          <w:szCs w:val="32"/>
        </w:rPr>
        <w:t>小时，或餐后至少</w:t>
      </w:r>
      <w:r w:rsidRPr="00136FBE">
        <w:rPr>
          <w:rFonts w:ascii="仿宋" w:eastAsia="仿宋" w:hAnsi="仿宋" w:cs="仿宋"/>
          <w:sz w:val="32"/>
          <w:szCs w:val="32"/>
        </w:rPr>
        <w:t>1</w:t>
      </w:r>
      <w:r w:rsidRPr="00136FBE">
        <w:rPr>
          <w:rFonts w:ascii="仿宋" w:eastAsia="仿宋" w:hAnsi="仿宋" w:cs="仿宋" w:hint="eastAsia"/>
          <w:sz w:val="32"/>
          <w:szCs w:val="32"/>
        </w:rPr>
        <w:t>小时服用。卡培他滨推荐剂量为</w:t>
      </w:r>
      <w:r w:rsidRPr="00136FBE">
        <w:rPr>
          <w:rFonts w:ascii="仿宋" w:eastAsia="仿宋" w:hAnsi="仿宋" w:cs="仿宋"/>
          <w:sz w:val="32"/>
          <w:szCs w:val="32"/>
        </w:rPr>
        <w:t>2g/</w:t>
      </w:r>
      <w:r w:rsidRPr="00136FBE">
        <w:rPr>
          <w:rFonts w:ascii="仿宋" w:eastAsia="仿宋" w:hAnsi="仿宋" w:cs="仿宋" w:hint="eastAsia"/>
          <w:sz w:val="32"/>
          <w:szCs w:val="32"/>
        </w:rPr>
        <w:t>（</w:t>
      </w:r>
      <w:r w:rsidRPr="00136FBE">
        <w:rPr>
          <w:rFonts w:ascii="仿宋" w:eastAsia="仿宋" w:hAnsi="仿宋" w:cs="仿宋"/>
          <w:sz w:val="32"/>
          <w:szCs w:val="32"/>
        </w:rPr>
        <w:t>m</w:t>
      </w:r>
      <w:r w:rsidRPr="00136FBE">
        <w:rPr>
          <w:rFonts w:ascii="仿宋" w:eastAsia="仿宋" w:hAnsi="仿宋" w:cs="仿宋"/>
          <w:sz w:val="32"/>
          <w:szCs w:val="32"/>
          <w:vertAlign w:val="superscript"/>
        </w:rPr>
        <w:t>2</w:t>
      </w:r>
      <w:r w:rsidRPr="00136FBE">
        <w:rPr>
          <w:rFonts w:ascii="Segoe UI Emoji" w:eastAsia="仿宋" w:hAnsi="Segoe UI Emoji" w:cs="Segoe UI Emoji"/>
          <w:sz w:val="32"/>
          <w:szCs w:val="32"/>
        </w:rPr>
        <w:t>▪</w:t>
      </w:r>
      <w:r w:rsidRPr="00136FBE">
        <w:rPr>
          <w:rFonts w:ascii="仿宋" w:eastAsia="仿宋" w:hAnsi="仿宋" w:cs="仿宋"/>
          <w:sz w:val="32"/>
          <w:szCs w:val="32"/>
        </w:rPr>
        <w:t>d</w:t>
      </w:r>
      <w:r w:rsidRPr="00136FBE">
        <w:rPr>
          <w:rFonts w:ascii="仿宋" w:eastAsia="仿宋" w:hAnsi="仿宋" w:cs="仿宋" w:hint="eastAsia"/>
          <w:sz w:val="32"/>
          <w:szCs w:val="32"/>
        </w:rPr>
        <w:t>），分</w:t>
      </w:r>
      <w:r w:rsidRPr="00136FBE">
        <w:rPr>
          <w:rFonts w:ascii="仿宋" w:eastAsia="仿宋" w:hAnsi="仿宋" w:cs="仿宋"/>
          <w:sz w:val="32"/>
          <w:szCs w:val="32"/>
        </w:rPr>
        <w:t>2</w:t>
      </w:r>
      <w:r w:rsidRPr="00136FBE">
        <w:rPr>
          <w:rFonts w:ascii="仿宋" w:eastAsia="仿宋" w:hAnsi="仿宋" w:cs="仿宋" w:hint="eastAsia"/>
          <w:sz w:val="32"/>
          <w:szCs w:val="32"/>
        </w:rPr>
        <w:t>次口服。间隔约</w:t>
      </w:r>
      <w:r w:rsidRPr="00136FBE">
        <w:rPr>
          <w:rFonts w:ascii="仿宋" w:eastAsia="仿宋" w:hAnsi="仿宋" w:cs="仿宋"/>
          <w:sz w:val="32"/>
          <w:szCs w:val="32"/>
        </w:rPr>
        <w:t>12</w:t>
      </w:r>
      <w:r w:rsidRPr="00136FBE">
        <w:rPr>
          <w:rFonts w:ascii="仿宋" w:eastAsia="仿宋" w:hAnsi="仿宋" w:cs="仿宋" w:hint="eastAsia"/>
          <w:sz w:val="32"/>
          <w:szCs w:val="32"/>
        </w:rPr>
        <w:t>小时，连服</w:t>
      </w:r>
      <w:r w:rsidRPr="00136FBE">
        <w:rPr>
          <w:rFonts w:ascii="仿宋" w:eastAsia="仿宋" w:hAnsi="仿宋" w:cs="仿宋"/>
          <w:sz w:val="32"/>
          <w:szCs w:val="32"/>
        </w:rPr>
        <w:t>14</w:t>
      </w:r>
      <w:r w:rsidRPr="00136FBE">
        <w:rPr>
          <w:rFonts w:ascii="仿宋" w:eastAsia="仿宋" w:hAnsi="仿宋" w:cs="仿宋" w:hint="eastAsia"/>
          <w:sz w:val="32"/>
          <w:szCs w:val="32"/>
        </w:rPr>
        <w:t>天，休息</w:t>
      </w:r>
      <w:r w:rsidRPr="00136FBE">
        <w:rPr>
          <w:rFonts w:ascii="仿宋" w:eastAsia="仿宋" w:hAnsi="仿宋" w:cs="仿宋"/>
          <w:sz w:val="32"/>
          <w:szCs w:val="32"/>
        </w:rPr>
        <w:t>7</w:t>
      </w:r>
      <w:r w:rsidRPr="00136FBE">
        <w:rPr>
          <w:rFonts w:ascii="仿宋" w:eastAsia="仿宋" w:hAnsi="仿宋" w:cs="仿宋" w:hint="eastAsia"/>
          <w:sz w:val="32"/>
          <w:szCs w:val="32"/>
        </w:rPr>
        <w:t>天，</w:t>
      </w:r>
      <w:r w:rsidRPr="00136FBE">
        <w:rPr>
          <w:rFonts w:ascii="仿宋" w:eastAsia="仿宋" w:hAnsi="仿宋" w:cs="仿宋"/>
          <w:sz w:val="32"/>
          <w:szCs w:val="32"/>
        </w:rPr>
        <w:t>21</w:t>
      </w:r>
      <w:r w:rsidRPr="00136FBE">
        <w:rPr>
          <w:rFonts w:ascii="仿宋" w:eastAsia="仿宋" w:hAnsi="仿宋" w:cs="仿宋" w:hint="eastAsia"/>
          <w:sz w:val="32"/>
          <w:szCs w:val="32"/>
        </w:rPr>
        <w:t>天为一个周期。卡培他滨应和食物同时服用，或餐后</w:t>
      </w:r>
      <w:r w:rsidRPr="00136FBE">
        <w:rPr>
          <w:rFonts w:ascii="仿宋" w:eastAsia="仿宋" w:hAnsi="仿宋" w:cs="仿宋"/>
          <w:sz w:val="32"/>
          <w:szCs w:val="32"/>
        </w:rPr>
        <w:t>30</w:t>
      </w:r>
      <w:r w:rsidRPr="00136FBE">
        <w:rPr>
          <w:rFonts w:ascii="仿宋" w:eastAsia="仿宋" w:hAnsi="仿宋" w:cs="仿宋" w:hint="eastAsia"/>
          <w:sz w:val="32"/>
          <w:szCs w:val="32"/>
        </w:rPr>
        <w:t>分钟内服用。</w:t>
      </w:r>
    </w:p>
    <w:p w14:paraId="6510970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主要不良反应为腹泻和皮疹，腹泻可对症止泻，用药期间避免直接日晒，外出注意防晒。使用本品可发生心脏毒</w:t>
      </w:r>
      <w:r w:rsidRPr="00136FBE">
        <w:rPr>
          <w:rFonts w:ascii="仿宋" w:eastAsia="仿宋" w:hAnsi="仿宋" w:cs="仿宋" w:hint="eastAsia"/>
          <w:sz w:val="32"/>
          <w:szCs w:val="32"/>
        </w:rPr>
        <w:lastRenderedPageBreak/>
        <w:t>性，主要表现为</w:t>
      </w:r>
      <w:r w:rsidRPr="00136FBE">
        <w:rPr>
          <w:rFonts w:ascii="仿宋" w:eastAsia="仿宋" w:hAnsi="仿宋" w:cs="仿宋"/>
          <w:sz w:val="32"/>
          <w:szCs w:val="32"/>
        </w:rPr>
        <w:t>LVEF</w:t>
      </w:r>
      <w:r w:rsidRPr="00136FBE">
        <w:rPr>
          <w:rFonts w:ascii="仿宋" w:eastAsia="仿宋" w:hAnsi="仿宋" w:cs="仿宋" w:hint="eastAsia"/>
          <w:sz w:val="32"/>
          <w:szCs w:val="32"/>
        </w:rPr>
        <w:t>减低，建议治疗前评估</w:t>
      </w:r>
      <w:r w:rsidRPr="00136FBE">
        <w:rPr>
          <w:rFonts w:ascii="仿宋" w:eastAsia="仿宋" w:hAnsi="仿宋" w:cs="仿宋"/>
          <w:sz w:val="32"/>
          <w:szCs w:val="32"/>
        </w:rPr>
        <w:t>LVEF</w:t>
      </w:r>
      <w:r w:rsidRPr="00136FBE">
        <w:rPr>
          <w:rFonts w:ascii="仿宋" w:eastAsia="仿宋" w:hAnsi="仿宋" w:cs="仿宋" w:hint="eastAsia"/>
          <w:sz w:val="32"/>
          <w:szCs w:val="32"/>
        </w:rPr>
        <w:t>，治疗中定期检测</w:t>
      </w:r>
      <w:r w:rsidRPr="00136FBE">
        <w:rPr>
          <w:rFonts w:ascii="仿宋" w:eastAsia="仿宋" w:hAnsi="仿宋" w:cs="仿宋"/>
          <w:sz w:val="32"/>
          <w:szCs w:val="32"/>
        </w:rPr>
        <w:t>LVEF</w:t>
      </w:r>
      <w:r w:rsidRPr="00136FBE">
        <w:rPr>
          <w:rFonts w:ascii="仿宋" w:eastAsia="仿宋" w:hAnsi="仿宋" w:cs="仿宋" w:hint="eastAsia"/>
          <w:sz w:val="32"/>
          <w:szCs w:val="32"/>
        </w:rPr>
        <w:t>，若</w:t>
      </w:r>
      <w:r w:rsidRPr="00136FBE">
        <w:rPr>
          <w:rFonts w:ascii="仿宋" w:eastAsia="仿宋" w:hAnsi="仿宋" w:cs="仿宋"/>
          <w:sz w:val="32"/>
          <w:szCs w:val="32"/>
        </w:rPr>
        <w:t>LVEF</w:t>
      </w:r>
      <w:r w:rsidRPr="00136FBE">
        <w:rPr>
          <w:rFonts w:ascii="仿宋" w:eastAsia="仿宋" w:hAnsi="仿宋" w:cs="仿宋" w:hint="eastAsia"/>
          <w:sz w:val="32"/>
          <w:szCs w:val="32"/>
        </w:rPr>
        <w:t>下降至正常值下限，或出现</w:t>
      </w:r>
      <w:r w:rsidRPr="00136FBE">
        <w:rPr>
          <w:rFonts w:ascii="仿宋" w:eastAsia="仿宋" w:hAnsi="仿宋" w:cs="仿宋"/>
          <w:sz w:val="32"/>
          <w:szCs w:val="32"/>
        </w:rPr>
        <w:t>2</w:t>
      </w:r>
      <w:r w:rsidRPr="00136FBE">
        <w:rPr>
          <w:rFonts w:ascii="仿宋" w:eastAsia="仿宋" w:hAnsi="仿宋" w:cs="仿宋" w:hint="eastAsia"/>
          <w:sz w:val="32"/>
          <w:szCs w:val="32"/>
        </w:rPr>
        <w:t>级或</w:t>
      </w:r>
      <w:r w:rsidRPr="00136FBE">
        <w:rPr>
          <w:rFonts w:ascii="仿宋" w:eastAsia="仿宋" w:hAnsi="仿宋" w:cs="仿宋"/>
          <w:sz w:val="32"/>
          <w:szCs w:val="32"/>
        </w:rPr>
        <w:t>2</w:t>
      </w:r>
      <w:r w:rsidRPr="00136FBE">
        <w:rPr>
          <w:rFonts w:ascii="仿宋" w:eastAsia="仿宋" w:hAnsi="仿宋" w:cs="仿宋" w:hint="eastAsia"/>
          <w:sz w:val="32"/>
          <w:szCs w:val="32"/>
        </w:rPr>
        <w:t>级以上与</w:t>
      </w:r>
      <w:r w:rsidRPr="00136FBE">
        <w:rPr>
          <w:rFonts w:ascii="仿宋" w:eastAsia="仿宋" w:hAnsi="仿宋" w:cs="仿宋"/>
          <w:sz w:val="32"/>
          <w:szCs w:val="32"/>
        </w:rPr>
        <w:t>LVEF</w:t>
      </w:r>
      <w:r w:rsidRPr="00136FBE">
        <w:rPr>
          <w:rFonts w:ascii="仿宋" w:eastAsia="仿宋" w:hAnsi="仿宋" w:cs="仿宋" w:hint="eastAsia"/>
          <w:sz w:val="32"/>
          <w:szCs w:val="32"/>
        </w:rPr>
        <w:t>下降相关的症状，应停药。若恢复至正常，且患者无症状，可以在停用至少</w:t>
      </w:r>
      <w:r w:rsidRPr="00136FBE">
        <w:rPr>
          <w:rFonts w:ascii="仿宋" w:eastAsia="仿宋" w:hAnsi="仿宋" w:cs="仿宋"/>
          <w:sz w:val="32"/>
          <w:szCs w:val="32"/>
        </w:rPr>
        <w:t>2</w:t>
      </w:r>
      <w:r w:rsidRPr="00136FBE">
        <w:rPr>
          <w:rFonts w:ascii="仿宋" w:eastAsia="仿宋" w:hAnsi="仿宋" w:cs="仿宋" w:hint="eastAsia"/>
          <w:sz w:val="32"/>
          <w:szCs w:val="32"/>
        </w:rPr>
        <w:t>周后将本品减量使用（每天</w:t>
      </w:r>
      <w:r w:rsidRPr="00136FBE">
        <w:rPr>
          <w:rFonts w:ascii="仿宋" w:eastAsia="仿宋" w:hAnsi="仿宋" w:cs="仿宋"/>
          <w:sz w:val="32"/>
          <w:szCs w:val="32"/>
        </w:rPr>
        <w:t>1g</w:t>
      </w:r>
      <w:r w:rsidRPr="00136FBE">
        <w:rPr>
          <w:rFonts w:ascii="仿宋" w:eastAsia="仿宋" w:hAnsi="仿宋" w:cs="仿宋" w:hint="eastAsia"/>
          <w:sz w:val="32"/>
          <w:szCs w:val="32"/>
        </w:rPr>
        <w:t>与卡培他滨联用）。部分病人还可出现肝功能损伤。</w:t>
      </w:r>
    </w:p>
    <w:p w14:paraId="487DF1E8"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如果患者漏服了某一天的剂量，第二天的剂量不要加倍，在下一次服药时间按计划继续服用即可。治疗应当持续至疾病进展或出现不能耐受的毒性反应。</w:t>
      </w:r>
    </w:p>
    <w:p w14:paraId="22B62461"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6.</w:t>
      </w:r>
      <w:r w:rsidRPr="00136FBE">
        <w:rPr>
          <w:rFonts w:ascii="仿宋" w:eastAsia="仿宋" w:hAnsi="仿宋" w:cs="仿宋" w:hint="eastAsia"/>
          <w:sz w:val="32"/>
          <w:szCs w:val="32"/>
        </w:rPr>
        <w:t>本品主要经</w:t>
      </w:r>
      <w:r w:rsidRPr="00136FBE">
        <w:rPr>
          <w:rFonts w:ascii="仿宋" w:eastAsia="仿宋" w:hAnsi="仿宋" w:cs="仿宋"/>
          <w:sz w:val="32"/>
          <w:szCs w:val="32"/>
        </w:rPr>
        <w:t>CYP3A4</w:t>
      </w:r>
      <w:r w:rsidRPr="00136FBE">
        <w:rPr>
          <w:rFonts w:ascii="仿宋" w:eastAsia="仿宋" w:hAnsi="仿宋" w:cs="仿宋" w:hint="eastAsia"/>
          <w:sz w:val="32"/>
          <w:szCs w:val="32"/>
        </w:rPr>
        <w:t>代谢。服药期间禁食葡萄柚、葡萄柚果汁，与</w:t>
      </w:r>
      <w:r w:rsidRPr="00136FBE">
        <w:rPr>
          <w:rFonts w:ascii="仿宋" w:eastAsia="仿宋" w:hAnsi="仿宋" w:cs="仿宋"/>
          <w:sz w:val="32"/>
          <w:szCs w:val="32"/>
        </w:rPr>
        <w:t>CYP3A4</w:t>
      </w:r>
      <w:r w:rsidR="006222C0" w:rsidRPr="00136FBE">
        <w:rPr>
          <w:rFonts w:ascii="仿宋" w:eastAsia="仿宋" w:hAnsi="仿宋" w:cs="仿宋" w:hint="eastAsia"/>
          <w:sz w:val="32"/>
          <w:szCs w:val="32"/>
        </w:rPr>
        <w:t>抑制剂或诱导剂联合给药时需谨慎，谨慎与质子泵抑制剂</w:t>
      </w:r>
      <w:r w:rsidRPr="00136FBE">
        <w:rPr>
          <w:rFonts w:ascii="仿宋" w:eastAsia="仿宋" w:hAnsi="仿宋" w:cs="仿宋" w:hint="eastAsia"/>
          <w:sz w:val="32"/>
          <w:szCs w:val="32"/>
        </w:rPr>
        <w:t>合用。</w:t>
      </w:r>
    </w:p>
    <w:p w14:paraId="409E6193" w14:textId="77777777" w:rsidR="00B23A40" w:rsidRPr="00136FBE" w:rsidRDefault="00DD1A0D">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7</w:t>
      </w:r>
      <w:r w:rsidRPr="00136FBE">
        <w:rPr>
          <w:rFonts w:ascii="仿宋" w:eastAsia="仿宋" w:hAnsi="仿宋" w:cs="仿宋"/>
          <w:sz w:val="32"/>
          <w:szCs w:val="32"/>
        </w:rPr>
        <w:t>.</w:t>
      </w:r>
      <w:r w:rsidRPr="00136FBE">
        <w:rPr>
          <w:rFonts w:ascii="仿宋" w:eastAsia="仿宋" w:hAnsi="仿宋" w:cs="仿宋" w:hint="eastAsia"/>
          <w:sz w:val="32"/>
          <w:szCs w:val="32"/>
        </w:rPr>
        <w:t>也有临床研究证明，拉帕替尼联合其他化疗药物或内分泌治疗药物可使病人临床获益。</w:t>
      </w:r>
    </w:p>
    <w:p w14:paraId="1712110F" w14:textId="77777777" w:rsidR="00203011" w:rsidRPr="00136FBE" w:rsidRDefault="00203011" w:rsidP="00203011">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六、吡咯替尼</w:t>
      </w:r>
      <w:proofErr w:type="spellStart"/>
      <w:r w:rsidRPr="00136FBE">
        <w:rPr>
          <w:rFonts w:ascii="黑体" w:eastAsia="黑体" w:hAnsi="黑体" w:hint="eastAsia"/>
          <w:color w:val="000000"/>
          <w:sz w:val="32"/>
          <w:szCs w:val="32"/>
        </w:rPr>
        <w:t>P</w:t>
      </w:r>
      <w:r w:rsidRPr="00136FBE">
        <w:rPr>
          <w:rFonts w:ascii="黑体" w:eastAsia="黑体" w:hAnsi="黑体"/>
          <w:color w:val="000000"/>
          <w:sz w:val="32"/>
          <w:szCs w:val="32"/>
        </w:rPr>
        <w:t>yrotinib</w:t>
      </w:r>
      <w:proofErr w:type="spellEnd"/>
    </w:p>
    <w:p w14:paraId="2B2518F5" w14:textId="77777777" w:rsidR="00203011" w:rsidRPr="00136FBE" w:rsidRDefault="00203011" w:rsidP="00203011">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片剂：80mg、160mg</w:t>
      </w:r>
    </w:p>
    <w:p w14:paraId="493B44CC"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hint="eastAsia"/>
          <w:b/>
          <w:color w:val="000000"/>
          <w:sz w:val="32"/>
          <w:szCs w:val="32"/>
        </w:rPr>
        <w:t>适应证：</w:t>
      </w:r>
      <w:r w:rsidRPr="00136FBE">
        <w:rPr>
          <w:rFonts w:ascii="仿宋" w:eastAsia="仿宋" w:hAnsi="仿宋" w:cs="仿宋" w:hint="eastAsia"/>
          <w:sz w:val="32"/>
          <w:szCs w:val="32"/>
        </w:rPr>
        <w:t>吡咯替尼联合卡培他滨，适用于治疗HER2阳性、既往未接受或接受过曲妥珠单抗的复发或转移性乳腺癌患者。使用吡咯替尼前患者应</w:t>
      </w:r>
      <w:bookmarkStart w:id="6" w:name="_Hlk44948602"/>
      <w:r w:rsidRPr="00136FBE">
        <w:rPr>
          <w:rFonts w:ascii="仿宋" w:eastAsia="仿宋" w:hAnsi="仿宋" w:cs="仿宋" w:hint="eastAsia"/>
          <w:sz w:val="32"/>
          <w:szCs w:val="32"/>
        </w:rPr>
        <w:t>接受过蒽环类或紫杉类化疗</w:t>
      </w:r>
      <w:bookmarkEnd w:id="6"/>
      <w:r w:rsidRPr="00136FBE">
        <w:rPr>
          <w:rFonts w:ascii="仿宋" w:eastAsia="仿宋" w:hAnsi="仿宋" w:cs="仿宋" w:hint="eastAsia"/>
          <w:sz w:val="32"/>
          <w:szCs w:val="32"/>
        </w:rPr>
        <w:t>。</w:t>
      </w:r>
    </w:p>
    <w:p w14:paraId="01CB1F21" w14:textId="77777777" w:rsidR="00203011" w:rsidRPr="00136FBE" w:rsidRDefault="00203011" w:rsidP="00203011">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6875E05F"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1.在使用吡咯替尼治疗前，应使用经充分验证的检测方法进行HER2状态的检测。吡咯替尼仅可用于HER2阳性的乳腺癌患者。</w:t>
      </w:r>
    </w:p>
    <w:p w14:paraId="0D2D7CE0"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2.适用于HER2阳性复发或转移性乳腺癌患者。</w:t>
      </w:r>
    </w:p>
    <w:p w14:paraId="251C581F"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3.只要观察到临床获益，应继续吡咯替尼治疗，直至患者不能耐受或疾病进展。</w:t>
      </w:r>
    </w:p>
    <w:p w14:paraId="4B6D6052"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4.吡咯替尼推荐剂量为400mg，</w:t>
      </w:r>
      <w:r w:rsidR="00EE767B" w:rsidRPr="00136FBE">
        <w:rPr>
          <w:rFonts w:ascii="仿宋" w:eastAsia="仿宋" w:hAnsi="仿宋" w:hint="eastAsia"/>
          <w:color w:val="000000"/>
          <w:sz w:val="32"/>
          <w:szCs w:val="32"/>
        </w:rPr>
        <w:t>每日一次</w:t>
      </w:r>
      <w:r w:rsidRPr="00136FBE">
        <w:rPr>
          <w:rFonts w:ascii="仿宋" w:eastAsia="仿宋" w:hAnsi="仿宋" w:hint="eastAsia"/>
          <w:color w:val="000000"/>
          <w:sz w:val="32"/>
          <w:szCs w:val="32"/>
        </w:rPr>
        <w:t>，餐后30分钟内口服，每天同一时间服药。连续服用，每21天为一个周期。如果患者漏服某一天的吡咯替尼，不需要补服，下一次按计划服药即可。</w:t>
      </w:r>
    </w:p>
    <w:p w14:paraId="3E15196F"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治疗过程中如患者出现不良反应，可通过暂停给药、降低剂量或者停止给药进行管理。对于腹泻、皮肤不良反应可首先进行对症治疗并密切观察。一些持续存在的2级不良反应也可能需要多次暂停用药和/或下调剂量。如暂停给药后受试者仍有临床不可控制（即临床治疗或观察≤14天后仍存在，出现≥2次）的不良事件，则在暂停后恢复用药时应减少一个水平的剂量，吡咯替尼允许下调最低剂量为240mg。</w:t>
      </w:r>
    </w:p>
    <w:p w14:paraId="4A7D8387"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6.如合并使用CYP3A4强抑制剂和强诱导剂，应密切监测，结合临床观察考虑是否进行剂量调整。</w:t>
      </w:r>
    </w:p>
    <w:p w14:paraId="4C2BA177"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7.吡咯替尼主要经肝脏代谢，</w:t>
      </w:r>
      <w:r w:rsidR="006222C0" w:rsidRPr="00136FBE">
        <w:rPr>
          <w:rFonts w:ascii="仿宋" w:eastAsia="仿宋" w:hAnsi="仿宋" w:hint="eastAsia"/>
          <w:color w:val="000000"/>
          <w:sz w:val="32"/>
          <w:szCs w:val="32"/>
        </w:rPr>
        <w:t>中重度</w:t>
      </w:r>
      <w:r w:rsidR="001E62D0" w:rsidRPr="00136FBE">
        <w:rPr>
          <w:rFonts w:ascii="仿宋" w:eastAsia="仿宋" w:hAnsi="仿宋" w:hint="eastAsia"/>
          <w:color w:val="000000"/>
          <w:sz w:val="32"/>
          <w:szCs w:val="32"/>
        </w:rPr>
        <w:t>肝功能损伤</w:t>
      </w:r>
      <w:r w:rsidRPr="00136FBE">
        <w:rPr>
          <w:rFonts w:ascii="仿宋" w:eastAsia="仿宋" w:hAnsi="仿宋" w:hint="eastAsia"/>
          <w:color w:val="000000"/>
          <w:sz w:val="32"/>
          <w:szCs w:val="32"/>
        </w:rPr>
        <w:t>的患者不推荐使用。</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对吡咯替尼暴露影响非常有限，</w:t>
      </w:r>
      <w:r w:rsidR="00D20715" w:rsidRPr="00136FBE">
        <w:rPr>
          <w:rFonts w:ascii="仿宋" w:eastAsia="仿宋" w:hAnsi="仿宋" w:hint="eastAsia"/>
          <w:color w:val="000000"/>
          <w:sz w:val="32"/>
          <w:szCs w:val="32"/>
        </w:rPr>
        <w:t>肾功能损伤</w:t>
      </w:r>
      <w:r w:rsidRPr="00136FBE">
        <w:rPr>
          <w:rFonts w:ascii="仿宋" w:eastAsia="仿宋" w:hAnsi="仿宋" w:hint="eastAsia"/>
          <w:color w:val="000000"/>
          <w:sz w:val="32"/>
          <w:szCs w:val="32"/>
        </w:rPr>
        <w:t>患者仍应在医师指导下谨慎使用吡咯替尼。</w:t>
      </w:r>
    </w:p>
    <w:p w14:paraId="40DE40C0"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8.</w:t>
      </w:r>
      <w:r w:rsidRPr="00136FBE">
        <w:rPr>
          <w:rFonts w:ascii="仿宋" w:eastAsia="仿宋" w:hAnsi="仿宋" w:hint="eastAsia"/>
          <w:color w:val="000000"/>
          <w:sz w:val="32"/>
          <w:szCs w:val="32"/>
        </w:rPr>
        <w:t>腹泻是吡咯替尼临床试验中观察到的最常见的不良反应。治疗期间患者应关注排便性状和频率的变化，发现大便不成形后，尽早开始抗腹泻治疗，可选用洛哌丁胺或蒙脱</w:t>
      </w:r>
      <w:r w:rsidRPr="00136FBE">
        <w:rPr>
          <w:rFonts w:ascii="仿宋" w:eastAsia="仿宋" w:hAnsi="仿宋" w:hint="eastAsia"/>
          <w:color w:val="000000"/>
          <w:sz w:val="32"/>
          <w:szCs w:val="32"/>
        </w:rPr>
        <w:lastRenderedPageBreak/>
        <w:t>石散。如出现持续的</w:t>
      </w:r>
      <w:r w:rsidRPr="00136FBE">
        <w:rPr>
          <w:rFonts w:ascii="仿宋" w:eastAsia="仿宋" w:hAnsi="仿宋"/>
          <w:color w:val="000000"/>
          <w:sz w:val="32"/>
          <w:szCs w:val="32"/>
        </w:rPr>
        <w:t>3</w:t>
      </w:r>
      <w:r w:rsidRPr="00136FBE">
        <w:rPr>
          <w:rFonts w:ascii="仿宋" w:eastAsia="仿宋" w:hAnsi="仿宋" w:hint="eastAsia"/>
          <w:color w:val="000000"/>
          <w:sz w:val="32"/>
          <w:szCs w:val="32"/>
        </w:rPr>
        <w:t>级腹泻、或</w:t>
      </w:r>
      <w:r w:rsidRPr="00136FBE">
        <w:rPr>
          <w:rFonts w:ascii="仿宋" w:eastAsia="仿宋" w:hAnsi="仿宋"/>
          <w:color w:val="000000"/>
          <w:sz w:val="32"/>
          <w:szCs w:val="32"/>
        </w:rPr>
        <w:t>1～2</w:t>
      </w:r>
      <w:r w:rsidRPr="00136FBE">
        <w:rPr>
          <w:rFonts w:ascii="仿宋" w:eastAsia="仿宋" w:hAnsi="仿宋" w:hint="eastAsia"/>
          <w:color w:val="000000"/>
          <w:sz w:val="32"/>
          <w:szCs w:val="32"/>
        </w:rPr>
        <w:t>级腹泻伴并发症（≥</w:t>
      </w:r>
      <w:r w:rsidRPr="00136FBE">
        <w:rPr>
          <w:rFonts w:ascii="仿宋" w:eastAsia="仿宋" w:hAnsi="仿宋"/>
          <w:color w:val="000000"/>
          <w:sz w:val="32"/>
          <w:szCs w:val="32"/>
        </w:rPr>
        <w:t>2</w:t>
      </w:r>
      <w:r w:rsidRPr="00136FBE">
        <w:rPr>
          <w:rFonts w:ascii="仿宋" w:eastAsia="仿宋" w:hAnsi="仿宋" w:hint="eastAsia"/>
          <w:color w:val="000000"/>
          <w:sz w:val="32"/>
          <w:szCs w:val="32"/>
        </w:rPr>
        <w:t>级的恶心、呕吐、发热、便血或脱水等）时，患者应立即联系医师并接受治疗上的指导，尽早开始对症治疗。发生腹泻后可根据剂量调整指导原则进行处理。对于治疗期间频繁发生腹泻的患者，应警惕发生严重腹泻的可能。</w:t>
      </w:r>
    </w:p>
    <w:p w14:paraId="2966DC85"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9.尚缺乏吡咯替尼在18岁以下儿童和青少年患者中的安全性和有效性数据。</w:t>
      </w:r>
    </w:p>
    <w:p w14:paraId="6A269AD4" w14:textId="77777777" w:rsidR="00203011" w:rsidRPr="00136FBE" w:rsidRDefault="00203011" w:rsidP="00203011">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w:t>
      </w:r>
      <w:r w:rsidRPr="00136FBE">
        <w:rPr>
          <w:rFonts w:ascii="仿宋" w:eastAsia="仿宋" w:hAnsi="仿宋"/>
          <w:color w:val="000000"/>
          <w:sz w:val="32"/>
          <w:szCs w:val="32"/>
        </w:rPr>
        <w:t>0.</w:t>
      </w:r>
      <w:r w:rsidRPr="00136FBE">
        <w:rPr>
          <w:rFonts w:ascii="仿宋" w:eastAsia="仿宋" w:hAnsi="仿宋" w:hint="eastAsia"/>
          <w:color w:val="000000"/>
          <w:sz w:val="32"/>
          <w:szCs w:val="32"/>
        </w:rPr>
        <w:t>吡咯替尼Ⅲ期临床试验（PUFFIN）数据显示，吡咯替尼联合卡培他滨治疗既往接受过曲妥珠单抗治疗失败，同时接受过蒽环类或紫杉类化疗的HER2 阳性转移性乳腺癌患者，对比拉帕替尼联合长春瑞滨可显著延长中位PFS（1</w:t>
      </w:r>
      <w:r w:rsidRPr="00136FBE">
        <w:rPr>
          <w:rFonts w:ascii="仿宋" w:eastAsia="仿宋" w:hAnsi="仿宋"/>
          <w:color w:val="000000"/>
          <w:sz w:val="32"/>
          <w:szCs w:val="32"/>
        </w:rPr>
        <w:t>2</w:t>
      </w:r>
      <w:r w:rsidRPr="00136FBE">
        <w:rPr>
          <w:rFonts w:ascii="仿宋" w:eastAsia="仿宋" w:hAnsi="仿宋" w:hint="eastAsia"/>
          <w:color w:val="000000"/>
          <w:sz w:val="32"/>
          <w:szCs w:val="32"/>
        </w:rPr>
        <w:t>.</w:t>
      </w:r>
      <w:r w:rsidRPr="00136FBE">
        <w:rPr>
          <w:rFonts w:ascii="仿宋" w:eastAsia="仿宋" w:hAnsi="仿宋"/>
          <w:color w:val="000000"/>
          <w:sz w:val="32"/>
          <w:szCs w:val="32"/>
        </w:rPr>
        <w:t>5</w:t>
      </w:r>
      <w:r w:rsidRPr="00136FBE">
        <w:rPr>
          <w:rFonts w:ascii="仿宋" w:eastAsia="仿宋" w:hAnsi="仿宋" w:hint="eastAsia"/>
          <w:color w:val="000000"/>
          <w:sz w:val="32"/>
          <w:szCs w:val="32"/>
        </w:rPr>
        <w:t>个月</w:t>
      </w:r>
      <w:r w:rsidRPr="00136FBE">
        <w:rPr>
          <w:rFonts w:ascii="仿宋" w:eastAsia="仿宋" w:hAnsi="仿宋"/>
          <w:i/>
          <w:iCs/>
          <w:color w:val="000000"/>
          <w:sz w:val="32"/>
          <w:szCs w:val="32"/>
        </w:rPr>
        <w:t>vs</w:t>
      </w:r>
      <w:r w:rsidRPr="00136FBE">
        <w:rPr>
          <w:rFonts w:ascii="仿宋" w:eastAsia="仿宋" w:hAnsi="仿宋"/>
          <w:color w:val="000000"/>
          <w:sz w:val="32"/>
          <w:szCs w:val="32"/>
        </w:rPr>
        <w:t>6.8</w:t>
      </w:r>
      <w:r w:rsidRPr="00136FBE">
        <w:rPr>
          <w:rFonts w:ascii="仿宋" w:eastAsia="仿宋" w:hAnsi="仿宋" w:hint="eastAsia"/>
          <w:color w:val="000000"/>
          <w:sz w:val="32"/>
          <w:szCs w:val="32"/>
        </w:rPr>
        <w:t>个月，HR</w:t>
      </w:r>
      <w:r w:rsidRPr="00136FBE">
        <w:rPr>
          <w:rFonts w:ascii="仿宋" w:eastAsia="仿宋" w:hAnsi="仿宋"/>
          <w:color w:val="000000"/>
          <w:sz w:val="32"/>
          <w:szCs w:val="32"/>
        </w:rPr>
        <w:t xml:space="preserve">＝0.39， </w:t>
      </w:r>
      <w:r w:rsidRPr="00136FBE">
        <w:rPr>
          <w:rFonts w:ascii="仿宋" w:eastAsia="仿宋" w:hAnsi="仿宋" w:hint="eastAsia"/>
          <w:i/>
          <w:iCs/>
          <w:color w:val="000000"/>
          <w:sz w:val="32"/>
          <w:szCs w:val="32"/>
        </w:rPr>
        <w:t>p</w:t>
      </w:r>
      <w:r w:rsidRPr="00136FBE">
        <w:rPr>
          <w:rFonts w:ascii="仿宋" w:eastAsia="仿宋" w:hAnsi="仿宋" w:hint="eastAsia"/>
          <w:color w:val="000000"/>
          <w:sz w:val="32"/>
          <w:szCs w:val="32"/>
        </w:rPr>
        <w:t>＜</w:t>
      </w:r>
      <w:r w:rsidRPr="00136FBE">
        <w:rPr>
          <w:rFonts w:ascii="仿宋" w:eastAsia="仿宋" w:hAnsi="仿宋"/>
          <w:color w:val="000000"/>
          <w:sz w:val="32"/>
          <w:szCs w:val="32"/>
        </w:rPr>
        <w:t>0.0001</w:t>
      </w:r>
      <w:r w:rsidRPr="00136FBE">
        <w:rPr>
          <w:rFonts w:ascii="仿宋" w:eastAsia="仿宋" w:hAnsi="仿宋" w:hint="eastAsia"/>
          <w:color w:val="000000"/>
          <w:sz w:val="32"/>
          <w:szCs w:val="32"/>
        </w:rPr>
        <w:t>）。</w:t>
      </w:r>
    </w:p>
    <w:p w14:paraId="660E9FEA" w14:textId="77777777" w:rsidR="00203011" w:rsidRPr="00136FBE" w:rsidRDefault="00203011" w:rsidP="00203011">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七、奈拉替尼Neratinib</w:t>
      </w:r>
    </w:p>
    <w:p w14:paraId="5A19B93C"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cs="黑体" w:hint="eastAsia"/>
          <w:b/>
          <w:sz w:val="32"/>
          <w:szCs w:val="32"/>
        </w:rPr>
        <w:t>制剂与规格：</w:t>
      </w:r>
      <w:r w:rsidRPr="00136FBE">
        <w:rPr>
          <w:rFonts w:ascii="仿宋" w:eastAsia="仿宋" w:hAnsi="仿宋" w:cs="仿宋" w:hint="eastAsia"/>
          <w:sz w:val="32"/>
          <w:szCs w:val="32"/>
        </w:rPr>
        <w:t>片剂：40</w:t>
      </w:r>
      <w:r w:rsidRPr="00136FBE">
        <w:rPr>
          <w:rFonts w:ascii="仿宋" w:eastAsia="仿宋" w:hAnsi="仿宋" w:cs="仿宋"/>
          <w:sz w:val="32"/>
          <w:szCs w:val="32"/>
        </w:rPr>
        <w:t>mg</w:t>
      </w:r>
    </w:p>
    <w:p w14:paraId="27E41BD9" w14:textId="77777777" w:rsidR="00203011" w:rsidRPr="00136FBE" w:rsidRDefault="00203011" w:rsidP="00203011">
      <w:pPr>
        <w:spacing w:line="360" w:lineRule="auto"/>
        <w:ind w:firstLineChars="200" w:firstLine="643"/>
        <w:rPr>
          <w:rFonts w:ascii="仿宋" w:eastAsia="仿宋" w:hAnsi="仿宋" w:cs="Times New Roman"/>
          <w:sz w:val="32"/>
          <w:szCs w:val="32"/>
        </w:rPr>
      </w:pPr>
      <w:r w:rsidRPr="00136FBE">
        <w:rPr>
          <w:rFonts w:ascii="仿宋" w:eastAsia="仿宋" w:hAnsi="仿宋" w:cs="黑体" w:hint="eastAsia"/>
          <w:b/>
          <w:sz w:val="32"/>
          <w:szCs w:val="32"/>
        </w:rPr>
        <w:t>适应证：</w:t>
      </w:r>
      <w:r w:rsidRPr="00136FBE">
        <w:rPr>
          <w:rFonts w:ascii="仿宋" w:eastAsia="仿宋" w:hAnsi="仿宋" w:cs="Times New Roman"/>
          <w:sz w:val="32"/>
          <w:szCs w:val="32"/>
        </w:rPr>
        <w:t>适用于HER2</w:t>
      </w:r>
      <w:r w:rsidRPr="00136FBE">
        <w:rPr>
          <w:rFonts w:ascii="仿宋" w:eastAsia="仿宋" w:hAnsi="仿宋" w:cs="Times New Roman" w:hint="eastAsia"/>
          <w:sz w:val="32"/>
          <w:szCs w:val="32"/>
        </w:rPr>
        <w:t>阳性</w:t>
      </w:r>
      <w:r w:rsidRPr="00136FBE">
        <w:rPr>
          <w:rFonts w:ascii="仿宋" w:eastAsia="仿宋" w:hAnsi="仿宋" w:cs="Times New Roman"/>
          <w:sz w:val="32"/>
          <w:szCs w:val="32"/>
        </w:rPr>
        <w:t>的早期乳腺癌成年患者</w:t>
      </w:r>
      <w:r w:rsidRPr="00136FBE">
        <w:rPr>
          <w:rFonts w:ascii="仿宋" w:eastAsia="仿宋" w:hAnsi="仿宋" w:cs="Times New Roman" w:hint="eastAsia"/>
          <w:sz w:val="32"/>
          <w:szCs w:val="32"/>
        </w:rPr>
        <w:t>，</w:t>
      </w:r>
      <w:r w:rsidRPr="00136FBE">
        <w:rPr>
          <w:rFonts w:ascii="仿宋" w:eastAsia="仿宋" w:hAnsi="仿宋" w:cs="Times New Roman"/>
          <w:sz w:val="32"/>
          <w:szCs w:val="32"/>
        </w:rPr>
        <w:t>在接受含曲妥珠单抗辅助治疗之后的</w:t>
      </w:r>
      <w:r w:rsidRPr="00136FBE">
        <w:rPr>
          <w:rFonts w:ascii="仿宋" w:eastAsia="仿宋" w:hAnsi="仿宋" w:cs="Times New Roman" w:hint="eastAsia"/>
          <w:sz w:val="32"/>
          <w:szCs w:val="32"/>
        </w:rPr>
        <w:t>强化</w:t>
      </w:r>
      <w:r w:rsidRPr="00136FBE">
        <w:rPr>
          <w:rFonts w:ascii="仿宋" w:eastAsia="仿宋" w:hAnsi="仿宋" w:cs="Times New Roman"/>
          <w:sz w:val="32"/>
          <w:szCs w:val="32"/>
        </w:rPr>
        <w:t>辅助治疗。</w:t>
      </w:r>
    </w:p>
    <w:p w14:paraId="750D20A1" w14:textId="77777777" w:rsidR="00203011" w:rsidRPr="00136FBE" w:rsidRDefault="00203011" w:rsidP="00203011">
      <w:pPr>
        <w:spacing w:line="360" w:lineRule="auto"/>
        <w:ind w:firstLineChars="200" w:firstLine="643"/>
        <w:rPr>
          <w:rFonts w:ascii="仿宋" w:eastAsia="仿宋" w:hAnsi="仿宋" w:cs="仿宋"/>
          <w:b/>
          <w:sz w:val="32"/>
          <w:szCs w:val="32"/>
        </w:rPr>
      </w:pPr>
      <w:r w:rsidRPr="00136FBE">
        <w:rPr>
          <w:rFonts w:ascii="仿宋" w:eastAsia="仿宋" w:hAnsi="仿宋" w:cs="黑体" w:hint="eastAsia"/>
          <w:b/>
          <w:sz w:val="32"/>
          <w:szCs w:val="32"/>
        </w:rPr>
        <w:t>合理用药要点：</w:t>
      </w:r>
    </w:p>
    <w:p w14:paraId="13A9C7A9"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1.</w:t>
      </w:r>
      <w:r w:rsidRPr="00136FBE">
        <w:rPr>
          <w:rFonts w:ascii="仿宋" w:eastAsia="仿宋" w:hAnsi="仿宋" w:cs="Times New Roman" w:hint="eastAsia"/>
          <w:sz w:val="32"/>
          <w:szCs w:val="32"/>
        </w:rPr>
        <w:t>考虑使用本药的患者需进行HER2检测，HER2 阳性患者方可应用奈拉替尼进行治疗。</w:t>
      </w:r>
    </w:p>
    <w:p w14:paraId="735D6BF1"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2.奈拉替尼</w:t>
      </w:r>
      <w:r w:rsidRPr="00136FBE">
        <w:rPr>
          <w:rFonts w:ascii="仿宋" w:eastAsia="仿宋" w:hAnsi="仿宋" w:cs="Times New Roman"/>
          <w:sz w:val="32"/>
          <w:szCs w:val="32"/>
        </w:rPr>
        <w:t>的推荐剂量为240mg，每天一次，随餐服用，连续用药一年。</w:t>
      </w:r>
      <w:r w:rsidRPr="00136FBE">
        <w:rPr>
          <w:rFonts w:ascii="仿宋" w:eastAsia="仿宋" w:hAnsi="仿宋" w:cs="Times New Roman" w:hint="eastAsia"/>
          <w:sz w:val="32"/>
          <w:szCs w:val="32"/>
        </w:rPr>
        <w:t>指导患者在每天大致同一时间服用奈拉替尼，</w:t>
      </w:r>
      <w:r w:rsidRPr="00136FBE">
        <w:rPr>
          <w:rFonts w:ascii="仿宋" w:eastAsia="仿宋" w:hAnsi="仿宋" w:cs="Times New Roman"/>
          <w:sz w:val="32"/>
          <w:szCs w:val="32"/>
        </w:rPr>
        <w:t>应整片吞服</w:t>
      </w:r>
      <w:r w:rsidRPr="00136FBE">
        <w:rPr>
          <w:rFonts w:ascii="仿宋" w:eastAsia="仿宋" w:hAnsi="仿宋" w:cs="Times New Roman" w:hint="eastAsia"/>
          <w:sz w:val="32"/>
          <w:szCs w:val="32"/>
        </w:rPr>
        <w:t>奈拉替尼</w:t>
      </w:r>
      <w:r w:rsidRPr="00136FBE">
        <w:rPr>
          <w:rFonts w:ascii="仿宋" w:eastAsia="仿宋" w:hAnsi="仿宋" w:cs="Times New Roman"/>
          <w:sz w:val="32"/>
          <w:szCs w:val="32"/>
        </w:rPr>
        <w:t>（药片在吞服前不得咀嚼、压碎或劈开）。</w:t>
      </w:r>
      <w:r w:rsidRPr="00136FBE">
        <w:rPr>
          <w:rFonts w:ascii="仿宋" w:eastAsia="仿宋" w:hAnsi="仿宋" w:cs="Times New Roman" w:hint="eastAsia"/>
          <w:sz w:val="32"/>
          <w:szCs w:val="32"/>
        </w:rPr>
        <w:lastRenderedPageBreak/>
        <w:t>如果患者漏服，不得补服漏服的剂量，应指导患者按每日剂量于次日重新服用奈拉替尼</w:t>
      </w:r>
      <w:r w:rsidRPr="00136FBE">
        <w:rPr>
          <w:rFonts w:ascii="仿宋" w:eastAsia="仿宋" w:hAnsi="仿宋" w:cs="Times New Roman"/>
          <w:sz w:val="32"/>
          <w:szCs w:val="32"/>
        </w:rPr>
        <w:t>。</w:t>
      </w:r>
    </w:p>
    <w:p w14:paraId="6202FCAD"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3.主要不良反应为腹泻。预防性使用止泻药、饮食改变以及适当调整奈拉替尼剂量可降低腹泻发生率和腹泻的严重程度。指导患者于第一剂奈拉替尼给药时即开始预防性服用止泻药洛哌丁胺，持续用药2个周期（56天）。</w:t>
      </w:r>
      <w:r w:rsidR="008614AE">
        <w:rPr>
          <w:rFonts w:ascii="仿宋" w:eastAsia="仿宋" w:hAnsi="仿宋" w:cs="Times New Roman" w:hint="eastAsia"/>
          <w:sz w:val="32"/>
          <w:szCs w:val="32"/>
        </w:rPr>
        <w:t>洛哌丁胺</w:t>
      </w:r>
      <w:r w:rsidRPr="00136FBE">
        <w:rPr>
          <w:rFonts w:ascii="仿宋" w:eastAsia="仿宋" w:hAnsi="仿宋" w:cs="Times New Roman" w:hint="eastAsia"/>
          <w:sz w:val="32"/>
          <w:szCs w:val="32"/>
        </w:rPr>
        <w:t>的预防性用药方案如下</w:t>
      </w:r>
      <w:r w:rsidR="002744B6" w:rsidRPr="00136FBE">
        <w:rPr>
          <w:rFonts w:ascii="仿宋" w:eastAsia="仿宋" w:hAnsi="仿宋" w:cs="Times New Roman" w:hint="eastAsia"/>
          <w:sz w:val="32"/>
          <w:szCs w:val="32"/>
        </w:rPr>
        <w:t>表</w:t>
      </w:r>
      <w:r w:rsidRPr="00136FBE">
        <w:rPr>
          <w:rFonts w:ascii="仿宋" w:eastAsia="仿宋" w:hAnsi="仿宋" w:cs="Times New Roman" w:hint="eastAsia"/>
          <w:sz w:val="32"/>
          <w:szCs w:val="32"/>
        </w:rPr>
        <w:t>：</w:t>
      </w:r>
    </w:p>
    <w:p w14:paraId="27A46A11" w14:textId="77777777" w:rsidR="00203011" w:rsidRPr="00136FBE" w:rsidRDefault="00203011" w:rsidP="007B7E29">
      <w:pPr>
        <w:spacing w:line="360" w:lineRule="auto"/>
        <w:ind w:firstLineChars="200" w:firstLine="422"/>
        <w:jc w:val="center"/>
        <w:rPr>
          <w:rFonts w:ascii="仿宋" w:eastAsia="仿宋" w:hAnsi="仿宋" w:cs="Times New Roman"/>
          <w:b/>
        </w:rPr>
      </w:pPr>
      <w:r w:rsidRPr="00136FBE">
        <w:rPr>
          <w:rFonts w:ascii="仿宋" w:eastAsia="仿宋" w:hAnsi="仿宋" w:cs="Times New Roman" w:hint="eastAsia"/>
          <w:b/>
        </w:rPr>
        <w:t>表</w:t>
      </w:r>
      <w:r w:rsidR="0077210C">
        <w:rPr>
          <w:rFonts w:ascii="仿宋" w:eastAsia="仿宋" w:hAnsi="仿宋" w:cs="Times New Roman" w:hint="eastAsia"/>
          <w:b/>
        </w:rPr>
        <w:t>6</w:t>
      </w:r>
      <w:r w:rsidR="00FC1F39">
        <w:rPr>
          <w:rFonts w:ascii="仿宋" w:eastAsia="仿宋" w:hAnsi="仿宋" w:cs="Times New Roman" w:hint="eastAsia"/>
          <w:b/>
        </w:rPr>
        <w:t xml:space="preserve"> </w:t>
      </w:r>
      <w:r w:rsidR="008614AE">
        <w:rPr>
          <w:rFonts w:ascii="仿宋" w:eastAsia="仿宋" w:hAnsi="仿宋" w:cs="Times New Roman" w:hint="eastAsia"/>
          <w:b/>
        </w:rPr>
        <w:t>洛哌丁胺</w:t>
      </w:r>
      <w:r w:rsidRPr="00136FBE">
        <w:rPr>
          <w:rFonts w:ascii="仿宋" w:eastAsia="仿宋" w:hAnsi="仿宋" w:cs="Times New Roman" w:hint="eastAsia"/>
          <w:b/>
        </w:rPr>
        <w:t>预防性用药方案</w:t>
      </w:r>
    </w:p>
    <w:tbl>
      <w:tblPr>
        <w:tblStyle w:val="af8"/>
        <w:tblW w:w="0" w:type="auto"/>
        <w:tblLook w:val="04A0" w:firstRow="1" w:lastRow="0" w:firstColumn="1" w:lastColumn="0" w:noHBand="0" w:noVBand="1"/>
      </w:tblPr>
      <w:tblGrid>
        <w:gridCol w:w="4148"/>
        <w:gridCol w:w="4148"/>
      </w:tblGrid>
      <w:tr w:rsidR="00203011" w:rsidRPr="00136FBE" w14:paraId="690E184C" w14:textId="77777777" w:rsidTr="008438A0">
        <w:tc>
          <w:tcPr>
            <w:tcW w:w="4148" w:type="dxa"/>
          </w:tcPr>
          <w:p w14:paraId="6985D342" w14:textId="77777777" w:rsidR="00203011" w:rsidRPr="00136FBE" w:rsidRDefault="00203011" w:rsidP="007B7E29">
            <w:pPr>
              <w:spacing w:line="360" w:lineRule="auto"/>
              <w:jc w:val="left"/>
              <w:rPr>
                <w:rFonts w:ascii="仿宋" w:eastAsia="仿宋" w:hAnsi="仿宋" w:cs="Times New Roman"/>
                <w:b/>
              </w:rPr>
            </w:pPr>
            <w:r w:rsidRPr="00136FBE">
              <w:rPr>
                <w:rFonts w:ascii="仿宋" w:eastAsia="仿宋" w:hAnsi="仿宋" w:cs="Times New Roman" w:hint="eastAsia"/>
                <w:b/>
              </w:rPr>
              <w:t>奈拉替尼用药时间</w:t>
            </w:r>
          </w:p>
        </w:tc>
        <w:tc>
          <w:tcPr>
            <w:tcW w:w="4148" w:type="dxa"/>
          </w:tcPr>
          <w:p w14:paraId="4E0676F3" w14:textId="77777777" w:rsidR="00203011" w:rsidRPr="00136FBE" w:rsidRDefault="00203011" w:rsidP="007B7E29">
            <w:pPr>
              <w:spacing w:line="360" w:lineRule="auto"/>
              <w:jc w:val="left"/>
              <w:rPr>
                <w:rFonts w:ascii="仿宋" w:eastAsia="仿宋" w:hAnsi="仿宋" w:cs="Times New Roman"/>
                <w:b/>
              </w:rPr>
            </w:pPr>
            <w:r w:rsidRPr="00136FBE">
              <w:rPr>
                <w:rFonts w:ascii="仿宋" w:eastAsia="仿宋" w:hAnsi="仿宋" w:cs="Times New Roman" w:hint="eastAsia"/>
                <w:b/>
              </w:rPr>
              <w:t>洛哌丁胺剂量和服药频率</w:t>
            </w:r>
          </w:p>
        </w:tc>
      </w:tr>
      <w:tr w:rsidR="00203011" w:rsidRPr="00136FBE" w14:paraId="44C84BA0" w14:textId="77777777" w:rsidTr="008438A0">
        <w:tc>
          <w:tcPr>
            <w:tcW w:w="4148" w:type="dxa"/>
          </w:tcPr>
          <w:p w14:paraId="5CC71B83"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第1～2周（第1～14天）</w:t>
            </w:r>
          </w:p>
        </w:tc>
        <w:tc>
          <w:tcPr>
            <w:tcW w:w="4148" w:type="dxa"/>
          </w:tcPr>
          <w:p w14:paraId="5D774CC0"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4mg，每日三次</w:t>
            </w:r>
          </w:p>
        </w:tc>
      </w:tr>
      <w:tr w:rsidR="00203011" w:rsidRPr="00136FBE" w14:paraId="0FE468F2" w14:textId="77777777" w:rsidTr="008438A0">
        <w:tc>
          <w:tcPr>
            <w:tcW w:w="4148" w:type="dxa"/>
          </w:tcPr>
          <w:p w14:paraId="530A05DA"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第3～4周（第15～28天）</w:t>
            </w:r>
          </w:p>
        </w:tc>
        <w:tc>
          <w:tcPr>
            <w:tcW w:w="4148" w:type="dxa"/>
          </w:tcPr>
          <w:p w14:paraId="428F5609"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4mg，每日两次</w:t>
            </w:r>
          </w:p>
        </w:tc>
      </w:tr>
      <w:tr w:rsidR="00203011" w:rsidRPr="00136FBE" w14:paraId="40972B0C" w14:textId="77777777" w:rsidTr="008438A0">
        <w:tc>
          <w:tcPr>
            <w:tcW w:w="4148" w:type="dxa"/>
          </w:tcPr>
          <w:p w14:paraId="489ABEF1"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第5～8周（第29～56天）</w:t>
            </w:r>
          </w:p>
        </w:tc>
        <w:tc>
          <w:tcPr>
            <w:tcW w:w="4148" w:type="dxa"/>
          </w:tcPr>
          <w:p w14:paraId="739BF1C6"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4mg，每日两次</w:t>
            </w:r>
          </w:p>
        </w:tc>
      </w:tr>
      <w:tr w:rsidR="00203011" w:rsidRPr="00136FBE" w14:paraId="6F056D09" w14:textId="77777777" w:rsidTr="008438A0">
        <w:tc>
          <w:tcPr>
            <w:tcW w:w="4148" w:type="dxa"/>
          </w:tcPr>
          <w:p w14:paraId="025B376A"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第9～52周（第57～365天）</w:t>
            </w:r>
          </w:p>
        </w:tc>
        <w:tc>
          <w:tcPr>
            <w:tcW w:w="4148" w:type="dxa"/>
          </w:tcPr>
          <w:p w14:paraId="00699F00" w14:textId="77777777" w:rsidR="00203011" w:rsidRPr="00136FBE" w:rsidRDefault="00203011" w:rsidP="007B7E29">
            <w:pPr>
              <w:spacing w:line="360" w:lineRule="auto"/>
              <w:jc w:val="left"/>
              <w:rPr>
                <w:rFonts w:ascii="仿宋" w:eastAsia="仿宋" w:hAnsi="仿宋" w:cs="Times New Roman"/>
              </w:rPr>
            </w:pPr>
            <w:r w:rsidRPr="00136FBE">
              <w:rPr>
                <w:rFonts w:ascii="仿宋" w:eastAsia="仿宋" w:hAnsi="仿宋" w:cs="Times New Roman" w:hint="eastAsia"/>
              </w:rPr>
              <w:t>4mg按需使用，不得超过16mg/天</w:t>
            </w:r>
          </w:p>
        </w:tc>
      </w:tr>
    </w:tbl>
    <w:p w14:paraId="3E34DF49"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根据临床需要，可以通过暂时中断奈拉替尼给药或减少其用药剂量来控制腹泻，最低奈拉替尼服用剂量为120mg/天。</w:t>
      </w:r>
    </w:p>
    <w:p w14:paraId="0D66C844"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w:t>
      </w:r>
      <w:r w:rsidRPr="00136FBE">
        <w:rPr>
          <w:rFonts w:ascii="仿宋" w:eastAsia="仿宋" w:hAnsi="仿宋" w:cs="Times New Roman"/>
          <w:sz w:val="32"/>
          <w:szCs w:val="32"/>
        </w:rPr>
        <w:t>重度肝功能损伤患者中</w:t>
      </w:r>
      <w:r w:rsidRPr="00136FBE">
        <w:rPr>
          <w:rFonts w:ascii="仿宋" w:eastAsia="仿宋" w:hAnsi="仿宋" w:cs="Times New Roman" w:hint="eastAsia"/>
          <w:sz w:val="32"/>
          <w:szCs w:val="32"/>
        </w:rPr>
        <w:t>奈拉替尼</w:t>
      </w:r>
      <w:r w:rsidRPr="00136FBE">
        <w:rPr>
          <w:rFonts w:ascii="仿宋" w:eastAsia="仿宋" w:hAnsi="仿宋" w:cs="Times New Roman"/>
          <w:sz w:val="32"/>
          <w:szCs w:val="32"/>
        </w:rPr>
        <w:t>起始剂量降低至80 mg。对于</w:t>
      </w:r>
      <w:r w:rsidR="001F03A4" w:rsidRPr="00136FBE">
        <w:rPr>
          <w:rFonts w:ascii="仿宋" w:eastAsia="仿宋" w:hAnsi="仿宋" w:cs="Times New Roman"/>
          <w:sz w:val="32"/>
          <w:szCs w:val="32"/>
        </w:rPr>
        <w:t>轻中度</w:t>
      </w:r>
      <w:r w:rsidRPr="00136FBE">
        <w:rPr>
          <w:rFonts w:ascii="仿宋" w:eastAsia="仿宋" w:hAnsi="仿宋" w:cs="Times New Roman"/>
          <w:sz w:val="32"/>
          <w:szCs w:val="32"/>
        </w:rPr>
        <w:t>肝功能损伤患者，</w:t>
      </w:r>
      <w:r w:rsidRPr="00136FBE">
        <w:rPr>
          <w:rFonts w:ascii="仿宋" w:eastAsia="仿宋" w:hAnsi="仿宋" w:cs="Times New Roman" w:hint="eastAsia"/>
          <w:sz w:val="32"/>
          <w:szCs w:val="32"/>
        </w:rPr>
        <w:t>不</w:t>
      </w:r>
      <w:r w:rsidRPr="00136FBE">
        <w:rPr>
          <w:rFonts w:ascii="仿宋" w:eastAsia="仿宋" w:hAnsi="仿宋" w:cs="Times New Roman"/>
          <w:sz w:val="32"/>
          <w:szCs w:val="32"/>
        </w:rPr>
        <w:t>推荐剂量调整</w:t>
      </w:r>
      <w:r w:rsidRPr="00136FBE">
        <w:rPr>
          <w:rFonts w:ascii="仿宋" w:eastAsia="仿宋" w:hAnsi="仿宋" w:cs="Times New Roman" w:hint="eastAsia"/>
          <w:sz w:val="32"/>
          <w:szCs w:val="32"/>
        </w:rPr>
        <w:t>。</w:t>
      </w:r>
    </w:p>
    <w:p w14:paraId="3B1D9CE3"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5.药物相互作用：（1）质子泵抑制剂（</w:t>
      </w:r>
      <w:r w:rsidRPr="00136FBE">
        <w:rPr>
          <w:rFonts w:ascii="仿宋" w:eastAsia="仿宋" w:hAnsi="仿宋" w:cs="仿宋"/>
          <w:sz w:val="32"/>
          <w:szCs w:val="32"/>
        </w:rPr>
        <w:t>PPI</w:t>
      </w:r>
      <w:r w:rsidRPr="00136FBE">
        <w:rPr>
          <w:rFonts w:ascii="仿宋" w:eastAsia="仿宋" w:hAnsi="仿宋" w:cs="仿宋" w:hint="eastAsia"/>
          <w:sz w:val="32"/>
          <w:szCs w:val="32"/>
        </w:rPr>
        <w:t>）：避免与奈拉替尼联合用药。（2）</w:t>
      </w:r>
      <w:r w:rsidRPr="00136FBE">
        <w:rPr>
          <w:rFonts w:ascii="仿宋" w:eastAsia="仿宋" w:hAnsi="仿宋" w:cs="仿宋"/>
          <w:iCs/>
          <w:sz w:val="32"/>
          <w:szCs w:val="32"/>
        </w:rPr>
        <w:t>H</w:t>
      </w:r>
      <w:r w:rsidRPr="00136FBE">
        <w:rPr>
          <w:rFonts w:ascii="仿宋" w:eastAsia="仿宋" w:hAnsi="仿宋" w:cs="仿宋"/>
          <w:iCs/>
          <w:sz w:val="32"/>
          <w:szCs w:val="32"/>
          <w:vertAlign w:val="subscript"/>
        </w:rPr>
        <w:t>2</w:t>
      </w:r>
      <w:r w:rsidRPr="00136FBE">
        <w:rPr>
          <w:rFonts w:ascii="仿宋" w:eastAsia="仿宋" w:hAnsi="仿宋" w:cs="仿宋"/>
          <w:iCs/>
          <w:sz w:val="32"/>
          <w:szCs w:val="32"/>
        </w:rPr>
        <w:t>受体拮抗剂：</w:t>
      </w:r>
      <w:r w:rsidRPr="00136FBE">
        <w:rPr>
          <w:rFonts w:ascii="仿宋" w:eastAsia="仿宋" w:hAnsi="仿宋" w:cs="仿宋" w:hint="eastAsia"/>
          <w:sz w:val="32"/>
          <w:szCs w:val="32"/>
        </w:rPr>
        <w:t>在下一剂</w:t>
      </w:r>
      <w:r w:rsidRPr="00136FBE">
        <w:rPr>
          <w:rFonts w:ascii="仿宋" w:eastAsia="仿宋" w:hAnsi="仿宋" w:cs="仿宋"/>
          <w:sz w:val="32"/>
          <w:szCs w:val="32"/>
        </w:rPr>
        <w:t>H</w:t>
      </w:r>
      <w:r w:rsidRPr="00136FBE">
        <w:rPr>
          <w:rFonts w:ascii="仿宋" w:eastAsia="仿宋" w:hAnsi="仿宋" w:cs="仿宋"/>
          <w:sz w:val="32"/>
          <w:szCs w:val="32"/>
          <w:vertAlign w:val="subscript"/>
        </w:rPr>
        <w:t>2</w:t>
      </w:r>
      <w:r w:rsidRPr="00136FBE">
        <w:rPr>
          <w:rFonts w:ascii="仿宋" w:eastAsia="仿宋" w:hAnsi="仿宋" w:cs="仿宋" w:hint="eastAsia"/>
          <w:sz w:val="32"/>
          <w:szCs w:val="32"/>
        </w:rPr>
        <w:t>受体拮抗剂给药前至少</w:t>
      </w:r>
      <w:r w:rsidRPr="00136FBE">
        <w:rPr>
          <w:rFonts w:ascii="仿宋" w:eastAsia="仿宋" w:hAnsi="仿宋" w:cs="仿宋"/>
          <w:sz w:val="32"/>
          <w:szCs w:val="32"/>
        </w:rPr>
        <w:t>2</w:t>
      </w:r>
      <w:r w:rsidRPr="00136FBE">
        <w:rPr>
          <w:rFonts w:ascii="仿宋" w:eastAsia="仿宋" w:hAnsi="仿宋" w:cs="仿宋" w:hint="eastAsia"/>
          <w:sz w:val="32"/>
          <w:szCs w:val="32"/>
        </w:rPr>
        <w:t>小时或在</w:t>
      </w:r>
      <w:r w:rsidRPr="00136FBE">
        <w:rPr>
          <w:rFonts w:ascii="仿宋" w:eastAsia="仿宋" w:hAnsi="仿宋" w:cs="仿宋"/>
          <w:sz w:val="32"/>
          <w:szCs w:val="32"/>
        </w:rPr>
        <w:t>H</w:t>
      </w:r>
      <w:r w:rsidRPr="00136FBE">
        <w:rPr>
          <w:rFonts w:ascii="仿宋" w:eastAsia="仿宋" w:hAnsi="仿宋" w:cs="仿宋"/>
          <w:sz w:val="32"/>
          <w:szCs w:val="32"/>
          <w:vertAlign w:val="subscript"/>
        </w:rPr>
        <w:t>2</w:t>
      </w:r>
      <w:r w:rsidRPr="00136FBE">
        <w:rPr>
          <w:rFonts w:ascii="仿宋" w:eastAsia="仿宋" w:hAnsi="仿宋" w:cs="仿宋" w:hint="eastAsia"/>
          <w:sz w:val="32"/>
          <w:szCs w:val="32"/>
        </w:rPr>
        <w:t>受体拮抗剂给药后</w:t>
      </w:r>
      <w:r w:rsidRPr="00136FBE">
        <w:rPr>
          <w:rFonts w:ascii="仿宋" w:eastAsia="仿宋" w:hAnsi="仿宋" w:cs="仿宋"/>
          <w:sz w:val="32"/>
          <w:szCs w:val="32"/>
        </w:rPr>
        <w:t>10</w:t>
      </w:r>
      <w:r w:rsidRPr="00136FBE">
        <w:rPr>
          <w:rFonts w:ascii="仿宋" w:eastAsia="仿宋" w:hAnsi="仿宋" w:cs="仿宋" w:hint="eastAsia"/>
          <w:sz w:val="32"/>
          <w:szCs w:val="32"/>
        </w:rPr>
        <w:t>小时服用奈拉替尼。（3）</w:t>
      </w:r>
      <w:r w:rsidRPr="00136FBE">
        <w:rPr>
          <w:rFonts w:ascii="仿宋" w:eastAsia="仿宋" w:hAnsi="仿宋" w:cs="仿宋"/>
          <w:iCs/>
          <w:sz w:val="32"/>
          <w:szCs w:val="32"/>
        </w:rPr>
        <w:t>抗酸药</w:t>
      </w:r>
      <w:r w:rsidRPr="00136FBE">
        <w:rPr>
          <w:rFonts w:ascii="仿宋" w:eastAsia="仿宋" w:hAnsi="仿宋" w:cs="仿宋"/>
          <w:sz w:val="32"/>
          <w:szCs w:val="32"/>
        </w:rPr>
        <w:t>：在抗酸药给药3小时</w:t>
      </w:r>
      <w:r w:rsidRPr="00136FBE">
        <w:rPr>
          <w:rFonts w:ascii="仿宋" w:eastAsia="仿宋" w:hAnsi="仿宋" w:cs="仿宋" w:hint="eastAsia"/>
          <w:sz w:val="32"/>
          <w:szCs w:val="32"/>
        </w:rPr>
        <w:t>后方可</w:t>
      </w:r>
      <w:r w:rsidRPr="00136FBE">
        <w:rPr>
          <w:rFonts w:ascii="仿宋" w:eastAsia="仿宋" w:hAnsi="仿宋" w:cs="仿宋"/>
          <w:sz w:val="32"/>
          <w:szCs w:val="32"/>
        </w:rPr>
        <w:t>给予</w:t>
      </w:r>
      <w:r w:rsidRPr="00136FBE">
        <w:rPr>
          <w:rFonts w:ascii="仿宋" w:eastAsia="仿宋" w:hAnsi="仿宋" w:cs="仿宋" w:hint="eastAsia"/>
          <w:sz w:val="32"/>
          <w:szCs w:val="32"/>
        </w:rPr>
        <w:t>奈拉替尼。（4）避免奈拉替尼与强效或中等CYP3A4诱导剂伴</w:t>
      </w:r>
      <w:r w:rsidRPr="00136FBE">
        <w:rPr>
          <w:rFonts w:ascii="仿宋" w:eastAsia="仿宋" w:hAnsi="仿宋" w:cs="仿宋" w:hint="eastAsia"/>
          <w:sz w:val="32"/>
          <w:szCs w:val="32"/>
        </w:rPr>
        <w:lastRenderedPageBreak/>
        <w:t>随用药。</w:t>
      </w:r>
    </w:p>
    <w:p w14:paraId="7A18958A"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6.有临床研究表明，奈拉替尼联合卡培他滨对治疗晚期或转移性乳腺癌可使病人临床获益。</w:t>
      </w:r>
    </w:p>
    <w:p w14:paraId="1C2DD09D" w14:textId="77777777" w:rsidR="00B23A40" w:rsidRPr="00136FBE" w:rsidRDefault="00203011">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八</w:t>
      </w:r>
      <w:r w:rsidR="00DD1A0D" w:rsidRPr="00136FBE">
        <w:rPr>
          <w:rFonts w:ascii="黑体" w:eastAsia="黑体" w:hAnsi="黑体" w:hint="eastAsia"/>
          <w:color w:val="000000"/>
          <w:sz w:val="32"/>
          <w:szCs w:val="32"/>
        </w:rPr>
        <w:t xml:space="preserve">、哌柏西利 </w:t>
      </w:r>
      <w:r w:rsidR="00F111D5" w:rsidRPr="00136FBE">
        <w:rPr>
          <w:rFonts w:ascii="黑体" w:eastAsia="黑体" w:hAnsi="黑体" w:hint="eastAsia"/>
          <w:color w:val="000000"/>
          <w:sz w:val="32"/>
          <w:szCs w:val="32"/>
        </w:rPr>
        <w:t>P</w:t>
      </w:r>
      <w:r w:rsidR="00DD1A0D" w:rsidRPr="00136FBE">
        <w:rPr>
          <w:rFonts w:ascii="黑体" w:eastAsia="黑体" w:hAnsi="黑体"/>
          <w:color w:val="000000"/>
          <w:sz w:val="32"/>
          <w:szCs w:val="32"/>
        </w:rPr>
        <w:t>albociclib</w:t>
      </w:r>
    </w:p>
    <w:p w14:paraId="24A8C5B8"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胶囊：75mg、100mg、125mg</w:t>
      </w:r>
    </w:p>
    <w:p w14:paraId="79B5DD89"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本品适用于激素受体（HR）阳性、HER2阴性的局部晚期或转移性乳腺癌：（1）与芳香化酶抑制剂联合使用，作为绝经后女性患者的初始内分泌治疗。鉴于芳香化酶抑制剂的作用机制，绝经前/围绝经期女性接受哌柏西利与芳香化酶抑制剂联合治疗时，必须进行卵巢切除或使用促黄体生成激素释放激素（LHRH）激动剂抑制卵巢功能。（2）与氟维司群联合使用治疗内分泌治疗后进展的转移性乳腺癌女性患者。哌柏西利联合氟维司群用于绝经前/围绝经期女性，需要与LHRH激动剂联合用药。（3）男性乳腺癌：2019年4月4日，FDA批准了美国哌柏西利HR阳性、HER2阴性晚期男性乳腺癌的适应证。</w:t>
      </w:r>
    </w:p>
    <w:p w14:paraId="5100CBBA"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26947B42"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1.在接受哌柏西利治疗前，应在有资质的病理实验室进行检测证实HR阳性、HER2阴性患者方可使用。HR阳性的定义为雌激素受体免疫组化染色显示超过1%的肿瘤细胞核染色阳性。HER2阴性的定义为IHC</w:t>
      </w:r>
      <w:r w:rsidR="00A505E0" w:rsidRPr="00136FBE">
        <w:rPr>
          <w:rFonts w:ascii="仿宋" w:eastAsia="仿宋" w:hAnsi="仿宋" w:hint="eastAsia"/>
          <w:color w:val="000000"/>
          <w:sz w:val="32"/>
          <w:szCs w:val="32"/>
        </w:rPr>
        <w:t>0</w:t>
      </w:r>
      <w:r w:rsidRPr="00136FBE">
        <w:rPr>
          <w:rFonts w:ascii="仿宋" w:eastAsia="仿宋" w:hAnsi="仿宋" w:hint="eastAsia"/>
          <w:color w:val="000000"/>
          <w:sz w:val="32"/>
          <w:szCs w:val="32"/>
        </w:rPr>
        <w:t>-1+或FISH阴性。</w:t>
      </w:r>
    </w:p>
    <w:p w14:paraId="294960E7"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2.本品起始剂量是125mg/d，4周为一个用药周期：服</w:t>
      </w:r>
      <w:r w:rsidRPr="00136FBE">
        <w:rPr>
          <w:rFonts w:ascii="仿宋" w:eastAsia="仿宋" w:hAnsi="仿宋" w:hint="eastAsia"/>
          <w:color w:val="000000"/>
          <w:sz w:val="32"/>
          <w:szCs w:val="32"/>
        </w:rPr>
        <w:lastRenderedPageBreak/>
        <w:t>药3周后需停药1周。应与食物同服，不得与葡萄柚或葡萄柚汁同服，最好随餐服药以确保哌柏西利暴露量一致。</w:t>
      </w:r>
    </w:p>
    <w:p w14:paraId="7F175428"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3.常见副作用为骨髓抑制，因此建议在使用本品前行血常规检查，在中性粒细胞绝对计数≥1.0×</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且血小板计数≥50</w:t>
      </w:r>
      <w:r w:rsidR="00034C03" w:rsidRPr="00136FBE">
        <w:rPr>
          <w:rFonts w:ascii="仿宋" w:eastAsia="仿宋" w:hAnsi="仿宋" w:hint="eastAsia"/>
          <w:color w:val="000000"/>
          <w:sz w:val="32"/>
          <w:szCs w:val="32"/>
        </w:rPr>
        <w:t>.0</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时开始接受治疗。在第15天检测血常规，中性粒细胞绝对计数0.5×10</w:t>
      </w:r>
      <w:r w:rsidRPr="00136FBE">
        <w:rPr>
          <w:rFonts w:ascii="仿宋" w:eastAsia="仿宋" w:hAnsi="仿宋" w:hint="eastAsia"/>
          <w:color w:val="000000"/>
          <w:sz w:val="32"/>
          <w:szCs w:val="32"/>
          <w:vertAlign w:val="superscript"/>
        </w:rPr>
        <w:t>9</w:t>
      </w:r>
      <w:r w:rsidRPr="00136FBE">
        <w:rPr>
          <w:rFonts w:ascii="仿宋" w:eastAsia="仿宋" w:hAnsi="仿宋" w:hint="eastAsia"/>
          <w:color w:val="000000"/>
          <w:sz w:val="32"/>
          <w:szCs w:val="32"/>
        </w:rPr>
        <w:t>/L至≤1.0×10</w:t>
      </w:r>
      <w:r w:rsidRPr="00136FBE">
        <w:rPr>
          <w:rFonts w:ascii="仿宋" w:eastAsia="仿宋" w:hAnsi="仿宋" w:hint="eastAsia"/>
          <w:color w:val="000000"/>
          <w:sz w:val="32"/>
          <w:szCs w:val="32"/>
          <w:vertAlign w:val="superscript"/>
        </w:rPr>
        <w:t>9</w:t>
      </w:r>
      <w:r w:rsidRPr="00136FBE">
        <w:rPr>
          <w:rFonts w:ascii="仿宋" w:eastAsia="仿宋" w:hAnsi="仿宋" w:hint="eastAsia"/>
          <w:color w:val="000000"/>
          <w:sz w:val="32"/>
          <w:szCs w:val="32"/>
        </w:rPr>
        <w:t>/L时，可以继续服药至21天。如果第15天中性粒细胞绝对计数≤0.5×10</w:t>
      </w:r>
      <w:r w:rsidRPr="00136FBE">
        <w:rPr>
          <w:rFonts w:ascii="仿宋" w:eastAsia="仿宋" w:hAnsi="仿宋" w:hint="eastAsia"/>
          <w:color w:val="000000"/>
          <w:sz w:val="32"/>
          <w:szCs w:val="32"/>
          <w:vertAlign w:val="superscript"/>
        </w:rPr>
        <w:t>9</w:t>
      </w:r>
      <w:r w:rsidRPr="00136FBE">
        <w:rPr>
          <w:rFonts w:ascii="仿宋" w:eastAsia="仿宋" w:hAnsi="仿宋" w:hint="eastAsia"/>
          <w:color w:val="000000"/>
          <w:sz w:val="32"/>
          <w:szCs w:val="32"/>
        </w:rPr>
        <w:t>/L时，需暂停服用哌柏西利，直至恢复至≥1.0×10</w:t>
      </w:r>
      <w:r w:rsidRPr="00136FBE">
        <w:rPr>
          <w:rFonts w:ascii="仿宋" w:eastAsia="仿宋" w:hAnsi="仿宋" w:hint="eastAsia"/>
          <w:color w:val="000000"/>
          <w:sz w:val="32"/>
          <w:szCs w:val="32"/>
          <w:vertAlign w:val="superscript"/>
        </w:rPr>
        <w:t>9</w:t>
      </w:r>
      <w:r w:rsidRPr="00136FBE">
        <w:rPr>
          <w:rFonts w:ascii="仿宋" w:eastAsia="仿宋" w:hAnsi="仿宋" w:hint="eastAsia"/>
          <w:color w:val="000000"/>
          <w:sz w:val="32"/>
          <w:szCs w:val="32"/>
        </w:rPr>
        <w:t>/L，再以降低一个剂量级开始下一疗程治疗。如果下个疗程前一天检测血常规，中性粒细胞恢复至≥1.0×10</w:t>
      </w:r>
      <w:r w:rsidRPr="00136FBE">
        <w:rPr>
          <w:rFonts w:ascii="仿宋" w:eastAsia="仿宋" w:hAnsi="仿宋" w:hint="eastAsia"/>
          <w:color w:val="000000"/>
          <w:sz w:val="32"/>
          <w:szCs w:val="32"/>
          <w:vertAlign w:val="superscript"/>
        </w:rPr>
        <w:t>9</w:t>
      </w:r>
      <w:r w:rsidRPr="00136FBE">
        <w:rPr>
          <w:rFonts w:ascii="仿宋" w:eastAsia="仿宋" w:hAnsi="仿宋" w:hint="eastAsia"/>
          <w:color w:val="000000"/>
          <w:sz w:val="32"/>
          <w:szCs w:val="32"/>
        </w:rPr>
        <w:t>/L，可以原剂量开始下一疗程，但如果延迟恢复，则需要降低一个剂量级开始下一疗程。</w:t>
      </w:r>
    </w:p>
    <w:p w14:paraId="3D04855B"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避免伴随使用CYP3A强效抑制剂，考虑强效抑制剂替换为没有或只微弱CYP3A抑制作用的其他伴随用药。如果患者必须伴随用药CYP3A强效抑制剂，则将哌柏西利剂量减少至75mg，每天一次。如果停用强效抑制剂，则将哌柏西利的剂量增加至开始使用CYP3A强效抑制剂之前的剂量（在抑制剂的3</w:t>
      </w:r>
      <w:r w:rsidR="00A505E0" w:rsidRPr="00136FBE">
        <w:rPr>
          <w:rFonts w:ascii="仿宋" w:eastAsia="仿宋" w:hAnsi="仿宋" w:hint="eastAsia"/>
          <w:color w:val="000000"/>
          <w:sz w:val="32"/>
          <w:szCs w:val="32"/>
        </w:rPr>
        <w:t>～</w:t>
      </w:r>
      <w:r w:rsidRPr="00136FBE">
        <w:rPr>
          <w:rFonts w:ascii="仿宋" w:eastAsia="仿宋" w:hAnsi="仿宋" w:hint="eastAsia"/>
          <w:color w:val="000000"/>
          <w:sz w:val="32"/>
          <w:szCs w:val="32"/>
        </w:rPr>
        <w:t>5个半衰期后）。</w:t>
      </w:r>
    </w:p>
    <w:p w14:paraId="717CD397" w14:textId="77777777" w:rsidR="00203011" w:rsidRPr="00136FBE" w:rsidRDefault="00203011" w:rsidP="00203011">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九、西达本胺</w:t>
      </w:r>
      <w:proofErr w:type="spellStart"/>
      <w:r w:rsidRPr="00136FBE">
        <w:rPr>
          <w:rFonts w:ascii="黑体" w:eastAsia="黑体" w:hAnsi="黑体" w:cs="黑体" w:hint="eastAsia"/>
          <w:sz w:val="32"/>
          <w:szCs w:val="32"/>
        </w:rPr>
        <w:t>Chidamide</w:t>
      </w:r>
      <w:proofErr w:type="spellEnd"/>
    </w:p>
    <w:p w14:paraId="5CCE3865"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cs="黑体" w:hint="eastAsia"/>
          <w:b/>
          <w:sz w:val="32"/>
          <w:szCs w:val="32"/>
        </w:rPr>
        <w:t>制剂与规格：</w:t>
      </w:r>
      <w:r w:rsidRPr="00136FBE">
        <w:rPr>
          <w:rFonts w:ascii="仿宋" w:eastAsia="仿宋" w:hAnsi="仿宋" w:cs="仿宋" w:hint="eastAsia"/>
          <w:sz w:val="32"/>
          <w:szCs w:val="32"/>
        </w:rPr>
        <w:t>片剂：5mg</w:t>
      </w:r>
    </w:p>
    <w:p w14:paraId="6E56744C" w14:textId="77777777" w:rsidR="00203011" w:rsidRPr="00136FBE" w:rsidRDefault="00203011" w:rsidP="00203011">
      <w:pPr>
        <w:spacing w:line="360" w:lineRule="auto"/>
        <w:ind w:firstLineChars="200" w:firstLine="643"/>
        <w:rPr>
          <w:rFonts w:ascii="仿宋" w:eastAsia="仿宋" w:hAnsi="仿宋" w:cs="仿宋"/>
          <w:sz w:val="32"/>
          <w:szCs w:val="32"/>
        </w:rPr>
      </w:pPr>
      <w:r w:rsidRPr="00136FBE">
        <w:rPr>
          <w:rFonts w:ascii="仿宋" w:eastAsia="仿宋" w:hAnsi="仿宋" w:cs="黑体" w:hint="eastAsia"/>
          <w:b/>
          <w:sz w:val="32"/>
          <w:szCs w:val="32"/>
        </w:rPr>
        <w:t>适应证：</w:t>
      </w:r>
      <w:r w:rsidRPr="00136FBE">
        <w:rPr>
          <w:rFonts w:ascii="仿宋" w:eastAsia="仿宋" w:hAnsi="仿宋" w:cs="仿宋" w:hint="eastAsia"/>
          <w:sz w:val="32"/>
          <w:szCs w:val="32"/>
        </w:rPr>
        <w:t>联合芳香化酶抑制剂用于HR阳性、HER2阴性、绝经后、经内分泌治疗复发或进展的局部晚期或转移性乳腺</w:t>
      </w:r>
      <w:r w:rsidRPr="00136FBE">
        <w:rPr>
          <w:rFonts w:ascii="仿宋" w:eastAsia="仿宋" w:hAnsi="仿宋" w:cs="仿宋" w:hint="eastAsia"/>
          <w:sz w:val="32"/>
          <w:szCs w:val="32"/>
        </w:rPr>
        <w:lastRenderedPageBreak/>
        <w:t>癌患者。</w:t>
      </w:r>
    </w:p>
    <w:p w14:paraId="05B8803F" w14:textId="77777777" w:rsidR="00203011" w:rsidRPr="00136FBE" w:rsidRDefault="00203011" w:rsidP="00203011">
      <w:pPr>
        <w:spacing w:line="360" w:lineRule="auto"/>
        <w:ind w:firstLineChars="200" w:firstLine="643"/>
        <w:rPr>
          <w:rFonts w:ascii="仿宋" w:eastAsia="仿宋" w:hAnsi="仿宋" w:cs="黑体"/>
          <w:b/>
          <w:sz w:val="32"/>
          <w:szCs w:val="32"/>
        </w:rPr>
      </w:pPr>
      <w:r w:rsidRPr="00136FBE">
        <w:rPr>
          <w:rFonts w:ascii="仿宋" w:eastAsia="仿宋" w:hAnsi="仿宋" w:cs="黑体" w:hint="eastAsia"/>
          <w:b/>
          <w:sz w:val="32"/>
          <w:szCs w:val="32"/>
        </w:rPr>
        <w:t>合理用药要点：</w:t>
      </w:r>
    </w:p>
    <w:p w14:paraId="121CB573"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1.在接受西达本胺治疗前，经病理学证实HR阳性、HER2阴性患者方可使用。</w:t>
      </w:r>
    </w:p>
    <w:p w14:paraId="7269B7F8"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本品起始剂量是每次服药30mg，每周服药两次，两次服药间隔不应少于3天（如周一和周四、周二和周五、周三和周六等）。每4周为一个用药周期。若病情未进展或未出现不能耐受的不良反应，建议持续服药。餐后30分钟服用。</w:t>
      </w:r>
    </w:p>
    <w:p w14:paraId="5CC391F7"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3.常见的不良反应主要是血液学不良反应，因此建议在使用本品前行血常规检查，指标满足以下条件方可开始用药：中性粒细胞绝对值≥1.5×10</w:t>
      </w:r>
      <w:r w:rsidRPr="00136FBE">
        <w:rPr>
          <w:rFonts w:ascii="仿宋" w:eastAsia="仿宋" w:hAnsi="仿宋" w:cs="仿宋" w:hint="eastAsia"/>
          <w:sz w:val="32"/>
          <w:szCs w:val="32"/>
          <w:vertAlign w:val="superscript"/>
        </w:rPr>
        <w:t>9</w:t>
      </w:r>
      <w:r w:rsidRPr="00136FBE">
        <w:rPr>
          <w:rFonts w:ascii="仿宋" w:eastAsia="仿宋" w:hAnsi="仿宋" w:cs="仿宋" w:hint="eastAsia"/>
          <w:sz w:val="32"/>
          <w:szCs w:val="32"/>
        </w:rPr>
        <w:t>/L，血小板≥75.0×10</w:t>
      </w:r>
      <w:r w:rsidRPr="00136FBE">
        <w:rPr>
          <w:rFonts w:ascii="仿宋" w:eastAsia="仿宋" w:hAnsi="仿宋" w:cs="仿宋" w:hint="eastAsia"/>
          <w:sz w:val="32"/>
          <w:szCs w:val="32"/>
          <w:vertAlign w:val="superscript"/>
        </w:rPr>
        <w:t>9</w:t>
      </w:r>
      <w:r w:rsidRPr="00136FBE">
        <w:rPr>
          <w:rFonts w:ascii="仿宋" w:eastAsia="仿宋" w:hAnsi="仿宋" w:cs="仿宋" w:hint="eastAsia"/>
          <w:sz w:val="32"/>
          <w:szCs w:val="32"/>
        </w:rPr>
        <w:t>/L，血红蛋白≥90.0g/L。用药期间需定期检测血常规（通常为每周一次）。当血液学不良反应严重程度达到3级或4级时，应暂停本品用药。待指标恢复至服药前水平时，经过连续两次检查确认，可继续本品治疗。恢复用药时的剂量如下：如之前的不良反应为3级，恢复用药时可采用原剂量或剂量降低至20mg/次；如之前的不良反应为4级，恢复用药时剂量应降低至20mg/次。</w:t>
      </w:r>
    </w:p>
    <w:p w14:paraId="55C387B9" w14:textId="77777777" w:rsidR="00203011" w:rsidRPr="00136FBE" w:rsidRDefault="00203011" w:rsidP="00203011">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4.在临床相关浓度下，西达本胺对人肝微粒体CYP450酶主要亚型无明显抑制或诱导作用。</w:t>
      </w:r>
    </w:p>
    <w:p w14:paraId="493A99A0" w14:textId="77777777" w:rsidR="00203011" w:rsidRPr="00136FBE" w:rsidRDefault="00203011">
      <w:pPr>
        <w:ind w:firstLineChars="200" w:firstLine="640"/>
        <w:rPr>
          <w:rFonts w:ascii="仿宋" w:eastAsia="仿宋" w:hAnsi="仿宋"/>
          <w:color w:val="000000"/>
          <w:sz w:val="32"/>
          <w:szCs w:val="32"/>
        </w:rPr>
      </w:pPr>
    </w:p>
    <w:p w14:paraId="68246BA9" w14:textId="77777777" w:rsidR="00A408FA" w:rsidRDefault="00A408FA">
      <w:pPr>
        <w:spacing w:line="360" w:lineRule="auto"/>
        <w:ind w:firstLineChars="200" w:firstLine="883"/>
        <w:jc w:val="center"/>
        <w:rPr>
          <w:rFonts w:ascii="宋体" w:hAnsi="宋体" w:cs="宋体"/>
          <w:b/>
          <w:bCs/>
          <w:sz w:val="44"/>
          <w:szCs w:val="44"/>
        </w:rPr>
      </w:pPr>
    </w:p>
    <w:p w14:paraId="584318BF" w14:textId="77777777"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lastRenderedPageBreak/>
        <w:t>皮肤肿瘤用药</w:t>
      </w:r>
    </w:p>
    <w:p w14:paraId="211935E0" w14:textId="77777777" w:rsidR="00B23A40" w:rsidRPr="00136FBE" w:rsidRDefault="00B23A40">
      <w:pPr>
        <w:spacing w:line="360" w:lineRule="auto"/>
        <w:ind w:firstLineChars="200" w:firstLine="643"/>
        <w:jc w:val="center"/>
        <w:rPr>
          <w:rFonts w:ascii="仿宋" w:eastAsia="仿宋" w:hAnsi="仿宋" w:cs="Times New Roman"/>
          <w:b/>
          <w:bCs/>
          <w:sz w:val="32"/>
          <w:szCs w:val="32"/>
        </w:rPr>
      </w:pPr>
    </w:p>
    <w:p w14:paraId="5F3487B9" w14:textId="77777777" w:rsidR="00B23A40" w:rsidRPr="00136FBE" w:rsidRDefault="00DD1A0D">
      <w:pPr>
        <w:widowControl/>
        <w:spacing w:line="620" w:lineRule="exact"/>
        <w:ind w:firstLineChars="200" w:firstLine="640"/>
        <w:jc w:val="left"/>
        <w:rPr>
          <w:rFonts w:ascii="黑体" w:eastAsia="黑体" w:hAnsi="黑体" w:cs="Times New Roman"/>
          <w:kern w:val="0"/>
          <w:sz w:val="32"/>
          <w:szCs w:val="32"/>
        </w:rPr>
      </w:pPr>
      <w:r w:rsidRPr="00136FBE">
        <w:rPr>
          <w:rFonts w:ascii="黑体" w:eastAsia="黑体" w:hAnsi="黑体" w:cs="黑体" w:hint="eastAsia"/>
          <w:kern w:val="0"/>
          <w:sz w:val="32"/>
          <w:szCs w:val="32"/>
        </w:rPr>
        <w:t xml:space="preserve">一、伊马替尼 </w:t>
      </w:r>
      <w:r w:rsidR="00F111D5" w:rsidRPr="00136FBE">
        <w:rPr>
          <w:rFonts w:ascii="黑体" w:eastAsia="黑体" w:hAnsi="黑体" w:cs="黑体" w:hint="eastAsia"/>
          <w:kern w:val="0"/>
          <w:sz w:val="32"/>
          <w:szCs w:val="32"/>
        </w:rPr>
        <w:t>I</w:t>
      </w:r>
      <w:r w:rsidRPr="00136FBE">
        <w:rPr>
          <w:rFonts w:ascii="黑体" w:eastAsia="黑体" w:hAnsi="黑体" w:cs="黑体"/>
          <w:kern w:val="0"/>
          <w:sz w:val="32"/>
          <w:szCs w:val="32"/>
        </w:rPr>
        <w:t>matinib</w:t>
      </w:r>
    </w:p>
    <w:p w14:paraId="7D47AAA1" w14:textId="77777777" w:rsidR="00EE4844" w:rsidRPr="00136FBE" w:rsidRDefault="00DD1A0D" w:rsidP="00EE4844">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kern w:val="0"/>
          <w:sz w:val="32"/>
          <w:szCs w:val="32"/>
        </w:rPr>
        <w:t>制剂与规格：</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1</w:t>
      </w:r>
      <w:r w:rsidR="00EE4844" w:rsidRPr="00136FBE">
        <w:rPr>
          <w:rFonts w:ascii="仿宋" w:eastAsia="仿宋" w:hAnsi="仿宋" w:cs="仿宋" w:hint="eastAsia"/>
          <w:sz w:val="32"/>
          <w:szCs w:val="32"/>
        </w:rPr>
        <w:t>）片剂：</w:t>
      </w:r>
      <w:r w:rsidR="00EE4844" w:rsidRPr="00136FBE">
        <w:rPr>
          <w:rFonts w:ascii="仿宋" w:eastAsia="仿宋" w:hAnsi="仿宋" w:cs="仿宋"/>
          <w:sz w:val="32"/>
          <w:szCs w:val="32"/>
        </w:rPr>
        <w:t>100mg</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400mg</w:t>
      </w:r>
      <w:r w:rsidR="00EE4844" w:rsidRPr="00136FBE">
        <w:rPr>
          <w:rFonts w:ascii="仿宋" w:eastAsia="仿宋" w:hAnsi="仿宋" w:cs="仿宋" w:hint="eastAsia"/>
          <w:sz w:val="32"/>
          <w:szCs w:val="32"/>
        </w:rPr>
        <w:t>；（</w:t>
      </w:r>
      <w:r w:rsidR="00EE4844" w:rsidRPr="00136FBE">
        <w:rPr>
          <w:rFonts w:ascii="仿宋" w:eastAsia="仿宋" w:hAnsi="仿宋" w:cs="仿宋"/>
          <w:sz w:val="32"/>
          <w:szCs w:val="32"/>
        </w:rPr>
        <w:t>2</w:t>
      </w:r>
      <w:r w:rsidR="00EE4844" w:rsidRPr="00136FBE">
        <w:rPr>
          <w:rFonts w:ascii="仿宋" w:eastAsia="仿宋" w:hAnsi="仿宋" w:cs="仿宋" w:hint="eastAsia"/>
          <w:sz w:val="32"/>
          <w:szCs w:val="32"/>
        </w:rPr>
        <w:t>）胶囊：</w:t>
      </w:r>
      <w:r w:rsidR="00EE4844" w:rsidRPr="00136FBE">
        <w:rPr>
          <w:rFonts w:ascii="仿宋" w:eastAsia="仿宋" w:hAnsi="仿宋" w:cs="仿宋"/>
          <w:sz w:val="32"/>
          <w:szCs w:val="32"/>
        </w:rPr>
        <w:t>100mg</w:t>
      </w:r>
    </w:p>
    <w:p w14:paraId="4169EE4E" w14:textId="77777777" w:rsidR="00B23A40" w:rsidRPr="00136FBE" w:rsidRDefault="00DD1A0D">
      <w:pPr>
        <w:widowControl/>
        <w:spacing w:line="620" w:lineRule="exact"/>
        <w:ind w:firstLineChars="200" w:firstLine="643"/>
        <w:jc w:val="left"/>
        <w:rPr>
          <w:rFonts w:ascii="仿宋" w:eastAsia="仿宋" w:hAnsi="仿宋" w:cs="Times New Roman"/>
          <w:kern w:val="0"/>
          <w:sz w:val="32"/>
          <w:szCs w:val="32"/>
        </w:rPr>
      </w:pPr>
      <w:r w:rsidRPr="00136FBE">
        <w:rPr>
          <w:rFonts w:ascii="仿宋" w:eastAsia="仿宋" w:hAnsi="仿宋" w:cs="仿宋" w:hint="eastAsia"/>
          <w:b/>
          <w:bCs/>
          <w:kern w:val="0"/>
          <w:sz w:val="32"/>
          <w:szCs w:val="32"/>
        </w:rPr>
        <w:t>适应证：</w:t>
      </w:r>
      <w:r w:rsidRPr="00136FBE">
        <w:rPr>
          <w:rFonts w:ascii="仿宋" w:eastAsia="仿宋" w:hAnsi="仿宋" w:cs="仿宋" w:hint="eastAsia"/>
          <w:kern w:val="0"/>
          <w:sz w:val="32"/>
          <w:szCs w:val="32"/>
        </w:rPr>
        <w:t>对不能切除和</w:t>
      </w:r>
      <w:r w:rsidRPr="00136FBE">
        <w:rPr>
          <w:rFonts w:ascii="仿宋" w:eastAsia="仿宋" w:hAnsi="仿宋" w:cs="仿宋"/>
          <w:kern w:val="0"/>
          <w:sz w:val="32"/>
          <w:szCs w:val="32"/>
        </w:rPr>
        <w:t>/</w:t>
      </w:r>
      <w:r w:rsidRPr="00136FBE">
        <w:rPr>
          <w:rFonts w:ascii="仿宋" w:eastAsia="仿宋" w:hAnsi="仿宋" w:cs="仿宋" w:hint="eastAsia"/>
          <w:kern w:val="0"/>
          <w:sz w:val="32"/>
          <w:szCs w:val="32"/>
        </w:rPr>
        <w:t>或转移性</w:t>
      </w:r>
      <w:r w:rsidRPr="00136FBE">
        <w:rPr>
          <w:rFonts w:ascii="仿宋" w:eastAsia="仿宋" w:hAnsi="仿宋" w:cs="仿宋"/>
          <w:kern w:val="0"/>
          <w:sz w:val="32"/>
          <w:szCs w:val="32"/>
        </w:rPr>
        <w:t>KIT</w:t>
      </w:r>
      <w:r w:rsidRPr="00136FBE">
        <w:rPr>
          <w:rFonts w:ascii="仿宋" w:eastAsia="仿宋" w:hAnsi="仿宋" w:cs="仿宋" w:hint="eastAsia"/>
          <w:kern w:val="0"/>
          <w:sz w:val="32"/>
          <w:szCs w:val="32"/>
        </w:rPr>
        <w:t>突变的恶性黑色素瘤患者。</w:t>
      </w:r>
    </w:p>
    <w:p w14:paraId="17E7FE14" w14:textId="77777777" w:rsidR="00B23A40" w:rsidRPr="00136FBE" w:rsidRDefault="00DD1A0D">
      <w:pPr>
        <w:widowControl/>
        <w:spacing w:line="620" w:lineRule="exact"/>
        <w:ind w:firstLineChars="200" w:firstLine="643"/>
        <w:jc w:val="left"/>
        <w:rPr>
          <w:rFonts w:ascii="仿宋" w:eastAsia="仿宋" w:hAnsi="仿宋" w:cs="Times New Roman"/>
          <w:b/>
          <w:bCs/>
          <w:kern w:val="0"/>
          <w:sz w:val="32"/>
          <w:szCs w:val="32"/>
        </w:rPr>
      </w:pPr>
      <w:r w:rsidRPr="00136FBE">
        <w:rPr>
          <w:rFonts w:ascii="仿宋" w:eastAsia="仿宋" w:hAnsi="仿宋" w:cs="仿宋" w:hint="eastAsia"/>
          <w:b/>
          <w:bCs/>
          <w:kern w:val="0"/>
          <w:sz w:val="32"/>
          <w:szCs w:val="32"/>
        </w:rPr>
        <w:t>合理用药要点：</w:t>
      </w:r>
    </w:p>
    <w:p w14:paraId="3A0B13A4" w14:textId="77777777" w:rsidR="00B23A40" w:rsidRPr="00136FBE" w:rsidRDefault="00DD1A0D">
      <w:pPr>
        <w:widowControl/>
        <w:spacing w:line="620" w:lineRule="exact"/>
        <w:ind w:firstLineChars="200" w:firstLine="640"/>
        <w:jc w:val="left"/>
        <w:rPr>
          <w:rFonts w:ascii="仿宋" w:eastAsia="仿宋" w:hAnsi="仿宋" w:cs="Times New Roman"/>
          <w:kern w:val="0"/>
          <w:sz w:val="32"/>
          <w:szCs w:val="32"/>
        </w:rPr>
      </w:pPr>
      <w:r w:rsidRPr="00136FBE">
        <w:rPr>
          <w:rFonts w:ascii="仿宋" w:eastAsia="仿宋" w:hAnsi="仿宋" w:cs="仿宋"/>
          <w:kern w:val="0"/>
          <w:sz w:val="32"/>
          <w:szCs w:val="32"/>
        </w:rPr>
        <w:t>1.</w:t>
      </w:r>
      <w:r w:rsidRPr="00136FBE">
        <w:rPr>
          <w:rFonts w:ascii="仿宋" w:eastAsia="仿宋" w:hAnsi="仿宋" w:cs="仿宋" w:hint="eastAsia"/>
          <w:kern w:val="0"/>
          <w:sz w:val="32"/>
          <w:szCs w:val="32"/>
        </w:rPr>
        <w:t>用药前必须经由国家药品监督管理局批准的检测方法确定肿瘤为</w:t>
      </w:r>
      <w:r w:rsidRPr="00136FBE">
        <w:rPr>
          <w:rFonts w:ascii="仿宋" w:eastAsia="仿宋" w:hAnsi="仿宋" w:cs="仿宋"/>
          <w:kern w:val="0"/>
          <w:sz w:val="32"/>
          <w:szCs w:val="32"/>
        </w:rPr>
        <w:t>C-KIT</w:t>
      </w:r>
      <w:r w:rsidRPr="00136FBE">
        <w:rPr>
          <w:rFonts w:ascii="仿宋" w:eastAsia="仿宋" w:hAnsi="仿宋" w:cs="仿宋" w:hint="eastAsia"/>
          <w:kern w:val="0"/>
          <w:sz w:val="32"/>
          <w:szCs w:val="32"/>
        </w:rPr>
        <w:t>突变阳性，才可使用伊马替尼治疗，免疫组化</w:t>
      </w:r>
      <w:r w:rsidRPr="00136FBE">
        <w:rPr>
          <w:rFonts w:ascii="仿宋" w:eastAsia="仿宋" w:hAnsi="仿宋" w:cs="仿宋"/>
          <w:kern w:val="0"/>
          <w:sz w:val="32"/>
          <w:szCs w:val="32"/>
        </w:rPr>
        <w:t>CD117</w:t>
      </w:r>
      <w:r w:rsidRPr="00136FBE">
        <w:rPr>
          <w:rFonts w:ascii="仿宋" w:eastAsia="仿宋" w:hAnsi="仿宋" w:cs="仿宋" w:hint="eastAsia"/>
          <w:kern w:val="0"/>
          <w:sz w:val="32"/>
          <w:szCs w:val="32"/>
        </w:rPr>
        <w:t>阳性不能替代</w:t>
      </w:r>
      <w:r w:rsidRPr="00136FBE">
        <w:rPr>
          <w:rFonts w:ascii="仿宋" w:eastAsia="仿宋" w:hAnsi="仿宋" w:cs="仿宋"/>
          <w:kern w:val="0"/>
          <w:sz w:val="32"/>
          <w:szCs w:val="32"/>
        </w:rPr>
        <w:t>KIT</w:t>
      </w:r>
      <w:r w:rsidRPr="00136FBE">
        <w:rPr>
          <w:rFonts w:ascii="仿宋" w:eastAsia="仿宋" w:hAnsi="仿宋" w:cs="仿宋" w:hint="eastAsia"/>
          <w:kern w:val="0"/>
          <w:sz w:val="32"/>
          <w:szCs w:val="32"/>
        </w:rPr>
        <w:t>突变基因检测，伊马替尼不能用于</w:t>
      </w:r>
      <w:r w:rsidRPr="00136FBE">
        <w:rPr>
          <w:rFonts w:ascii="仿宋" w:eastAsia="仿宋" w:hAnsi="仿宋" w:cs="仿宋"/>
          <w:kern w:val="0"/>
          <w:sz w:val="32"/>
          <w:szCs w:val="32"/>
        </w:rPr>
        <w:t>KIT</w:t>
      </w:r>
      <w:r w:rsidRPr="00136FBE">
        <w:rPr>
          <w:rFonts w:ascii="仿宋" w:eastAsia="仿宋" w:hAnsi="仿宋" w:cs="仿宋" w:hint="eastAsia"/>
          <w:kern w:val="0"/>
          <w:sz w:val="32"/>
          <w:szCs w:val="32"/>
        </w:rPr>
        <w:t>野生型黑色素瘤患者。</w:t>
      </w:r>
    </w:p>
    <w:p w14:paraId="55FD5444" w14:textId="77777777" w:rsidR="00B23A40" w:rsidRPr="00136FBE" w:rsidRDefault="00DD1A0D">
      <w:pPr>
        <w:widowControl/>
        <w:spacing w:line="620" w:lineRule="exact"/>
        <w:ind w:firstLineChars="200" w:firstLine="640"/>
        <w:jc w:val="left"/>
        <w:rPr>
          <w:rFonts w:ascii="仿宋" w:eastAsia="仿宋" w:hAnsi="仿宋" w:cs="Times New Roman"/>
          <w:kern w:val="0"/>
          <w:sz w:val="32"/>
          <w:szCs w:val="32"/>
        </w:rPr>
      </w:pPr>
      <w:r w:rsidRPr="00136FBE">
        <w:rPr>
          <w:rFonts w:ascii="仿宋" w:eastAsia="仿宋" w:hAnsi="仿宋" w:cs="仿宋"/>
          <w:kern w:val="0"/>
          <w:sz w:val="32"/>
          <w:szCs w:val="32"/>
        </w:rPr>
        <w:t>2.</w:t>
      </w:r>
      <w:r w:rsidRPr="00136FBE">
        <w:rPr>
          <w:rFonts w:ascii="仿宋" w:eastAsia="仿宋" w:hAnsi="仿宋" w:cs="仿宋" w:hint="eastAsia"/>
          <w:kern w:val="0"/>
          <w:sz w:val="32"/>
          <w:szCs w:val="32"/>
        </w:rPr>
        <w:t>对于</w:t>
      </w:r>
      <w:r w:rsidRPr="00136FBE">
        <w:rPr>
          <w:rFonts w:ascii="仿宋" w:eastAsia="仿宋" w:hAnsi="仿宋" w:cs="仿宋"/>
          <w:kern w:val="0"/>
          <w:sz w:val="32"/>
          <w:szCs w:val="32"/>
        </w:rPr>
        <w:t>KIT</w:t>
      </w:r>
      <w:r w:rsidRPr="00136FBE">
        <w:rPr>
          <w:rFonts w:ascii="仿宋" w:eastAsia="仿宋" w:hAnsi="仿宋" w:cs="仿宋" w:hint="eastAsia"/>
          <w:kern w:val="0"/>
          <w:sz w:val="32"/>
          <w:szCs w:val="32"/>
        </w:rPr>
        <w:t>突变的晚期黑色素瘤患者的推荐剂量为</w:t>
      </w:r>
      <w:r w:rsidRPr="00136FBE">
        <w:rPr>
          <w:rFonts w:ascii="仿宋" w:eastAsia="仿宋" w:hAnsi="仿宋" w:cs="仿宋"/>
          <w:kern w:val="0"/>
          <w:sz w:val="32"/>
          <w:szCs w:val="32"/>
        </w:rPr>
        <w:t>400mg</w:t>
      </w:r>
      <w:r w:rsidRPr="00136FBE">
        <w:rPr>
          <w:rFonts w:ascii="仿宋" w:eastAsia="仿宋" w:hAnsi="仿宋" w:cs="仿宋" w:hint="eastAsia"/>
          <w:kern w:val="0"/>
          <w:sz w:val="32"/>
          <w:szCs w:val="32"/>
        </w:rPr>
        <w:t>；</w:t>
      </w:r>
      <w:r w:rsidRPr="00136FBE">
        <w:rPr>
          <w:rFonts w:ascii="仿宋" w:eastAsia="仿宋" w:hAnsi="仿宋" w:cs="仿宋"/>
          <w:kern w:val="0"/>
          <w:sz w:val="32"/>
          <w:szCs w:val="32"/>
        </w:rPr>
        <w:t>400mg</w:t>
      </w:r>
      <w:r w:rsidRPr="00136FBE">
        <w:rPr>
          <w:rFonts w:ascii="仿宋" w:eastAsia="仿宋" w:hAnsi="仿宋" w:cs="仿宋" w:hint="eastAsia"/>
          <w:kern w:val="0"/>
          <w:sz w:val="32"/>
          <w:szCs w:val="32"/>
        </w:rPr>
        <w:t>治疗进展后可遵医嘱增量至</w:t>
      </w:r>
      <w:r w:rsidRPr="00136FBE">
        <w:rPr>
          <w:rFonts w:ascii="仿宋" w:eastAsia="仿宋" w:hAnsi="仿宋" w:cs="仿宋"/>
          <w:kern w:val="0"/>
          <w:sz w:val="32"/>
          <w:szCs w:val="32"/>
        </w:rPr>
        <w:t>600mg</w:t>
      </w:r>
      <w:r w:rsidRPr="00136FBE">
        <w:rPr>
          <w:rFonts w:ascii="仿宋" w:eastAsia="仿宋" w:hAnsi="仿宋" w:cs="仿宋" w:hint="eastAsia"/>
          <w:kern w:val="0"/>
          <w:sz w:val="32"/>
          <w:szCs w:val="32"/>
        </w:rPr>
        <w:t>、</w:t>
      </w:r>
      <w:r w:rsidRPr="00136FBE">
        <w:rPr>
          <w:rFonts w:ascii="仿宋" w:eastAsia="仿宋" w:hAnsi="仿宋" w:cs="仿宋"/>
          <w:kern w:val="0"/>
          <w:sz w:val="32"/>
          <w:szCs w:val="32"/>
        </w:rPr>
        <w:t>800mg</w:t>
      </w:r>
      <w:r w:rsidRPr="00136FBE">
        <w:rPr>
          <w:rFonts w:ascii="仿宋" w:eastAsia="仿宋" w:hAnsi="仿宋" w:cs="仿宋" w:hint="eastAsia"/>
          <w:kern w:val="0"/>
          <w:sz w:val="32"/>
          <w:szCs w:val="32"/>
        </w:rPr>
        <w:t>，仍有部分患者获益，但不良反应亦加重。</w:t>
      </w:r>
    </w:p>
    <w:p w14:paraId="72969ECC" w14:textId="77777777" w:rsidR="00B23A40" w:rsidRPr="00136FBE" w:rsidRDefault="00DD1A0D">
      <w:pPr>
        <w:widowControl/>
        <w:spacing w:line="620" w:lineRule="exact"/>
        <w:ind w:firstLineChars="200" w:firstLine="640"/>
        <w:jc w:val="left"/>
        <w:rPr>
          <w:rFonts w:ascii="仿宋" w:eastAsia="仿宋" w:hAnsi="仿宋" w:cs="Times New Roman"/>
          <w:kern w:val="0"/>
          <w:sz w:val="32"/>
          <w:szCs w:val="32"/>
        </w:rPr>
      </w:pPr>
      <w:r w:rsidRPr="00136FBE">
        <w:rPr>
          <w:rFonts w:ascii="仿宋" w:eastAsia="仿宋" w:hAnsi="仿宋" w:cs="仿宋"/>
          <w:kern w:val="0"/>
          <w:sz w:val="32"/>
          <w:szCs w:val="32"/>
        </w:rPr>
        <w:t>3.</w:t>
      </w:r>
      <w:r w:rsidRPr="00136FBE">
        <w:rPr>
          <w:rFonts w:ascii="仿宋" w:eastAsia="仿宋" w:hAnsi="仿宋" w:cs="仿宋" w:hint="eastAsia"/>
          <w:kern w:val="0"/>
          <w:sz w:val="32"/>
          <w:szCs w:val="32"/>
        </w:rPr>
        <w:t>用药期间常见的反应包括水肿、乏力、食欲减退、皮疹、粒细胞下降等，服药期间应定期检测血常规、肝肾功能。</w:t>
      </w:r>
    </w:p>
    <w:p w14:paraId="1757001B" w14:textId="77777777" w:rsidR="00A408FA" w:rsidRDefault="00DD1A0D">
      <w:pPr>
        <w:widowControl/>
        <w:spacing w:line="620" w:lineRule="exact"/>
        <w:ind w:firstLineChars="200" w:firstLine="640"/>
        <w:jc w:val="left"/>
        <w:rPr>
          <w:rFonts w:ascii="仿宋" w:eastAsia="仿宋" w:hAnsi="仿宋" w:cs="仿宋"/>
          <w:kern w:val="0"/>
          <w:sz w:val="32"/>
          <w:szCs w:val="32"/>
        </w:rPr>
      </w:pPr>
      <w:r w:rsidRPr="00136FBE">
        <w:rPr>
          <w:rFonts w:ascii="仿宋" w:eastAsia="仿宋" w:hAnsi="仿宋" w:cs="仿宋"/>
          <w:kern w:val="0"/>
          <w:sz w:val="32"/>
          <w:szCs w:val="32"/>
        </w:rPr>
        <w:t>4.</w:t>
      </w:r>
      <w:r w:rsidRPr="00136FBE">
        <w:rPr>
          <w:rFonts w:ascii="仿宋" w:eastAsia="仿宋" w:hAnsi="仿宋" w:cs="仿宋" w:hint="eastAsia"/>
          <w:kern w:val="0"/>
          <w:sz w:val="32"/>
          <w:szCs w:val="32"/>
        </w:rPr>
        <w:t>不能吞咽药片的患者，可以将药片分散于不含气体的水中（</w:t>
      </w:r>
      <w:r w:rsidRPr="00136FBE">
        <w:rPr>
          <w:rFonts w:ascii="仿宋" w:eastAsia="仿宋" w:hAnsi="仿宋" w:cs="仿宋"/>
          <w:kern w:val="0"/>
          <w:sz w:val="32"/>
          <w:szCs w:val="32"/>
        </w:rPr>
        <w:t>100mg</w:t>
      </w:r>
      <w:r w:rsidRPr="00136FBE">
        <w:rPr>
          <w:rFonts w:ascii="仿宋" w:eastAsia="仿宋" w:hAnsi="仿宋" w:cs="仿宋" w:hint="eastAsia"/>
          <w:kern w:val="0"/>
          <w:sz w:val="32"/>
          <w:szCs w:val="32"/>
        </w:rPr>
        <w:t>片约用</w:t>
      </w:r>
      <w:r w:rsidRPr="00136FBE">
        <w:rPr>
          <w:rFonts w:ascii="仿宋" w:eastAsia="仿宋" w:hAnsi="仿宋" w:cs="仿宋"/>
          <w:kern w:val="0"/>
          <w:sz w:val="32"/>
          <w:szCs w:val="32"/>
        </w:rPr>
        <w:t>50ml</w:t>
      </w:r>
      <w:r w:rsidRPr="00136FBE">
        <w:rPr>
          <w:rFonts w:ascii="仿宋" w:eastAsia="仿宋" w:hAnsi="仿宋" w:cs="仿宋" w:hint="eastAsia"/>
          <w:kern w:val="0"/>
          <w:sz w:val="32"/>
          <w:szCs w:val="32"/>
        </w:rPr>
        <w:t>，</w:t>
      </w:r>
      <w:r w:rsidRPr="00136FBE">
        <w:rPr>
          <w:rFonts w:ascii="仿宋" w:eastAsia="仿宋" w:hAnsi="仿宋" w:cs="仿宋"/>
          <w:kern w:val="0"/>
          <w:sz w:val="32"/>
          <w:szCs w:val="32"/>
        </w:rPr>
        <w:t>400mg</w:t>
      </w:r>
      <w:r w:rsidRPr="00136FBE">
        <w:rPr>
          <w:rFonts w:ascii="仿宋" w:eastAsia="仿宋" w:hAnsi="仿宋" w:cs="仿宋" w:hint="eastAsia"/>
          <w:kern w:val="0"/>
          <w:sz w:val="32"/>
          <w:szCs w:val="32"/>
        </w:rPr>
        <w:t>约用</w:t>
      </w:r>
      <w:r w:rsidRPr="00136FBE">
        <w:rPr>
          <w:rFonts w:ascii="仿宋" w:eastAsia="仿宋" w:hAnsi="仿宋" w:cs="仿宋"/>
          <w:kern w:val="0"/>
          <w:sz w:val="32"/>
          <w:szCs w:val="32"/>
        </w:rPr>
        <w:t>200ml</w:t>
      </w:r>
      <w:r w:rsidRPr="00136FBE">
        <w:rPr>
          <w:rFonts w:ascii="仿宋" w:eastAsia="仿宋" w:hAnsi="仿宋" w:cs="仿宋" w:hint="eastAsia"/>
          <w:kern w:val="0"/>
          <w:sz w:val="32"/>
          <w:szCs w:val="32"/>
        </w:rPr>
        <w:t>）。应搅拌混悬液，一旦药片崩解完全应立即服用。</w:t>
      </w:r>
    </w:p>
    <w:p w14:paraId="7FABD95B" w14:textId="77777777" w:rsidR="009D69C0" w:rsidRDefault="00451486">
      <w:pPr>
        <w:widowControl/>
        <w:spacing w:line="62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sidRPr="00B52418">
        <w:rPr>
          <w:rFonts w:ascii="仿宋" w:eastAsia="仿宋" w:hAnsi="仿宋" w:cs="仿宋" w:hint="eastAsia"/>
          <w:sz w:val="32"/>
          <w:szCs w:val="32"/>
        </w:rPr>
        <w:t>.本品是CYP3A4的底物，同时给予CYP3A4诱导剂后伊马替尼的血浆浓度降低，从而导致疗效减低，应避免伊马替尼与CYP3A4诱导剂同时服用。</w:t>
      </w:r>
    </w:p>
    <w:p w14:paraId="7EBE782F" w14:textId="77777777" w:rsidR="00451486" w:rsidRPr="00136FBE" w:rsidRDefault="00451486" w:rsidP="00451486">
      <w:pPr>
        <w:widowControl/>
        <w:spacing w:line="620" w:lineRule="exact"/>
        <w:ind w:firstLineChars="200" w:firstLine="640"/>
        <w:jc w:val="left"/>
        <w:rPr>
          <w:rFonts w:ascii="仿宋" w:eastAsia="仿宋" w:hAnsi="仿宋" w:cs="Times New Roman"/>
          <w:kern w:val="0"/>
          <w:sz w:val="32"/>
          <w:szCs w:val="32"/>
        </w:rPr>
      </w:pPr>
      <w:r>
        <w:rPr>
          <w:rFonts w:ascii="仿宋" w:eastAsia="仿宋" w:hAnsi="仿宋" w:cs="仿宋" w:hint="eastAsia"/>
          <w:sz w:val="32"/>
          <w:szCs w:val="32"/>
        </w:rPr>
        <w:t>6</w:t>
      </w:r>
      <w:r w:rsidRPr="00B52418">
        <w:rPr>
          <w:rFonts w:ascii="仿宋" w:eastAsia="仿宋" w:hAnsi="仿宋" w:cs="仿宋" w:hint="eastAsia"/>
          <w:sz w:val="32"/>
          <w:szCs w:val="32"/>
        </w:rPr>
        <w:t>.伊马替尼应在进餐时服用</w:t>
      </w:r>
      <w:r w:rsidR="0009469F">
        <w:rPr>
          <w:rFonts w:ascii="仿宋" w:eastAsia="仿宋" w:hAnsi="仿宋" w:cs="仿宋" w:hint="eastAsia"/>
          <w:sz w:val="32"/>
          <w:szCs w:val="32"/>
        </w:rPr>
        <w:t>，</w:t>
      </w:r>
      <w:r w:rsidRPr="00B52418">
        <w:rPr>
          <w:rFonts w:ascii="仿宋" w:eastAsia="仿宋" w:hAnsi="仿宋" w:cs="仿宋" w:hint="eastAsia"/>
          <w:sz w:val="32"/>
          <w:szCs w:val="32"/>
        </w:rPr>
        <w:t>并饮一大杯水。使用胶囊剂型时，对于不能吞咽胶囊的患者（包括儿童），可以将胶囊内药物分散于水或苹果汁中。使用片剂时，可以将药片分散于不含气体的水或苹果汁中(100mg片约用50ml，400mg约用200ml)。应搅拌混悬液，一旦药片崩解完全应立即服用。（2）如果接受伊马替尼治疗过程中出现严重非血液学不良反应（如严重体</w:t>
      </w:r>
      <w:r>
        <w:rPr>
          <w:rFonts w:ascii="仿宋" w:eastAsia="仿宋" w:hAnsi="仿宋" w:cs="仿宋" w:hint="eastAsia"/>
          <w:sz w:val="32"/>
          <w:szCs w:val="32"/>
        </w:rPr>
        <w:t>液</w:t>
      </w:r>
      <w:r w:rsidRPr="00B52418">
        <w:rPr>
          <w:rFonts w:ascii="仿宋" w:eastAsia="仿宋" w:hAnsi="仿宋" w:cs="仿宋" w:hint="eastAsia"/>
          <w:sz w:val="32"/>
          <w:szCs w:val="32"/>
        </w:rPr>
        <w:t>潴留），应停药，直到不良反应消失，然后再根据该不良反应的严重程度调整剂量。（3）对于3岁以上儿童使用伊马替尼的研究，主要来自国外儿童研究数据，中国儿童人群用药安全有效性数据有限。尚无3岁以下儿童用药经验。（4）已有报告显示接受伊马替尼的儿童和青春前期青少年出现发育迟缓。暂不知伊马替尼延长治疗对儿童发育的长期影响。因此，建议对使用伊马替尼的儿童的发育情况进行密切监测。</w:t>
      </w:r>
    </w:p>
    <w:p w14:paraId="6C15944A" w14:textId="77777777" w:rsidR="00B23A40" w:rsidRPr="00136FBE" w:rsidRDefault="00DD1A0D">
      <w:pPr>
        <w:spacing w:line="600" w:lineRule="exact"/>
        <w:ind w:firstLineChars="200" w:firstLine="640"/>
        <w:rPr>
          <w:rFonts w:ascii="黑体" w:eastAsia="黑体" w:hAnsi="黑体" w:cs="Times New Roman"/>
          <w:sz w:val="32"/>
          <w:szCs w:val="32"/>
          <w:lang w:val="fr-FR"/>
        </w:rPr>
      </w:pPr>
      <w:r w:rsidRPr="00136FBE">
        <w:rPr>
          <w:rFonts w:ascii="黑体" w:eastAsia="黑体" w:hAnsi="黑体" w:cs="黑体" w:hint="eastAsia"/>
          <w:sz w:val="32"/>
          <w:szCs w:val="32"/>
          <w:lang w:val="fr-FR"/>
        </w:rPr>
        <w:t>二、</w:t>
      </w:r>
      <w:r w:rsidRPr="00136FBE">
        <w:rPr>
          <w:rFonts w:ascii="黑体" w:eastAsia="黑体" w:hAnsi="黑体" w:cs="黑体" w:hint="eastAsia"/>
          <w:color w:val="000000"/>
          <w:kern w:val="0"/>
          <w:sz w:val="32"/>
          <w:szCs w:val="32"/>
        </w:rPr>
        <w:t xml:space="preserve">维莫非尼 </w:t>
      </w:r>
      <w:r w:rsidR="00F111D5" w:rsidRPr="00136FBE">
        <w:rPr>
          <w:rFonts w:ascii="黑体" w:eastAsia="黑体" w:hAnsi="黑体" w:cs="黑体" w:hint="eastAsia"/>
          <w:color w:val="000000"/>
          <w:kern w:val="0"/>
          <w:sz w:val="32"/>
          <w:szCs w:val="32"/>
        </w:rPr>
        <w:t>V</w:t>
      </w:r>
      <w:r w:rsidRPr="00136FBE">
        <w:rPr>
          <w:rFonts w:ascii="黑体" w:eastAsia="黑体" w:hAnsi="黑体" w:cs="黑体"/>
          <w:color w:val="000000"/>
          <w:kern w:val="0"/>
          <w:sz w:val="32"/>
          <w:szCs w:val="32"/>
        </w:rPr>
        <w:t>emurafenib</w:t>
      </w:r>
    </w:p>
    <w:p w14:paraId="12E6C668" w14:textId="77777777" w:rsidR="00B23A40" w:rsidRPr="00136FBE" w:rsidRDefault="00DD1A0D">
      <w:pPr>
        <w:autoSpaceDE w:val="0"/>
        <w:autoSpaceDN w:val="0"/>
        <w:adjustRightInd w:val="0"/>
        <w:spacing w:line="360" w:lineRule="auto"/>
        <w:ind w:firstLineChars="200" w:firstLine="643"/>
        <w:jc w:val="left"/>
        <w:rPr>
          <w:rFonts w:ascii="仿宋" w:eastAsia="仿宋" w:hAnsi="仿宋" w:cs="仿宋"/>
          <w:color w:val="000000"/>
          <w:kern w:val="0"/>
          <w:sz w:val="32"/>
          <w:szCs w:val="32"/>
          <w:lang w:val="fr-FR"/>
        </w:rPr>
      </w:pPr>
      <w:r w:rsidRPr="00136FBE">
        <w:rPr>
          <w:rFonts w:ascii="仿宋" w:eastAsia="仿宋" w:hAnsi="仿宋" w:cs="仿宋" w:hint="eastAsia"/>
          <w:b/>
          <w:bCs/>
          <w:color w:val="000000"/>
          <w:kern w:val="0"/>
          <w:sz w:val="32"/>
          <w:szCs w:val="32"/>
        </w:rPr>
        <w:t>制剂与规格</w:t>
      </w:r>
      <w:r w:rsidRPr="00136FBE">
        <w:rPr>
          <w:rFonts w:ascii="仿宋" w:eastAsia="仿宋" w:hAnsi="仿宋" w:cs="仿宋" w:hint="eastAsia"/>
          <w:b/>
          <w:bCs/>
          <w:color w:val="000000"/>
          <w:kern w:val="0"/>
          <w:sz w:val="32"/>
          <w:szCs w:val="32"/>
          <w:lang w:val="fr-FR"/>
        </w:rPr>
        <w:t>：</w:t>
      </w:r>
      <w:r w:rsidRPr="00136FBE">
        <w:rPr>
          <w:rFonts w:ascii="仿宋" w:eastAsia="仿宋" w:hAnsi="仿宋" w:cs="仿宋" w:hint="eastAsia"/>
          <w:color w:val="000000"/>
          <w:kern w:val="0"/>
          <w:sz w:val="32"/>
          <w:szCs w:val="32"/>
        </w:rPr>
        <w:t>片剂：</w:t>
      </w:r>
      <w:r w:rsidRPr="00136FBE">
        <w:rPr>
          <w:rFonts w:ascii="仿宋" w:eastAsia="仿宋" w:hAnsi="仿宋" w:cs="仿宋"/>
          <w:color w:val="000000"/>
          <w:kern w:val="0"/>
          <w:sz w:val="32"/>
          <w:szCs w:val="32"/>
          <w:lang w:val="fr-FR"/>
        </w:rPr>
        <w:t xml:space="preserve">240mg </w:t>
      </w:r>
    </w:p>
    <w:p w14:paraId="3A56506F" w14:textId="77777777" w:rsidR="00B23A40" w:rsidRDefault="00DD1A0D" w:rsidP="00AC4AC8">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经国家药品监督管理局批准的检测方法确定的</w:t>
      </w:r>
      <w:r w:rsidRPr="00136FBE">
        <w:rPr>
          <w:rFonts w:ascii="仿宋" w:eastAsia="仿宋" w:hAnsi="仿宋" w:cs="仿宋"/>
          <w:sz w:val="32"/>
          <w:szCs w:val="32"/>
        </w:rPr>
        <w:t>BRAFV600</w:t>
      </w:r>
      <w:r w:rsidRPr="00136FBE">
        <w:rPr>
          <w:rFonts w:ascii="仿宋" w:eastAsia="仿宋" w:hAnsi="仿宋" w:cs="仿宋" w:hint="eastAsia"/>
          <w:sz w:val="32"/>
          <w:szCs w:val="32"/>
        </w:rPr>
        <w:t>突变阳性的不可切除或转移性黑色素瘤。</w:t>
      </w:r>
    </w:p>
    <w:p w14:paraId="1C588533"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0AFAA4F6"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lastRenderedPageBreak/>
        <w:t>1.</w:t>
      </w:r>
      <w:r w:rsidRPr="00136FBE">
        <w:rPr>
          <w:rFonts w:ascii="仿宋" w:eastAsia="仿宋" w:hAnsi="仿宋" w:cs="仿宋" w:hint="eastAsia"/>
          <w:sz w:val="32"/>
          <w:szCs w:val="32"/>
        </w:rPr>
        <w:t>用药前必须经由国家药品监督管理局批准的检测方法确定肿瘤为</w:t>
      </w:r>
      <w:r w:rsidRPr="00136FBE">
        <w:rPr>
          <w:rFonts w:ascii="仿宋" w:eastAsia="仿宋" w:hAnsi="仿宋" w:cs="仿宋"/>
          <w:sz w:val="32"/>
          <w:szCs w:val="32"/>
        </w:rPr>
        <w:t>BRAFV600</w:t>
      </w:r>
      <w:r w:rsidRPr="00136FBE">
        <w:rPr>
          <w:rFonts w:ascii="仿宋" w:eastAsia="仿宋" w:hAnsi="仿宋" w:cs="仿宋" w:hint="eastAsia"/>
          <w:sz w:val="32"/>
          <w:szCs w:val="32"/>
        </w:rPr>
        <w:t>突变阳性，才可使用维莫非尼治疗，维莫非尼不能用于</w:t>
      </w:r>
      <w:r w:rsidRPr="00136FBE">
        <w:rPr>
          <w:rFonts w:ascii="仿宋" w:eastAsia="仿宋" w:hAnsi="仿宋" w:cs="仿宋"/>
          <w:sz w:val="32"/>
          <w:szCs w:val="32"/>
        </w:rPr>
        <w:t>BRAF</w:t>
      </w:r>
      <w:r w:rsidRPr="00136FBE">
        <w:rPr>
          <w:rFonts w:ascii="仿宋" w:eastAsia="仿宋" w:hAnsi="仿宋" w:cs="仿宋" w:hint="eastAsia"/>
          <w:sz w:val="32"/>
          <w:szCs w:val="32"/>
        </w:rPr>
        <w:t>野生型黑色素瘤患者</w:t>
      </w:r>
      <w:r w:rsidRPr="00136FBE">
        <w:rPr>
          <w:rFonts w:ascii="仿宋" w:eastAsia="仿宋" w:hAnsi="仿宋" w:cs="仿宋" w:hint="eastAsia"/>
          <w:i/>
          <w:iCs/>
          <w:sz w:val="32"/>
          <w:szCs w:val="32"/>
        </w:rPr>
        <w:t>。</w:t>
      </w:r>
    </w:p>
    <w:p w14:paraId="4C972405" w14:textId="77777777" w:rsidR="00B23A40" w:rsidRPr="00136FBE" w:rsidRDefault="00DD1A0D">
      <w:pPr>
        <w:spacing w:line="360" w:lineRule="auto"/>
        <w:ind w:firstLineChars="200" w:firstLine="610"/>
        <w:rPr>
          <w:rFonts w:ascii="仿宋" w:eastAsia="仿宋" w:hAnsi="仿宋" w:cs="Times New Roman"/>
          <w:w w:val="96"/>
          <w:sz w:val="32"/>
          <w:szCs w:val="32"/>
        </w:rPr>
      </w:pPr>
      <w:r w:rsidRPr="00136FBE">
        <w:rPr>
          <w:rFonts w:ascii="仿宋" w:eastAsia="仿宋" w:hAnsi="仿宋" w:cs="仿宋"/>
          <w:w w:val="96"/>
          <w:sz w:val="32"/>
          <w:szCs w:val="32"/>
        </w:rPr>
        <w:t>2.</w:t>
      </w:r>
      <w:r w:rsidRPr="00136FBE">
        <w:rPr>
          <w:rFonts w:ascii="仿宋" w:eastAsia="仿宋" w:hAnsi="仿宋" w:cs="仿宋" w:hint="eastAsia"/>
          <w:w w:val="96"/>
          <w:sz w:val="32"/>
          <w:szCs w:val="32"/>
        </w:rPr>
        <w:t>用药期间必须注意常见的皮肤反应如皮疹，光敏反应等</w:t>
      </w:r>
      <w:r w:rsidRPr="00136FBE">
        <w:rPr>
          <w:rFonts w:ascii="仿宋" w:eastAsia="仿宋" w:hAnsi="仿宋" w:cs="仿宋" w:hint="eastAsia"/>
          <w:i/>
          <w:iCs/>
          <w:w w:val="96"/>
          <w:sz w:val="32"/>
          <w:szCs w:val="32"/>
        </w:rPr>
        <w:t>。</w:t>
      </w:r>
    </w:p>
    <w:p w14:paraId="5D4DA590"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基线</w:t>
      </w:r>
      <w:r w:rsidRPr="00136FBE">
        <w:rPr>
          <w:rFonts w:ascii="仿宋" w:eastAsia="仿宋" w:hAnsi="仿宋" w:cs="仿宋"/>
          <w:sz w:val="32"/>
          <w:szCs w:val="32"/>
        </w:rPr>
        <w:t>QTc</w:t>
      </w:r>
      <w:r w:rsidRPr="00136FBE">
        <w:rPr>
          <w:rFonts w:ascii="仿宋" w:eastAsia="仿宋" w:hAnsi="仿宋" w:cs="仿宋" w:hint="eastAsia"/>
          <w:sz w:val="32"/>
          <w:szCs w:val="32"/>
        </w:rPr>
        <w:t>＞</w:t>
      </w:r>
      <w:r w:rsidRPr="00136FBE">
        <w:rPr>
          <w:rFonts w:ascii="仿宋" w:eastAsia="仿宋" w:hAnsi="仿宋" w:cs="仿宋"/>
          <w:sz w:val="32"/>
          <w:szCs w:val="32"/>
        </w:rPr>
        <w:t>500ms</w:t>
      </w:r>
      <w:r w:rsidR="002F5D96" w:rsidRPr="00136FBE">
        <w:rPr>
          <w:rFonts w:ascii="仿宋" w:eastAsia="仿宋" w:hAnsi="仿宋" w:cs="仿宋" w:hint="eastAsia"/>
          <w:sz w:val="32"/>
          <w:szCs w:val="32"/>
        </w:rPr>
        <w:t>时</w:t>
      </w:r>
      <w:r w:rsidRPr="00136FBE">
        <w:rPr>
          <w:rFonts w:ascii="仿宋" w:eastAsia="仿宋" w:hAnsi="仿宋" w:cs="仿宋" w:hint="eastAsia"/>
          <w:sz w:val="32"/>
          <w:szCs w:val="32"/>
        </w:rPr>
        <w:t>不建议开始服用维莫非尼，对于存在无法纠正的电解质异常、长</w:t>
      </w:r>
      <w:r w:rsidRPr="00136FBE">
        <w:rPr>
          <w:rFonts w:ascii="仿宋" w:eastAsia="仿宋" w:hAnsi="仿宋" w:cs="仿宋"/>
          <w:sz w:val="32"/>
          <w:szCs w:val="32"/>
        </w:rPr>
        <w:t>QT</w:t>
      </w:r>
      <w:r w:rsidRPr="00136FBE">
        <w:rPr>
          <w:rFonts w:ascii="仿宋" w:eastAsia="仿宋" w:hAnsi="仿宋" w:cs="仿宋" w:hint="eastAsia"/>
          <w:sz w:val="32"/>
          <w:szCs w:val="32"/>
        </w:rPr>
        <w:t>综合征或正在服用已知能延长</w:t>
      </w:r>
      <w:r w:rsidRPr="00136FBE">
        <w:rPr>
          <w:rFonts w:ascii="仿宋" w:eastAsia="仿宋" w:hAnsi="仿宋" w:cs="仿宋"/>
          <w:sz w:val="32"/>
          <w:szCs w:val="32"/>
        </w:rPr>
        <w:t>QT</w:t>
      </w:r>
      <w:r w:rsidRPr="00136FBE">
        <w:rPr>
          <w:rFonts w:ascii="仿宋" w:eastAsia="仿宋" w:hAnsi="仿宋" w:cs="仿宋" w:hint="eastAsia"/>
          <w:sz w:val="32"/>
          <w:szCs w:val="32"/>
        </w:rPr>
        <w:t>间期的药物的患者，不建议</w:t>
      </w:r>
      <w:r w:rsidR="002F5D96">
        <w:rPr>
          <w:rFonts w:ascii="仿宋" w:eastAsia="仿宋" w:hAnsi="仿宋" w:cs="仿宋" w:hint="eastAsia"/>
          <w:sz w:val="32"/>
          <w:szCs w:val="32"/>
        </w:rPr>
        <w:t>接受</w:t>
      </w:r>
      <w:r w:rsidRPr="00136FBE">
        <w:rPr>
          <w:rFonts w:ascii="仿宋" w:eastAsia="仿宋" w:hAnsi="仿宋" w:cs="仿宋" w:hint="eastAsia"/>
          <w:sz w:val="32"/>
          <w:szCs w:val="32"/>
        </w:rPr>
        <w:t>维莫非尼治疗</w:t>
      </w:r>
      <w:r w:rsidRPr="00136FBE">
        <w:rPr>
          <w:rFonts w:ascii="仿宋" w:eastAsia="仿宋" w:hAnsi="仿宋" w:cs="仿宋" w:hint="eastAsia"/>
          <w:i/>
          <w:iCs/>
          <w:sz w:val="32"/>
          <w:szCs w:val="32"/>
        </w:rPr>
        <w:t>。</w:t>
      </w:r>
    </w:p>
    <w:p w14:paraId="06D565AD"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00D1215F" w:rsidRPr="00D1215F">
        <w:rPr>
          <w:rFonts w:ascii="仿宋" w:eastAsia="仿宋" w:hAnsi="仿宋" w:cs="仿宋" w:hint="eastAsia"/>
          <w:sz w:val="32"/>
          <w:szCs w:val="32"/>
        </w:rPr>
        <w:t>没有证据表明维莫非尼联合</w:t>
      </w:r>
      <w:r w:rsidR="00F3590E">
        <w:rPr>
          <w:rFonts w:ascii="仿宋" w:eastAsia="仿宋" w:hAnsi="仿宋" w:cs="仿宋" w:hint="eastAsia"/>
          <w:sz w:val="32"/>
          <w:szCs w:val="32"/>
        </w:rPr>
        <w:t>伊匹单抗</w:t>
      </w:r>
      <w:r w:rsidR="00D1215F" w:rsidRPr="00D1215F">
        <w:rPr>
          <w:rFonts w:ascii="仿宋" w:eastAsia="仿宋" w:hAnsi="仿宋" w:cs="仿宋" w:hint="eastAsia"/>
          <w:sz w:val="32"/>
          <w:szCs w:val="32"/>
        </w:rPr>
        <w:t>（Ipilimumab）可以增效，使用维莫非尼时不建议与</w:t>
      </w:r>
      <w:r w:rsidR="00F3590E">
        <w:rPr>
          <w:rFonts w:ascii="仿宋" w:eastAsia="仿宋" w:hAnsi="仿宋" w:cs="仿宋" w:hint="eastAsia"/>
          <w:sz w:val="32"/>
          <w:szCs w:val="32"/>
        </w:rPr>
        <w:t>伊匹单抗</w:t>
      </w:r>
      <w:r w:rsidR="00D1215F" w:rsidRPr="00D1215F">
        <w:rPr>
          <w:rFonts w:ascii="仿宋" w:eastAsia="仿宋" w:hAnsi="仿宋" w:cs="仿宋" w:hint="eastAsia"/>
          <w:sz w:val="32"/>
          <w:szCs w:val="32"/>
        </w:rPr>
        <w:t>联合用药</w:t>
      </w:r>
      <w:r w:rsidRPr="00136FBE">
        <w:rPr>
          <w:rFonts w:ascii="仿宋" w:eastAsia="仿宋" w:hAnsi="仿宋" w:cs="仿宋" w:hint="eastAsia"/>
          <w:i/>
          <w:iCs/>
          <w:sz w:val="32"/>
          <w:szCs w:val="32"/>
        </w:rPr>
        <w:t>。</w:t>
      </w:r>
    </w:p>
    <w:p w14:paraId="43AA419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妊娠期妇女禁止使用维莫非尼，除非对于母亲的可能受益超过对胎儿的可能风险。</w:t>
      </w:r>
      <w:r w:rsidR="00D1215F" w:rsidRPr="00D1215F">
        <w:rPr>
          <w:rFonts w:ascii="仿宋" w:eastAsia="仿宋" w:hAnsi="仿宋" w:cs="仿宋" w:hint="eastAsia"/>
          <w:sz w:val="32"/>
          <w:szCs w:val="32"/>
        </w:rPr>
        <w:t>不建议哺乳期妇女使用维莫非尼</w:t>
      </w:r>
      <w:r w:rsidR="00D1215F">
        <w:rPr>
          <w:rFonts w:ascii="仿宋" w:eastAsia="仿宋" w:hAnsi="仿宋" w:cs="仿宋" w:hint="eastAsia"/>
          <w:sz w:val="32"/>
          <w:szCs w:val="32"/>
        </w:rPr>
        <w:t>，</w:t>
      </w:r>
      <w:r w:rsidRPr="00136FBE">
        <w:rPr>
          <w:rFonts w:ascii="仿宋" w:eastAsia="仿宋" w:hAnsi="仿宋" w:cs="仿宋" w:hint="eastAsia"/>
          <w:sz w:val="32"/>
          <w:szCs w:val="32"/>
        </w:rPr>
        <w:t>必须在权衡哺乳喂养对婴儿的益处以及治疗对母亲的益处之后，做出是否停止母乳喂养或停止维莫非尼治疗的决定</w:t>
      </w:r>
      <w:r w:rsidRPr="00136FBE">
        <w:rPr>
          <w:rFonts w:ascii="仿宋" w:eastAsia="仿宋" w:hAnsi="仿宋" w:cs="仿宋" w:hint="eastAsia"/>
          <w:i/>
          <w:iCs/>
          <w:sz w:val="32"/>
          <w:szCs w:val="32"/>
        </w:rPr>
        <w:t>。</w:t>
      </w:r>
    </w:p>
    <w:p w14:paraId="75A309F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6.</w:t>
      </w:r>
      <w:r w:rsidR="003E5E30" w:rsidRPr="003E5E30">
        <w:rPr>
          <w:rFonts w:ascii="仿宋" w:eastAsia="仿宋" w:hAnsi="仿宋" w:cs="仿宋" w:hint="eastAsia"/>
          <w:sz w:val="32"/>
          <w:szCs w:val="32"/>
        </w:rPr>
        <w:t>使用维莫非尼时不建议与经CYP1A2和CYP3A4代谢、且安全治疗窗较窄的药物联合应用，使用维莫非尼时慎用强效CYP3A4抑制剂。</w:t>
      </w:r>
    </w:p>
    <w:p w14:paraId="0AC2D102" w14:textId="77777777" w:rsidR="00203011" w:rsidRPr="00136FBE" w:rsidRDefault="00203011" w:rsidP="00203011">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三、达拉非尼 Dabrafenib</w:t>
      </w:r>
    </w:p>
    <w:p w14:paraId="6ED8DFB6" w14:textId="77777777" w:rsidR="00203011" w:rsidRPr="00136FBE" w:rsidRDefault="00203011" w:rsidP="00203011">
      <w:pPr>
        <w:spacing w:line="360" w:lineRule="auto"/>
        <w:ind w:firstLineChars="200" w:firstLine="643"/>
        <w:rPr>
          <w:rFonts w:ascii="仿宋" w:eastAsia="仿宋" w:hAnsi="仿宋" w:cs="Times New Roman"/>
          <w:sz w:val="32"/>
          <w:szCs w:val="32"/>
        </w:rPr>
      </w:pPr>
      <w:r w:rsidRPr="00136FBE">
        <w:rPr>
          <w:rFonts w:ascii="仿宋" w:eastAsia="仿宋" w:hAnsi="仿宋" w:cs="Times New Roman" w:hint="eastAsia"/>
          <w:b/>
          <w:sz w:val="32"/>
          <w:szCs w:val="32"/>
        </w:rPr>
        <w:t>制剂与规格：</w:t>
      </w:r>
      <w:r w:rsidRPr="00136FBE">
        <w:rPr>
          <w:rFonts w:ascii="仿宋" w:eastAsia="仿宋" w:hAnsi="仿宋" w:cs="Times New Roman" w:hint="eastAsia"/>
          <w:sz w:val="32"/>
          <w:szCs w:val="32"/>
        </w:rPr>
        <w:t xml:space="preserve">胶囊：50mg、75mg </w:t>
      </w:r>
    </w:p>
    <w:p w14:paraId="110B4CD8" w14:textId="77777777" w:rsidR="00203011" w:rsidRPr="00136FBE" w:rsidRDefault="00203011" w:rsidP="00203011">
      <w:pPr>
        <w:spacing w:line="360" w:lineRule="auto"/>
        <w:ind w:firstLineChars="200" w:firstLine="643"/>
        <w:rPr>
          <w:rFonts w:ascii="仿宋" w:eastAsia="仿宋" w:hAnsi="仿宋" w:cs="Times New Roman"/>
          <w:b/>
          <w:sz w:val="32"/>
          <w:szCs w:val="32"/>
        </w:rPr>
      </w:pPr>
      <w:r w:rsidRPr="00136FBE">
        <w:rPr>
          <w:rFonts w:ascii="仿宋" w:eastAsia="仿宋" w:hAnsi="仿宋" w:cs="Times New Roman" w:hint="eastAsia"/>
          <w:b/>
          <w:sz w:val="32"/>
          <w:szCs w:val="32"/>
        </w:rPr>
        <w:t>适应证：</w:t>
      </w:r>
    </w:p>
    <w:p w14:paraId="798FBA87"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1.达拉非尼联合曲美替尼适用于治疗BRAF V600突变阳性的不可切除或转移性黑色素瘤患者。</w:t>
      </w:r>
    </w:p>
    <w:p w14:paraId="19F3D8DD"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2.达拉非尼联合曲美替尼适用于BRAF V600突变阳性的</w:t>
      </w:r>
      <w:r w:rsidRPr="00136FBE">
        <w:rPr>
          <w:rFonts w:ascii="仿宋" w:eastAsia="仿宋" w:hAnsi="仿宋" w:cs="Times New Roman" w:hint="eastAsia"/>
          <w:sz w:val="32"/>
          <w:szCs w:val="32"/>
        </w:rPr>
        <w:lastRenderedPageBreak/>
        <w:t>Ⅲ期黑色素瘤患者完全切除后的辅助治疗。</w:t>
      </w:r>
    </w:p>
    <w:p w14:paraId="3AD347AA" w14:textId="77777777" w:rsidR="00203011" w:rsidRPr="00136FBE" w:rsidRDefault="00203011" w:rsidP="00203011">
      <w:pPr>
        <w:spacing w:line="360" w:lineRule="auto"/>
        <w:ind w:firstLineChars="200" w:firstLine="643"/>
        <w:rPr>
          <w:rFonts w:ascii="仿宋" w:eastAsia="仿宋" w:hAnsi="仿宋" w:cs="Times New Roman"/>
          <w:b/>
          <w:sz w:val="32"/>
          <w:szCs w:val="32"/>
        </w:rPr>
      </w:pPr>
      <w:r w:rsidRPr="00136FBE">
        <w:rPr>
          <w:rFonts w:ascii="仿宋" w:eastAsia="仿宋" w:hAnsi="仿宋" w:cs="Times New Roman" w:hint="eastAsia"/>
          <w:b/>
          <w:sz w:val="32"/>
          <w:szCs w:val="32"/>
        </w:rPr>
        <w:t>合理用药要点：</w:t>
      </w:r>
    </w:p>
    <w:p w14:paraId="56711322"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1.本品联合曲美替尼治疗前须经国家药品监督管理局批准的检测方法进行BRAF V600突变检测，确认为BRAF V600突变阳性的患者方可接受本品治疗。本品联合曲美替尼不适用于BRAF野生型黑色素瘤患者。</w:t>
      </w:r>
    </w:p>
    <w:p w14:paraId="4AF7D90A"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2.达拉非尼的推荐剂量为150mg每日两次（300mg每日总剂量）。本品需联合曲美替尼治疗，直至出现疾病进展或不可耐受的毒性反应。</w:t>
      </w:r>
    </w:p>
    <w:p w14:paraId="214E3EBC"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3.达拉非尼应在餐前至少1小时前或餐后至少2小时后服用，给药间隔约12小时。应在每天相同时间服用本品，如果错过一剂达拉非尼，且距下一次服药时间不足6小时，则不应补服。当达拉非尼联合应用曲美替尼时，应在每天相同时间服用曲美替尼每日一次，与在早晨或晚上给药的达拉非尼一起服用。请勿打开、压碎或掰断达拉非尼胶囊。</w:t>
      </w:r>
    </w:p>
    <w:p w14:paraId="51C96D90"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4.在给予达拉非尼联合应用曲美替尼治疗时，常见不良反应包括：发热、寒战、皮疹、头痛、头晕、关节痛、咳嗽等。如果出现治疗相关的毒性，则两种治疗应同时进行剂量减少、中断或停止。</w:t>
      </w:r>
      <w:r w:rsidR="00787F60">
        <w:rPr>
          <w:rFonts w:ascii="仿宋" w:eastAsia="仿宋" w:hAnsi="仿宋" w:cs="Times New Roman" w:hint="eastAsia"/>
          <w:sz w:val="32"/>
          <w:szCs w:val="32"/>
        </w:rPr>
        <w:t>如果出现</w:t>
      </w:r>
      <w:r w:rsidRPr="00136FBE">
        <w:rPr>
          <w:rFonts w:ascii="仿宋" w:eastAsia="仿宋" w:hAnsi="仿宋" w:cs="Times New Roman" w:hint="eastAsia"/>
          <w:sz w:val="32"/>
          <w:szCs w:val="32"/>
        </w:rPr>
        <w:t>与达拉非尼相关的不良反应（葡萄膜炎、非皮肤恶性肿瘤），仅需对达拉非尼治疗进行剂量调整。</w:t>
      </w:r>
    </w:p>
    <w:p w14:paraId="377D2127"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5.轻度肝功能损伤患者、</w:t>
      </w:r>
      <w:r w:rsidR="001F03A4" w:rsidRPr="00136FBE">
        <w:rPr>
          <w:rFonts w:ascii="仿宋" w:eastAsia="仿宋" w:hAnsi="仿宋" w:cs="Times New Roman" w:hint="eastAsia"/>
          <w:sz w:val="32"/>
          <w:szCs w:val="32"/>
        </w:rPr>
        <w:t>轻中度</w:t>
      </w:r>
      <w:r w:rsidRPr="00136FBE">
        <w:rPr>
          <w:rFonts w:ascii="仿宋" w:eastAsia="仿宋" w:hAnsi="仿宋" w:cs="Times New Roman" w:hint="eastAsia"/>
          <w:sz w:val="32"/>
          <w:szCs w:val="32"/>
        </w:rPr>
        <w:t>肾功能损伤患者</w:t>
      </w:r>
      <w:r w:rsidR="00A74FCC" w:rsidRPr="00A74FCC">
        <w:rPr>
          <w:rFonts w:ascii="仿宋" w:eastAsia="仿宋" w:hAnsi="仿宋" w:cs="Times New Roman" w:hint="eastAsia"/>
          <w:sz w:val="32"/>
          <w:szCs w:val="32"/>
        </w:rPr>
        <w:t>首次治</w:t>
      </w:r>
      <w:r w:rsidR="00A74FCC" w:rsidRPr="00A74FCC">
        <w:rPr>
          <w:rFonts w:ascii="仿宋" w:eastAsia="仿宋" w:hAnsi="仿宋" w:cs="Times New Roman" w:hint="eastAsia"/>
          <w:sz w:val="32"/>
          <w:szCs w:val="32"/>
        </w:rPr>
        <w:lastRenderedPageBreak/>
        <w:t>疗时</w:t>
      </w:r>
      <w:r w:rsidR="004E67CE" w:rsidRPr="004E67CE">
        <w:rPr>
          <w:rFonts w:ascii="仿宋" w:eastAsia="仿宋" w:hAnsi="仿宋" w:cs="Times New Roman" w:hint="eastAsia"/>
          <w:sz w:val="32"/>
          <w:szCs w:val="32"/>
        </w:rPr>
        <w:t>无需调整剂量</w:t>
      </w:r>
      <w:r w:rsidRPr="00136FBE">
        <w:rPr>
          <w:rFonts w:ascii="仿宋" w:eastAsia="仿宋" w:hAnsi="仿宋" w:cs="Times New Roman" w:hint="eastAsia"/>
          <w:sz w:val="32"/>
          <w:szCs w:val="32"/>
        </w:rPr>
        <w:t>。</w:t>
      </w:r>
      <w:r w:rsidR="00B73A0E" w:rsidRPr="00136FBE">
        <w:rPr>
          <w:rFonts w:ascii="仿宋" w:eastAsia="仿宋" w:hAnsi="仿宋" w:cs="Times New Roman" w:hint="eastAsia"/>
          <w:sz w:val="32"/>
          <w:szCs w:val="32"/>
        </w:rPr>
        <w:t>中重度</w:t>
      </w:r>
      <w:r w:rsidRPr="00136FBE">
        <w:rPr>
          <w:rFonts w:ascii="仿宋" w:eastAsia="仿宋" w:hAnsi="仿宋" w:cs="Times New Roman" w:hint="eastAsia"/>
          <w:sz w:val="32"/>
          <w:szCs w:val="32"/>
        </w:rPr>
        <w:t>肝功能损伤患者，重度肾功能损伤患者，应慎用达拉非尼。</w:t>
      </w:r>
      <w:r w:rsidR="00DF2524">
        <w:rPr>
          <w:rFonts w:ascii="仿宋" w:eastAsia="仿宋" w:hAnsi="仿宋" w:cs="Times New Roman" w:hint="eastAsia"/>
          <w:sz w:val="32"/>
          <w:szCs w:val="32"/>
        </w:rPr>
        <w:t>老年患者（≥65岁）</w:t>
      </w:r>
      <w:r w:rsidRPr="00136FBE">
        <w:rPr>
          <w:rFonts w:ascii="仿宋" w:eastAsia="仿宋" w:hAnsi="仿宋" w:cs="Times New Roman" w:hint="eastAsia"/>
          <w:sz w:val="32"/>
          <w:szCs w:val="32"/>
        </w:rPr>
        <w:t>无需调整初始剂量。尚未确定达拉非尼在儿童和青少年（＜18岁）中的安全性和有效性。</w:t>
      </w:r>
    </w:p>
    <w:p w14:paraId="566DA7F6"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 xml:space="preserve">6. </w:t>
      </w:r>
      <w:r w:rsidR="00DF1E72" w:rsidRPr="00DF1E72">
        <w:rPr>
          <w:rFonts w:ascii="仿宋" w:eastAsia="仿宋" w:hAnsi="仿宋" w:cs="Times New Roman" w:hint="eastAsia"/>
          <w:sz w:val="32"/>
          <w:szCs w:val="32"/>
        </w:rPr>
        <w:t>CYP2C8或CYP3A4强效抑制剂或诱导剂的药物可能影响达拉非尼的血药浓度。可能情况下，接受达拉非尼治疗时应考虑替代现有服用药物中对CYP2C8和CYP3A4的抑制剂或诱导剂。</w:t>
      </w:r>
    </w:p>
    <w:p w14:paraId="47D17D8E" w14:textId="77777777" w:rsidR="00203011" w:rsidRPr="00136FBE" w:rsidRDefault="00203011" w:rsidP="00203011">
      <w:pPr>
        <w:spacing w:line="360" w:lineRule="auto"/>
        <w:ind w:firstLineChars="200" w:firstLine="640"/>
        <w:rPr>
          <w:rFonts w:ascii="黑体" w:eastAsia="黑体" w:hAnsi="黑体" w:cs="Times New Roman"/>
          <w:sz w:val="32"/>
          <w:szCs w:val="32"/>
        </w:rPr>
      </w:pPr>
      <w:r w:rsidRPr="00136FBE">
        <w:rPr>
          <w:rFonts w:ascii="黑体" w:eastAsia="黑体" w:hAnsi="黑体" w:cs="Times New Roman" w:hint="eastAsia"/>
          <w:sz w:val="32"/>
          <w:szCs w:val="32"/>
        </w:rPr>
        <w:t>四、曲美替尼 Trametinib</w:t>
      </w:r>
    </w:p>
    <w:p w14:paraId="4ACA8DB9" w14:textId="77777777" w:rsidR="00203011" w:rsidRPr="00136FBE" w:rsidRDefault="00203011" w:rsidP="00203011">
      <w:pPr>
        <w:spacing w:line="360" w:lineRule="auto"/>
        <w:ind w:firstLineChars="200" w:firstLine="643"/>
        <w:rPr>
          <w:rFonts w:ascii="仿宋" w:eastAsia="仿宋" w:hAnsi="仿宋" w:cs="Times New Roman"/>
          <w:sz w:val="32"/>
          <w:szCs w:val="32"/>
        </w:rPr>
      </w:pPr>
      <w:r w:rsidRPr="00136FBE">
        <w:rPr>
          <w:rFonts w:ascii="仿宋" w:eastAsia="仿宋" w:hAnsi="仿宋" w:cs="Times New Roman" w:hint="eastAsia"/>
          <w:b/>
          <w:sz w:val="32"/>
          <w:szCs w:val="32"/>
        </w:rPr>
        <w:t>制剂与规格：</w:t>
      </w:r>
      <w:r w:rsidRPr="00136FBE">
        <w:rPr>
          <w:rFonts w:ascii="仿宋" w:eastAsia="仿宋" w:hAnsi="仿宋" w:cs="Times New Roman" w:hint="eastAsia"/>
          <w:sz w:val="32"/>
          <w:szCs w:val="32"/>
        </w:rPr>
        <w:t>片剂： 0.5mg、2mg</w:t>
      </w:r>
    </w:p>
    <w:p w14:paraId="57ABC394" w14:textId="77777777" w:rsidR="00203011" w:rsidRPr="00136FBE" w:rsidRDefault="00203011" w:rsidP="00203011">
      <w:pPr>
        <w:spacing w:line="360" w:lineRule="auto"/>
        <w:ind w:firstLineChars="200" w:firstLine="643"/>
        <w:rPr>
          <w:rFonts w:ascii="仿宋" w:eastAsia="仿宋" w:hAnsi="仿宋" w:cs="Times New Roman"/>
          <w:b/>
          <w:sz w:val="32"/>
          <w:szCs w:val="32"/>
        </w:rPr>
      </w:pPr>
      <w:r w:rsidRPr="00136FBE">
        <w:rPr>
          <w:rFonts w:ascii="仿宋" w:eastAsia="仿宋" w:hAnsi="仿宋" w:cs="Times New Roman" w:hint="eastAsia"/>
          <w:b/>
          <w:sz w:val="32"/>
          <w:szCs w:val="32"/>
        </w:rPr>
        <w:t>适应证：</w:t>
      </w:r>
    </w:p>
    <w:p w14:paraId="737AE8A4"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1.达拉非尼联合曲美替尼适用于治疗BRAF V600突变阳性的不可切除或转移性黑色素瘤患者。</w:t>
      </w:r>
    </w:p>
    <w:p w14:paraId="4D3BE0A6"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2.达拉非尼联合曲美替尼适用于BRAF V600突变阳性的Ⅲ期黑色素瘤患者完全切除后的辅助治疗。</w:t>
      </w:r>
    </w:p>
    <w:p w14:paraId="0D2630ED" w14:textId="77777777" w:rsidR="00203011" w:rsidRPr="00136FBE" w:rsidRDefault="00203011" w:rsidP="00203011">
      <w:pPr>
        <w:spacing w:line="360" w:lineRule="auto"/>
        <w:ind w:firstLineChars="200" w:firstLine="643"/>
        <w:rPr>
          <w:rFonts w:ascii="仿宋" w:eastAsia="仿宋" w:hAnsi="仿宋" w:cs="Times New Roman"/>
          <w:b/>
          <w:sz w:val="32"/>
          <w:szCs w:val="32"/>
        </w:rPr>
      </w:pPr>
      <w:r w:rsidRPr="00136FBE">
        <w:rPr>
          <w:rFonts w:ascii="仿宋" w:eastAsia="仿宋" w:hAnsi="仿宋" w:cs="Times New Roman" w:hint="eastAsia"/>
          <w:b/>
          <w:sz w:val="32"/>
          <w:szCs w:val="32"/>
        </w:rPr>
        <w:t>合理用药要点：</w:t>
      </w:r>
    </w:p>
    <w:p w14:paraId="0D2FA7CD"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1.曲美替尼联合达拉非尼治疗前须经国家药品监督管理局批准的检测方法进行BRAF V600突变检测，确认为BRAF V600突变阳性得患者方可接受本品治疗。本品联合达拉非尼不适用于BRAF野生型黑色素瘤患者。</w:t>
      </w:r>
    </w:p>
    <w:p w14:paraId="784523AF"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2.曲美替尼的推荐剂量是2mg每日一次口服，需联合达拉非尼治疗，直至出现疾病进展或不可耐受的毒性反应。</w:t>
      </w:r>
    </w:p>
    <w:p w14:paraId="0F76E3F8"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lastRenderedPageBreak/>
        <w:t>3.曲美替尼应在餐前至少1小时前或餐后至少2小时后服用。应在每天相同时间服用曲美替尼。如果错过一剂本品，须最晚在预定的下一次给药之前12小时补上。如果距离下次预定的给药时间短于12小时，则不应该补服。本品联合达拉非尼时，应在每天相同时间服用本品每日一次，与在早晨或晚上给药的达拉非尼一起服用。不应咀嚼或压碎本品。</w:t>
      </w:r>
    </w:p>
    <w:p w14:paraId="5F144A14"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4.在给予达拉非尼联合应用曲美替尼治疗时，常见不良反应包括：发热、寒战、皮疹、头痛、头晕、关节痛、咳嗽等。如果出现治疗相关的毒性，则两种治疗应同时进行剂量减少、中断或停止。对于主要与曲美替尼相关的不良反应（视网膜静脉阻塞、视网膜色素上皮脱离、间质性肺病/肺炎和单纯性静脉血栓栓塞），仅需对曲美替尼进行剂量调整。</w:t>
      </w:r>
    </w:p>
    <w:p w14:paraId="286AC8D1"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5.轻度肝功能损伤患者、</w:t>
      </w:r>
      <w:r w:rsidR="001F03A4" w:rsidRPr="00136FBE">
        <w:rPr>
          <w:rFonts w:ascii="仿宋" w:eastAsia="仿宋" w:hAnsi="仿宋" w:cs="Times New Roman" w:hint="eastAsia"/>
          <w:sz w:val="32"/>
          <w:szCs w:val="32"/>
        </w:rPr>
        <w:t>轻中度</w:t>
      </w:r>
      <w:r w:rsidRPr="00136FBE">
        <w:rPr>
          <w:rFonts w:ascii="仿宋" w:eastAsia="仿宋" w:hAnsi="仿宋" w:cs="Times New Roman" w:hint="eastAsia"/>
          <w:sz w:val="32"/>
          <w:szCs w:val="32"/>
        </w:rPr>
        <w:t>肾功能损伤患者无需进行剂量调整。</w:t>
      </w:r>
      <w:r w:rsidR="00B73A0E" w:rsidRPr="00136FBE">
        <w:rPr>
          <w:rFonts w:ascii="仿宋" w:eastAsia="仿宋" w:hAnsi="仿宋" w:cs="Times New Roman" w:hint="eastAsia"/>
          <w:sz w:val="32"/>
          <w:szCs w:val="32"/>
        </w:rPr>
        <w:t>中重度</w:t>
      </w:r>
      <w:r w:rsidRPr="00136FBE">
        <w:rPr>
          <w:rFonts w:ascii="仿宋" w:eastAsia="仿宋" w:hAnsi="仿宋" w:cs="Times New Roman" w:hint="eastAsia"/>
          <w:sz w:val="32"/>
          <w:szCs w:val="32"/>
        </w:rPr>
        <w:t>肝功能损伤患者、重度肾功能损伤患者，应慎用达拉非尼。</w:t>
      </w:r>
      <w:r w:rsidR="00DF2524">
        <w:rPr>
          <w:rFonts w:ascii="仿宋" w:eastAsia="仿宋" w:hAnsi="仿宋" w:cs="Times New Roman" w:hint="eastAsia"/>
          <w:sz w:val="32"/>
          <w:szCs w:val="32"/>
        </w:rPr>
        <w:t>老年患者（≥65岁）</w:t>
      </w:r>
      <w:r w:rsidRPr="00136FBE">
        <w:rPr>
          <w:rFonts w:ascii="仿宋" w:eastAsia="仿宋" w:hAnsi="仿宋" w:cs="Times New Roman" w:hint="eastAsia"/>
          <w:sz w:val="32"/>
          <w:szCs w:val="32"/>
        </w:rPr>
        <w:t>无需调整初始剂量。尚未确定达拉非尼在儿童和青少年（＜18岁）中的安全性和有效性。</w:t>
      </w:r>
    </w:p>
    <w:p w14:paraId="23A6D4D1" w14:textId="77777777" w:rsidR="00203011" w:rsidRPr="00136FBE" w:rsidRDefault="00203011" w:rsidP="00203011">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6.经水解酶代谢的药物可能影响曲美替尼暴露，药物间相互作用不能排除。曲美替尼应谨慎合用强效P-</w:t>
      </w:r>
      <w:proofErr w:type="spellStart"/>
      <w:r w:rsidRPr="00136FBE">
        <w:rPr>
          <w:rFonts w:ascii="仿宋" w:eastAsia="仿宋" w:hAnsi="仿宋" w:cs="Times New Roman" w:hint="eastAsia"/>
          <w:sz w:val="32"/>
          <w:szCs w:val="32"/>
        </w:rPr>
        <w:t>gp</w:t>
      </w:r>
      <w:proofErr w:type="spellEnd"/>
      <w:r w:rsidRPr="00136FBE">
        <w:rPr>
          <w:rFonts w:ascii="仿宋" w:eastAsia="仿宋" w:hAnsi="仿宋" w:cs="Times New Roman" w:hint="eastAsia"/>
          <w:sz w:val="32"/>
          <w:szCs w:val="32"/>
        </w:rPr>
        <w:t>抑制剂。</w:t>
      </w:r>
    </w:p>
    <w:p w14:paraId="523F1610" w14:textId="77777777" w:rsidR="00B23A40" w:rsidRPr="00136FBE" w:rsidRDefault="00203011">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五</w:t>
      </w:r>
      <w:r w:rsidR="00DD1A0D" w:rsidRPr="00136FBE">
        <w:rPr>
          <w:rFonts w:ascii="黑体" w:eastAsia="黑体" w:hAnsi="黑体" w:hint="eastAsia"/>
          <w:color w:val="000000"/>
          <w:sz w:val="32"/>
          <w:szCs w:val="32"/>
        </w:rPr>
        <w:t xml:space="preserve">、帕博利珠单抗 </w:t>
      </w:r>
      <w:r w:rsidR="00F111D5" w:rsidRPr="00136FBE">
        <w:rPr>
          <w:rFonts w:ascii="黑体" w:eastAsia="黑体" w:hAnsi="黑体" w:hint="eastAsia"/>
          <w:color w:val="000000"/>
          <w:sz w:val="32"/>
          <w:szCs w:val="32"/>
        </w:rPr>
        <w:t>P</w:t>
      </w:r>
      <w:r w:rsidR="00DD1A0D" w:rsidRPr="00136FBE">
        <w:rPr>
          <w:rFonts w:ascii="黑体" w:eastAsia="黑体" w:hAnsi="黑体"/>
          <w:color w:val="000000"/>
          <w:sz w:val="32"/>
          <w:szCs w:val="32"/>
        </w:rPr>
        <w:t>embrolizumab</w:t>
      </w:r>
    </w:p>
    <w:p w14:paraId="593E503C"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注射液：100mg（4ml）/瓶</w:t>
      </w:r>
    </w:p>
    <w:p w14:paraId="4698E144"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适用于经一线</w:t>
      </w:r>
      <w:r w:rsidR="00F3590E">
        <w:rPr>
          <w:rFonts w:ascii="仿宋" w:eastAsia="仿宋" w:hAnsi="仿宋" w:hint="eastAsia"/>
          <w:color w:val="000000"/>
          <w:sz w:val="32"/>
          <w:szCs w:val="32"/>
        </w:rPr>
        <w:t>治疗</w:t>
      </w:r>
      <w:r w:rsidRPr="00136FBE">
        <w:rPr>
          <w:rFonts w:ascii="仿宋" w:eastAsia="仿宋" w:hAnsi="仿宋" w:hint="eastAsia"/>
          <w:color w:val="000000"/>
          <w:sz w:val="32"/>
          <w:szCs w:val="32"/>
        </w:rPr>
        <w:t>失败的不可切除或转移性黑</w:t>
      </w:r>
      <w:r w:rsidRPr="00136FBE">
        <w:rPr>
          <w:rFonts w:ascii="仿宋" w:eastAsia="仿宋" w:hAnsi="仿宋" w:hint="eastAsia"/>
          <w:color w:val="000000"/>
          <w:sz w:val="32"/>
          <w:szCs w:val="32"/>
        </w:rPr>
        <w:lastRenderedPageBreak/>
        <w:t>色素瘤的治疗。</w:t>
      </w:r>
    </w:p>
    <w:p w14:paraId="7206D4E0"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0B219A27"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1.对于经一线</w:t>
      </w:r>
      <w:r w:rsidR="00F3590E">
        <w:rPr>
          <w:rFonts w:ascii="仿宋" w:eastAsia="仿宋" w:hAnsi="仿宋" w:hint="eastAsia"/>
          <w:color w:val="000000"/>
          <w:sz w:val="32"/>
          <w:szCs w:val="32"/>
        </w:rPr>
        <w:t>治疗</w:t>
      </w:r>
      <w:r w:rsidRPr="00136FBE">
        <w:rPr>
          <w:rFonts w:ascii="仿宋" w:eastAsia="仿宋" w:hAnsi="仿宋" w:hint="eastAsia"/>
          <w:color w:val="000000"/>
          <w:sz w:val="32"/>
          <w:szCs w:val="32"/>
        </w:rPr>
        <w:t>失败的不可切除或转移性黑色素瘤患者推荐给药方案为2mg/kg，静脉输注30分钟以上，每3周给药一次，直至出现疾病进展或不可接受的毒性。如果患者临床症状稳定，即使有疾病进展的初步证据，但基于总体临床获益的判断，可考虑继续应用本品治疗，直至证实疾病进展。根据个体患者的安全性和耐受性，可能需要暂停给药或停药，不建议增加或减少剂量。</w:t>
      </w:r>
    </w:p>
    <w:p w14:paraId="2323788D"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主要不良反应是疲劳、瘙痒、腹泻和皮疹。接受帕博利珠单抗治疗的患者可发生免疫相关性不良反应，包括严重和致死病例。免疫相关性不良反应可同时发生在多个器官系统，需要对于疑似病例进行充分的评估以确定病因或排除其他病因。根据不良反应的严重程度，应暂时停用帕博利珠单抗，并应用糖皮质激素治疗。当免疫相关性不良反应改善至≤1级时，需至少一个月的时间逐步减少糖皮质激素的用量直至停药。倘若发生糖皮质激素无法控制的免疫相关性不良反应时，可以考虑使用其他全身性免疫抑制剂。如果不良反应保持在≤1级，且糖皮质激素剂量已降至≤10mg泼尼松或等效剂量，可在最后一次使用帕博利珠单抗给药后12周内重新开始帕博利珠单抗治疗。对于任何复发性3级免疫相关性不良反应以及任何4级免疫相关性不良反应，应永久停用</w:t>
      </w:r>
      <w:r w:rsidRPr="00136FBE">
        <w:rPr>
          <w:rFonts w:ascii="仿宋" w:eastAsia="仿宋" w:hAnsi="仿宋" w:hint="eastAsia"/>
          <w:color w:val="000000"/>
          <w:sz w:val="32"/>
          <w:szCs w:val="32"/>
        </w:rPr>
        <w:lastRenderedPageBreak/>
        <w:t>帕博利珠单抗。</w:t>
      </w:r>
    </w:p>
    <w:p w14:paraId="22D47D69"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3.出现</w:t>
      </w:r>
      <w:r w:rsidR="001F03A4" w:rsidRPr="00136FBE">
        <w:rPr>
          <w:rFonts w:ascii="仿宋" w:eastAsia="仿宋" w:hAnsi="仿宋" w:hint="eastAsia"/>
          <w:color w:val="000000"/>
          <w:sz w:val="32"/>
          <w:szCs w:val="32"/>
        </w:rPr>
        <w:t>轻中度</w:t>
      </w:r>
      <w:r w:rsidRPr="00136FBE">
        <w:rPr>
          <w:rFonts w:ascii="仿宋" w:eastAsia="仿宋" w:hAnsi="仿宋" w:hint="eastAsia"/>
          <w:color w:val="000000"/>
          <w:sz w:val="32"/>
          <w:szCs w:val="32"/>
        </w:rPr>
        <w:t>输液反应的患者在密切监测下可继续接受帕博利珠单抗治疗，可考虑用解热镇痛类抗炎药和抗组胺药预防。对于重度的输液反应，必须停止输液并永久停用帕博利珠单抗。</w:t>
      </w:r>
    </w:p>
    <w:p w14:paraId="4CDBE3DC" w14:textId="77777777" w:rsidR="00B23A40" w:rsidRPr="00136FBE"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孕妇在妊娠期使用可能会对胎儿造成伤害，除非孕妇的临床疾病需要，妊娠期不得用药。建议育龄女性在用药期间采用高效避孕方法，并在最后一次用药后四个月内持续避孕。不能排除本品对新生儿的风险，应权衡哺乳对胎儿的获益以及本品治疗对女性患者的获益来决策。</w:t>
      </w:r>
    </w:p>
    <w:p w14:paraId="2AC14A09" w14:textId="77777777" w:rsidR="00B23A40"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5.尚未确定18岁以下儿童使用本品的安全性和疗效，在</w:t>
      </w:r>
      <w:r w:rsidR="00011814" w:rsidRPr="00136FBE">
        <w:rPr>
          <w:rFonts w:ascii="仿宋" w:eastAsia="仿宋" w:hAnsi="仿宋" w:hint="eastAsia"/>
          <w:color w:val="000000"/>
          <w:sz w:val="32"/>
          <w:szCs w:val="32"/>
        </w:rPr>
        <w:t>老年人</w:t>
      </w:r>
      <w:r w:rsidRPr="00136FBE">
        <w:rPr>
          <w:rFonts w:ascii="仿宋" w:eastAsia="仿宋" w:hAnsi="仿宋" w:hint="eastAsia"/>
          <w:color w:val="000000"/>
          <w:sz w:val="32"/>
          <w:szCs w:val="32"/>
        </w:rPr>
        <w:t>群中不需要进行剂量调整。</w:t>
      </w:r>
    </w:p>
    <w:p w14:paraId="54421050" w14:textId="77777777" w:rsidR="00D00352" w:rsidRPr="00136FBE" w:rsidRDefault="00D00352" w:rsidP="00D00352">
      <w:pPr>
        <w:ind w:firstLineChars="200" w:firstLine="640"/>
        <w:rPr>
          <w:rFonts w:ascii="仿宋" w:eastAsia="仿宋" w:hAnsi="仿宋"/>
          <w:color w:val="000000"/>
          <w:sz w:val="32"/>
          <w:szCs w:val="32"/>
        </w:rPr>
      </w:pPr>
      <w:r w:rsidRPr="00D00352">
        <w:rPr>
          <w:rFonts w:ascii="仿宋" w:eastAsia="仿宋" w:hAnsi="仿宋" w:hint="eastAsia"/>
          <w:color w:val="000000"/>
          <w:sz w:val="32"/>
          <w:szCs w:val="32"/>
        </w:rPr>
        <w:t>6.轻度肝功能损伤患者无需调整剂量，尚未在中度或重度肝功能不全患者中进行本品的相关研究。</w:t>
      </w:r>
    </w:p>
    <w:p w14:paraId="0578AD20" w14:textId="77777777" w:rsidR="00B23A40" w:rsidRPr="00136FBE" w:rsidRDefault="00D00352">
      <w:pPr>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DD1A0D" w:rsidRPr="00136FBE">
        <w:rPr>
          <w:rFonts w:ascii="仿宋" w:eastAsia="仿宋" w:hAnsi="仿宋" w:hint="eastAsia"/>
          <w:color w:val="000000"/>
          <w:sz w:val="32"/>
          <w:szCs w:val="32"/>
        </w:rPr>
        <w:t>.在使用该药前避免使用</w:t>
      </w:r>
      <w:r w:rsidR="00E26C43" w:rsidRPr="00136FBE">
        <w:rPr>
          <w:rFonts w:ascii="仿宋" w:eastAsia="仿宋" w:hAnsi="仿宋" w:hint="eastAsia"/>
          <w:color w:val="000000"/>
          <w:sz w:val="32"/>
          <w:szCs w:val="32"/>
        </w:rPr>
        <w:t>全身性糖皮质激素或其他免疫抑制剂</w:t>
      </w:r>
      <w:r w:rsidR="00DD1A0D" w:rsidRPr="00136FBE">
        <w:rPr>
          <w:rFonts w:ascii="仿宋" w:eastAsia="仿宋" w:hAnsi="仿宋" w:hint="eastAsia"/>
          <w:color w:val="000000"/>
          <w:sz w:val="32"/>
          <w:szCs w:val="32"/>
        </w:rPr>
        <w:t>。</w:t>
      </w:r>
    </w:p>
    <w:p w14:paraId="019652DC" w14:textId="77777777" w:rsidR="00B23A40" w:rsidRPr="00136FBE" w:rsidRDefault="00203011">
      <w:pPr>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六</w:t>
      </w:r>
      <w:r w:rsidR="00DD1A0D" w:rsidRPr="00136FBE">
        <w:rPr>
          <w:rFonts w:ascii="黑体" w:eastAsia="黑体" w:hAnsi="黑体" w:hint="eastAsia"/>
          <w:color w:val="000000"/>
          <w:sz w:val="32"/>
          <w:szCs w:val="32"/>
        </w:rPr>
        <w:t xml:space="preserve">、特瑞普利单抗 </w:t>
      </w:r>
      <w:proofErr w:type="spellStart"/>
      <w:r w:rsidR="00F111D5" w:rsidRPr="00136FBE">
        <w:rPr>
          <w:rFonts w:ascii="黑体" w:eastAsia="黑体" w:hAnsi="黑体" w:hint="eastAsia"/>
          <w:color w:val="000000"/>
          <w:sz w:val="32"/>
          <w:szCs w:val="32"/>
        </w:rPr>
        <w:t>T</w:t>
      </w:r>
      <w:r w:rsidR="00DD1A0D" w:rsidRPr="00136FBE">
        <w:rPr>
          <w:rFonts w:ascii="黑体" w:eastAsia="黑体" w:hAnsi="黑体"/>
          <w:color w:val="000000"/>
          <w:sz w:val="32"/>
          <w:szCs w:val="32"/>
        </w:rPr>
        <w:t>oripalimab</w:t>
      </w:r>
      <w:proofErr w:type="spellEnd"/>
    </w:p>
    <w:p w14:paraId="7EF5782B"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注射液：240mg（6ml）/瓶</w:t>
      </w:r>
    </w:p>
    <w:p w14:paraId="2A0FF6F2" w14:textId="77777777" w:rsidR="00B23A40" w:rsidRPr="00136FBE" w:rsidRDefault="00DD1A0D">
      <w:pPr>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适用于既往接受全身系统治疗失败的不可切除或转移性黑色素瘤的治疗。</w:t>
      </w:r>
    </w:p>
    <w:p w14:paraId="41816187" w14:textId="77777777" w:rsidR="00B23A40" w:rsidRPr="00136FBE" w:rsidRDefault="00DD1A0D">
      <w:pPr>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1B875A0D" w14:textId="77777777" w:rsidR="00427E5C" w:rsidRDefault="00DD1A0D">
      <w:pPr>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1.用于治疗晚期黑色素瘤的推荐剂量为3mg/kg，静脉输</w:t>
      </w:r>
      <w:r w:rsidRPr="00136FBE">
        <w:rPr>
          <w:rFonts w:ascii="仿宋" w:eastAsia="仿宋" w:hAnsi="仿宋" w:hint="eastAsia"/>
          <w:color w:val="000000"/>
          <w:sz w:val="32"/>
          <w:szCs w:val="32"/>
        </w:rPr>
        <w:lastRenderedPageBreak/>
        <w:t>注每2周一次，直到疾病进展或出现不可耐受的毒性。</w:t>
      </w:r>
      <w:r w:rsidR="00E302FE" w:rsidRPr="00E302FE">
        <w:rPr>
          <w:rFonts w:ascii="仿宋" w:eastAsia="仿宋" w:hAnsi="仿宋" w:hint="eastAsia"/>
          <w:color w:val="000000"/>
          <w:sz w:val="32"/>
          <w:szCs w:val="32"/>
        </w:rPr>
        <w:t>已观察到部分接受本品治疗的患者存在肿瘤非典型反应</w:t>
      </w:r>
      <w:r w:rsidRPr="00136FBE">
        <w:rPr>
          <w:rFonts w:ascii="仿宋" w:eastAsia="仿宋" w:hAnsi="仿宋" w:hint="eastAsia"/>
          <w:color w:val="000000"/>
          <w:sz w:val="32"/>
          <w:szCs w:val="32"/>
        </w:rPr>
        <w:t>（例如，治疗最初几个月内肿瘤出现暂时增大或者出现新的小病灶，随后肿瘤缩小），如果患者临床症状稳定或持续减轻，</w:t>
      </w:r>
      <w:r w:rsidR="00E302FE" w:rsidRPr="00E302FE">
        <w:rPr>
          <w:rFonts w:ascii="仿宋" w:eastAsia="仿宋" w:hAnsi="仿宋" w:hint="eastAsia"/>
          <w:color w:val="000000"/>
          <w:sz w:val="32"/>
          <w:szCs w:val="32"/>
        </w:rPr>
        <w:t>即使在影像学上有疾病进展的初步证据</w:t>
      </w:r>
      <w:r w:rsidRPr="00136FBE">
        <w:rPr>
          <w:rFonts w:ascii="仿宋" w:eastAsia="仿宋" w:hAnsi="仿宋" w:hint="eastAsia"/>
          <w:color w:val="000000"/>
          <w:sz w:val="32"/>
          <w:szCs w:val="32"/>
        </w:rPr>
        <w:t>，基于总体临床获益的判断，可考虑继续应用本品治疗，直至证实疾病进展。</w:t>
      </w:r>
    </w:p>
    <w:p w14:paraId="32966EAE" w14:textId="77777777" w:rsidR="00B23A40" w:rsidRPr="00136FBE" w:rsidRDefault="00E302FE">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DD1A0D" w:rsidRPr="00136FBE">
        <w:rPr>
          <w:rFonts w:ascii="仿宋" w:eastAsia="仿宋" w:hAnsi="仿宋" w:hint="eastAsia"/>
          <w:color w:val="000000"/>
          <w:sz w:val="32"/>
          <w:szCs w:val="32"/>
        </w:rPr>
        <w:t>.对于晚期黏膜型黑色素瘤，PD-1单抗单药疗效有限，根据CT13研究，建议采用特瑞普利单抗（3mg/kg，静脉输注每</w:t>
      </w:r>
      <w:r w:rsidR="000319BF" w:rsidRPr="00136FBE">
        <w:rPr>
          <w:rFonts w:ascii="仿宋" w:eastAsia="仿宋" w:hAnsi="仿宋" w:hint="eastAsia"/>
          <w:color w:val="000000"/>
          <w:sz w:val="32"/>
          <w:szCs w:val="32"/>
        </w:rPr>
        <w:t>两</w:t>
      </w:r>
      <w:r w:rsidR="00DD1A0D" w:rsidRPr="00136FBE">
        <w:rPr>
          <w:rFonts w:ascii="仿宋" w:eastAsia="仿宋" w:hAnsi="仿宋" w:hint="eastAsia"/>
          <w:color w:val="000000"/>
          <w:sz w:val="32"/>
          <w:szCs w:val="32"/>
        </w:rPr>
        <w:t>周一次）联合阿昔替尼（5mg/次，</w:t>
      </w:r>
      <w:r w:rsidR="000319BF" w:rsidRPr="00136FBE">
        <w:rPr>
          <w:rFonts w:ascii="仿宋" w:eastAsia="仿宋" w:hAnsi="仿宋" w:hint="eastAsia"/>
          <w:color w:val="000000"/>
          <w:sz w:val="32"/>
          <w:szCs w:val="32"/>
        </w:rPr>
        <w:t>每天两次</w:t>
      </w:r>
      <w:r w:rsidR="00DD1A0D" w:rsidRPr="00136FBE">
        <w:rPr>
          <w:rFonts w:ascii="仿宋" w:eastAsia="仿宋" w:hAnsi="仿宋" w:hint="eastAsia"/>
          <w:color w:val="000000"/>
          <w:sz w:val="32"/>
          <w:szCs w:val="32"/>
        </w:rPr>
        <w:t>）的治疗。</w:t>
      </w:r>
    </w:p>
    <w:p w14:paraId="5020C767" w14:textId="77777777" w:rsidR="00B23A40" w:rsidRPr="00136FBE" w:rsidRDefault="00E302FE">
      <w:pPr>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DD1A0D" w:rsidRPr="00136FBE">
        <w:rPr>
          <w:rFonts w:ascii="仿宋" w:eastAsia="仿宋" w:hAnsi="仿宋" w:hint="eastAsia"/>
          <w:color w:val="000000"/>
          <w:sz w:val="32"/>
          <w:szCs w:val="32"/>
        </w:rPr>
        <w:t>.不良反应为贫血、ALT升高、乏力、AST升高、皮疹、发热、血促甲状腺激素升高、白细胞计数降低、咳嗽、瘙痒、甲状腺功能减退症、食欲下降、血糖升高和血胆红素升高。</w:t>
      </w:r>
    </w:p>
    <w:p w14:paraId="148E8B1E" w14:textId="77777777" w:rsidR="00B23A40" w:rsidRPr="00136FBE" w:rsidRDefault="00E302FE">
      <w:pPr>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DD1A0D" w:rsidRPr="00136FBE">
        <w:rPr>
          <w:rFonts w:ascii="仿宋" w:eastAsia="仿宋" w:hAnsi="仿宋" w:hint="eastAsia"/>
          <w:color w:val="000000"/>
          <w:sz w:val="32"/>
          <w:szCs w:val="32"/>
        </w:rPr>
        <w:t>.对于疑似免疫相关性不良反应，应进行充分的评估以排除其他病因。大多数免疫相关性不良反应是可逆的，且可通过中断特瑞普利单抗</w:t>
      </w:r>
      <w:r w:rsidRPr="00E302FE">
        <w:rPr>
          <w:rFonts w:ascii="仿宋" w:eastAsia="仿宋" w:hAnsi="仿宋" w:hint="eastAsia"/>
          <w:color w:val="000000"/>
          <w:sz w:val="32"/>
          <w:szCs w:val="32"/>
        </w:rPr>
        <w:t>并使用糖皮质激素支持治疗</w:t>
      </w:r>
      <w:r w:rsidR="00DD1A0D" w:rsidRPr="00136FBE">
        <w:rPr>
          <w:rFonts w:ascii="仿宋" w:eastAsia="仿宋" w:hAnsi="仿宋" w:hint="eastAsia"/>
          <w:color w:val="000000"/>
          <w:sz w:val="32"/>
          <w:szCs w:val="32"/>
        </w:rPr>
        <w:t>。对于大部分3～4级及某些特定的2级免疫相关性不良反应需暂停给药，并给予1～2mg/（kg</w:t>
      </w:r>
      <w:r w:rsidR="00DD1A0D" w:rsidRPr="00136FBE">
        <w:rPr>
          <w:rFonts w:ascii="宋体" w:hAnsi="宋体" w:cs="宋体" w:hint="eastAsia"/>
          <w:color w:val="000000"/>
          <w:sz w:val="32"/>
          <w:szCs w:val="32"/>
        </w:rPr>
        <w:t>•</w:t>
      </w:r>
      <w:r w:rsidR="00DD1A0D" w:rsidRPr="00136FBE">
        <w:rPr>
          <w:rFonts w:ascii="仿宋" w:eastAsia="仿宋" w:hAnsi="仿宋" w:hint="eastAsia"/>
          <w:color w:val="000000"/>
          <w:sz w:val="32"/>
          <w:szCs w:val="32"/>
        </w:rPr>
        <w:t>d）强的松等效剂量及其他治疗，直至改善到≤1级。糖皮质激素需至少一个月的时间逐渐减量直至停药，</w:t>
      </w:r>
      <w:r w:rsidRPr="00E302FE">
        <w:rPr>
          <w:rFonts w:ascii="仿宋" w:eastAsia="仿宋" w:hAnsi="仿宋" w:hint="eastAsia"/>
          <w:color w:val="000000"/>
          <w:sz w:val="32"/>
          <w:szCs w:val="32"/>
        </w:rPr>
        <w:t>快速减量可能引起免疫相关不良反应的反复。如果不良反应在糖皮质激素治疗后继续恶化或无改善，则应增加糖皮质激素以外的免疫抑制剂治疗。</w:t>
      </w:r>
    </w:p>
    <w:p w14:paraId="3B7BC96D" w14:textId="77777777" w:rsidR="00B23A40" w:rsidRPr="00136FBE" w:rsidRDefault="00E302FE">
      <w:pPr>
        <w:ind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DD1A0D" w:rsidRPr="00136FBE">
        <w:rPr>
          <w:rFonts w:ascii="仿宋" w:eastAsia="仿宋" w:hAnsi="仿宋" w:hint="eastAsia"/>
          <w:color w:val="000000"/>
          <w:sz w:val="32"/>
          <w:szCs w:val="32"/>
        </w:rPr>
        <w:t>.对于4级及某些特定的3级免疫相关性不良反应，及</w:t>
      </w:r>
      <w:r w:rsidR="00DD1A0D" w:rsidRPr="00136FBE">
        <w:rPr>
          <w:rFonts w:ascii="仿宋" w:eastAsia="仿宋" w:hAnsi="仿宋" w:hint="eastAsia"/>
          <w:color w:val="000000"/>
          <w:sz w:val="32"/>
          <w:szCs w:val="32"/>
        </w:rPr>
        <w:lastRenderedPageBreak/>
        <w:t>任何复发性3级免疫相关性不良反应，末次给药后12周内2～3级免疫相关性不良反应未改善到0～1级（除外内分泌疾病），以及末次给药12周内糖皮质激素未能降至≤10mg/d强的松等效剂量，应永久停药。</w:t>
      </w:r>
    </w:p>
    <w:p w14:paraId="16EB3809" w14:textId="77777777" w:rsidR="00B23A40" w:rsidRPr="00136FBE" w:rsidRDefault="00E302FE">
      <w:pPr>
        <w:ind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DD1A0D" w:rsidRPr="00136FBE">
        <w:rPr>
          <w:rFonts w:ascii="仿宋" w:eastAsia="仿宋" w:hAnsi="仿宋" w:hint="eastAsia"/>
          <w:color w:val="000000"/>
          <w:sz w:val="32"/>
          <w:szCs w:val="32"/>
        </w:rPr>
        <w:t>.禁忌：（1）禁止用于对特瑞普利单抗注射液活性成份或辅料存在超敏反应的患者。（2）不可与其他药品混合或稀释，药瓶中剩余的药物不可重复使用。（3）不得采用静脉推注或单次快速静脉注射给药。</w:t>
      </w:r>
    </w:p>
    <w:p w14:paraId="58D17827" w14:textId="77777777" w:rsidR="00B23A40" w:rsidRPr="00136FBE" w:rsidRDefault="00E302FE">
      <w:pPr>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DD1A0D" w:rsidRPr="00136FBE">
        <w:rPr>
          <w:rFonts w:ascii="仿宋" w:eastAsia="仿宋" w:hAnsi="仿宋" w:hint="eastAsia"/>
          <w:color w:val="000000"/>
          <w:sz w:val="32"/>
          <w:szCs w:val="32"/>
        </w:rPr>
        <w:t>.因可能干扰本品药效学活性，应避免在开始本品治疗前使用全身性糖皮质激素及其他免疫抑制剂。但是如果为了治疗免疫相关性不良反应，可在开始本品治疗后使用全身性糖皮质激素及其他免疫抑制剂。</w:t>
      </w:r>
    </w:p>
    <w:p w14:paraId="76FB438F" w14:textId="77777777" w:rsidR="00591B52" w:rsidRPr="00136FBE" w:rsidRDefault="00591B52" w:rsidP="00591B52">
      <w:pPr>
        <w:spacing w:line="360" w:lineRule="auto"/>
        <w:ind w:firstLineChars="200" w:firstLine="883"/>
        <w:jc w:val="center"/>
        <w:rPr>
          <w:rFonts w:ascii="宋体" w:hAnsi="宋体" w:cs="宋体"/>
          <w:b/>
          <w:bCs/>
          <w:sz w:val="44"/>
          <w:szCs w:val="44"/>
        </w:rPr>
      </w:pPr>
    </w:p>
    <w:p w14:paraId="205BCB86" w14:textId="77777777" w:rsidR="00591B52" w:rsidRPr="00136FBE" w:rsidRDefault="00591B52" w:rsidP="00591B52">
      <w:pPr>
        <w:spacing w:line="360" w:lineRule="auto"/>
        <w:ind w:firstLineChars="200" w:firstLine="883"/>
        <w:jc w:val="center"/>
        <w:rPr>
          <w:rFonts w:ascii="宋体" w:hAnsi="宋体" w:cs="宋体"/>
          <w:b/>
          <w:bCs/>
          <w:sz w:val="44"/>
          <w:szCs w:val="44"/>
        </w:rPr>
      </w:pPr>
      <w:r w:rsidRPr="00136FBE">
        <w:rPr>
          <w:rFonts w:ascii="宋体" w:hAnsi="宋体" w:cs="宋体" w:hint="eastAsia"/>
          <w:b/>
          <w:bCs/>
          <w:sz w:val="44"/>
          <w:szCs w:val="44"/>
        </w:rPr>
        <w:t>骨与软组织肿瘤用药</w:t>
      </w:r>
    </w:p>
    <w:p w14:paraId="7C9B8FD8" w14:textId="77777777" w:rsidR="00591B52" w:rsidRPr="00136FBE" w:rsidRDefault="00591B52" w:rsidP="00591B52">
      <w:pPr>
        <w:spacing w:line="360" w:lineRule="auto"/>
        <w:ind w:firstLineChars="200" w:firstLine="883"/>
        <w:jc w:val="center"/>
        <w:rPr>
          <w:rFonts w:ascii="宋体" w:cs="Times New Roman"/>
          <w:b/>
          <w:bCs/>
          <w:sz w:val="44"/>
          <w:szCs w:val="44"/>
        </w:rPr>
      </w:pPr>
    </w:p>
    <w:p w14:paraId="76EA4C33" w14:textId="77777777" w:rsidR="005B0D21" w:rsidRPr="00136FBE" w:rsidRDefault="005B0D21" w:rsidP="005B0D21">
      <w:pPr>
        <w:spacing w:line="360" w:lineRule="auto"/>
        <w:ind w:firstLineChars="200" w:firstLine="640"/>
        <w:rPr>
          <w:rFonts w:ascii="黑体" w:eastAsia="黑体" w:hAnsi="黑体" w:cs="Times New Roman"/>
          <w:sz w:val="32"/>
          <w:szCs w:val="32"/>
        </w:rPr>
      </w:pPr>
      <w:r w:rsidRPr="00136FBE">
        <w:rPr>
          <w:rFonts w:ascii="黑体" w:eastAsia="黑体" w:hAnsi="黑体" w:cs="黑体" w:hint="eastAsia"/>
          <w:sz w:val="32"/>
          <w:szCs w:val="32"/>
        </w:rPr>
        <w:t xml:space="preserve">一、依维莫司 </w:t>
      </w:r>
      <w:proofErr w:type="spellStart"/>
      <w:r w:rsidRPr="00136FBE">
        <w:rPr>
          <w:rFonts w:ascii="黑体" w:eastAsia="黑体" w:hAnsi="黑体" w:cs="黑体" w:hint="eastAsia"/>
          <w:sz w:val="32"/>
          <w:szCs w:val="32"/>
        </w:rPr>
        <w:t>E</w:t>
      </w:r>
      <w:r w:rsidRPr="00136FBE">
        <w:rPr>
          <w:rFonts w:ascii="黑体" w:eastAsia="黑体" w:hAnsi="黑体" w:cs="黑体"/>
          <w:sz w:val="32"/>
          <w:szCs w:val="32"/>
        </w:rPr>
        <w:t>verolimus</w:t>
      </w:r>
      <w:proofErr w:type="spellEnd"/>
    </w:p>
    <w:p w14:paraId="157A2EC0" w14:textId="77777777" w:rsidR="005B0D21" w:rsidRPr="00136FBE" w:rsidRDefault="005B0D21" w:rsidP="005B0D21">
      <w:pPr>
        <w:spacing w:line="360" w:lineRule="auto"/>
        <w:ind w:firstLineChars="200" w:firstLine="643"/>
        <w:rPr>
          <w:rFonts w:ascii="仿宋" w:eastAsia="仿宋" w:hAnsi="仿宋" w:cs="Times New Roman"/>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hint="eastAsia"/>
          <w:color w:val="000000"/>
          <w:sz w:val="32"/>
          <w:szCs w:val="32"/>
        </w:rPr>
        <w:t>2.5mg、5mg、10mg</w:t>
      </w:r>
    </w:p>
    <w:p w14:paraId="0B6036B9" w14:textId="77777777" w:rsidR="005B0D21" w:rsidRPr="00136FBE" w:rsidRDefault="005B0D21" w:rsidP="005B0D21">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p>
    <w:p w14:paraId="052008D0"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需要治疗干预但不适于手术切除的结节性硬化症（</w:t>
      </w:r>
      <w:r w:rsidRPr="00136FBE">
        <w:rPr>
          <w:rFonts w:ascii="仿宋" w:eastAsia="仿宋" w:hAnsi="仿宋" w:cs="仿宋"/>
          <w:sz w:val="32"/>
          <w:szCs w:val="32"/>
        </w:rPr>
        <w:t>TSC</w:t>
      </w:r>
      <w:r w:rsidRPr="00136FBE">
        <w:rPr>
          <w:rFonts w:ascii="仿宋" w:eastAsia="仿宋" w:hAnsi="仿宋" w:cs="仿宋" w:hint="eastAsia"/>
          <w:sz w:val="32"/>
          <w:szCs w:val="32"/>
        </w:rPr>
        <w:t>）相关的室管膜下巨细胞星形细胞瘤（</w:t>
      </w:r>
      <w:r w:rsidRPr="00136FBE">
        <w:rPr>
          <w:rFonts w:ascii="仿宋" w:eastAsia="仿宋" w:hAnsi="仿宋" w:cs="仿宋"/>
          <w:sz w:val="32"/>
          <w:szCs w:val="32"/>
        </w:rPr>
        <w:t>SEGA</w:t>
      </w:r>
      <w:r w:rsidRPr="00136FBE">
        <w:rPr>
          <w:rFonts w:ascii="仿宋" w:eastAsia="仿宋" w:hAnsi="仿宋" w:cs="仿宋" w:hint="eastAsia"/>
          <w:sz w:val="32"/>
          <w:szCs w:val="32"/>
        </w:rPr>
        <w:t>）成人和儿童患者。</w:t>
      </w:r>
    </w:p>
    <w:p w14:paraId="38FED07B"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用于治疗不需立即手术治疗的结节性硬化症相关的</w:t>
      </w:r>
      <w:r w:rsidRPr="00136FBE">
        <w:rPr>
          <w:rFonts w:ascii="仿宋" w:eastAsia="仿宋" w:hAnsi="仿宋" w:cs="仿宋" w:hint="eastAsia"/>
          <w:sz w:val="32"/>
          <w:szCs w:val="32"/>
        </w:rPr>
        <w:lastRenderedPageBreak/>
        <w:t>肾血管平滑肌脂肪瘤（</w:t>
      </w:r>
      <w:r w:rsidRPr="00136FBE">
        <w:rPr>
          <w:rFonts w:ascii="仿宋" w:eastAsia="仿宋" w:hAnsi="仿宋" w:cs="仿宋"/>
          <w:sz w:val="32"/>
          <w:szCs w:val="32"/>
        </w:rPr>
        <w:t>TSC-RAML</w:t>
      </w:r>
      <w:r w:rsidRPr="00136FBE">
        <w:rPr>
          <w:rFonts w:ascii="仿宋" w:eastAsia="仿宋" w:hAnsi="仿宋" w:cs="仿宋" w:hint="eastAsia"/>
          <w:sz w:val="32"/>
          <w:szCs w:val="32"/>
        </w:rPr>
        <w:t>）成人患者。</w:t>
      </w:r>
    </w:p>
    <w:p w14:paraId="2290CC03" w14:textId="77777777" w:rsidR="005B0D21" w:rsidRPr="00136FBE" w:rsidRDefault="005B0D21" w:rsidP="005B0D21">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27EF53F3"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1.</w:t>
      </w:r>
      <w:r w:rsidRPr="00136FBE">
        <w:rPr>
          <w:rFonts w:ascii="仿宋" w:eastAsia="仿宋" w:hAnsi="仿宋" w:cs="仿宋" w:hint="eastAsia"/>
          <w:sz w:val="32"/>
          <w:szCs w:val="32"/>
        </w:rPr>
        <w:t>肝功能损伤会使依维莫司暴露量增加，按如下方式进行给药调整：（</w:t>
      </w:r>
      <w:r w:rsidRPr="00136FBE">
        <w:rPr>
          <w:rFonts w:ascii="仿宋" w:eastAsia="仿宋" w:hAnsi="仿宋" w:cs="仿宋"/>
          <w:sz w:val="32"/>
          <w:szCs w:val="32"/>
        </w:rPr>
        <w:t>1</w:t>
      </w:r>
      <w:r w:rsidRPr="00136FBE">
        <w:rPr>
          <w:rFonts w:ascii="仿宋" w:eastAsia="仿宋" w:hAnsi="仿宋" w:cs="仿宋" w:hint="eastAsia"/>
          <w:sz w:val="32"/>
          <w:szCs w:val="32"/>
        </w:rPr>
        <w:t>）轻度肝功能损伤：推荐剂量为每天</w:t>
      </w:r>
      <w:r w:rsidRPr="00136FBE">
        <w:rPr>
          <w:rFonts w:ascii="仿宋" w:eastAsia="仿宋" w:hAnsi="仿宋" w:cs="仿宋"/>
          <w:sz w:val="32"/>
          <w:szCs w:val="32"/>
        </w:rPr>
        <w:t>7.5mg</w:t>
      </w:r>
      <w:r w:rsidRPr="00136FBE">
        <w:rPr>
          <w:rFonts w:ascii="仿宋" w:eastAsia="仿宋" w:hAnsi="仿宋" w:cs="仿宋" w:hint="eastAsia"/>
          <w:sz w:val="32"/>
          <w:szCs w:val="32"/>
        </w:rPr>
        <w:t>；如果不能很好地耐受，可将剂量降至每天</w:t>
      </w:r>
      <w:r w:rsidRPr="00136FBE">
        <w:rPr>
          <w:rFonts w:ascii="仿宋" w:eastAsia="仿宋" w:hAnsi="仿宋" w:cs="仿宋"/>
          <w:sz w:val="32"/>
          <w:szCs w:val="32"/>
        </w:rPr>
        <w:t>5mg</w:t>
      </w:r>
      <w:r w:rsidRPr="00136FBE">
        <w:rPr>
          <w:rFonts w:ascii="仿宋" w:eastAsia="仿宋" w:hAnsi="仿宋" w:cs="仿宋" w:hint="eastAsia"/>
          <w:sz w:val="32"/>
          <w:szCs w:val="32"/>
        </w:rPr>
        <w:t>。（</w:t>
      </w:r>
      <w:r w:rsidRPr="00136FBE">
        <w:rPr>
          <w:rFonts w:ascii="仿宋" w:eastAsia="仿宋" w:hAnsi="仿宋" w:cs="仿宋"/>
          <w:sz w:val="32"/>
          <w:szCs w:val="32"/>
        </w:rPr>
        <w:t>2</w:t>
      </w:r>
      <w:r w:rsidRPr="00136FBE">
        <w:rPr>
          <w:rFonts w:ascii="仿宋" w:eastAsia="仿宋" w:hAnsi="仿宋" w:cs="仿宋" w:hint="eastAsia"/>
          <w:sz w:val="32"/>
          <w:szCs w:val="32"/>
        </w:rPr>
        <w:t>）中度肝功能损伤：推荐剂量是每天</w:t>
      </w:r>
      <w:r w:rsidRPr="00136FBE">
        <w:rPr>
          <w:rFonts w:ascii="仿宋" w:eastAsia="仿宋" w:hAnsi="仿宋" w:cs="仿宋"/>
          <w:sz w:val="32"/>
          <w:szCs w:val="32"/>
        </w:rPr>
        <w:t>5mg</w:t>
      </w:r>
      <w:r w:rsidRPr="00136FBE">
        <w:rPr>
          <w:rFonts w:ascii="仿宋" w:eastAsia="仿宋" w:hAnsi="仿宋" w:cs="仿宋" w:hint="eastAsia"/>
          <w:sz w:val="32"/>
          <w:szCs w:val="32"/>
        </w:rPr>
        <w:t>；如果不能很好地耐受，可将剂量降至每天</w:t>
      </w:r>
      <w:r w:rsidRPr="00136FBE">
        <w:rPr>
          <w:rFonts w:ascii="仿宋" w:eastAsia="仿宋" w:hAnsi="仿宋" w:cs="仿宋"/>
          <w:sz w:val="32"/>
          <w:szCs w:val="32"/>
        </w:rPr>
        <w:t>2.5mg</w:t>
      </w:r>
      <w:r w:rsidRPr="00136FBE">
        <w:rPr>
          <w:rFonts w:ascii="仿宋" w:eastAsia="仿宋" w:hAnsi="仿宋" w:cs="仿宋" w:hint="eastAsia"/>
          <w:sz w:val="32"/>
          <w:szCs w:val="32"/>
        </w:rPr>
        <w:t>。（</w:t>
      </w:r>
      <w:r w:rsidRPr="00136FBE">
        <w:rPr>
          <w:rFonts w:ascii="仿宋" w:eastAsia="仿宋" w:hAnsi="仿宋" w:cs="仿宋"/>
          <w:sz w:val="32"/>
          <w:szCs w:val="32"/>
        </w:rPr>
        <w:t>3</w:t>
      </w:r>
      <w:r w:rsidRPr="00136FBE">
        <w:rPr>
          <w:rFonts w:ascii="仿宋" w:eastAsia="仿宋" w:hAnsi="仿宋" w:cs="仿宋" w:hint="eastAsia"/>
          <w:sz w:val="32"/>
          <w:szCs w:val="32"/>
        </w:rPr>
        <w:t>）重度肝功能损伤：如果预期的获益高于风险，可以采用每天</w:t>
      </w:r>
      <w:r w:rsidRPr="00136FBE">
        <w:rPr>
          <w:rFonts w:ascii="仿宋" w:eastAsia="仿宋" w:hAnsi="仿宋" w:cs="仿宋"/>
          <w:sz w:val="32"/>
          <w:szCs w:val="32"/>
        </w:rPr>
        <w:t>2.5mg</w:t>
      </w:r>
      <w:r w:rsidRPr="00136FBE">
        <w:rPr>
          <w:rFonts w:ascii="仿宋" w:eastAsia="仿宋" w:hAnsi="仿宋" w:cs="仿宋" w:hint="eastAsia"/>
          <w:sz w:val="32"/>
          <w:szCs w:val="32"/>
        </w:rPr>
        <w:t>，但不得超过这一剂量。</w:t>
      </w:r>
    </w:p>
    <w:p w14:paraId="23746859"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用药期间必须注意常见的口腔炎等；应特别注意间质性肺炎的发生，可能会发生肌酐、血糖和血脂异常，注意用药期间复查。</w:t>
      </w:r>
    </w:p>
    <w:p w14:paraId="43D3D45B"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避免合并使用强效</w:t>
      </w:r>
      <w:r w:rsidRPr="00136FBE">
        <w:rPr>
          <w:rFonts w:ascii="仿宋" w:eastAsia="仿宋" w:hAnsi="仿宋" w:cs="仿宋"/>
          <w:sz w:val="32"/>
          <w:szCs w:val="32"/>
        </w:rPr>
        <w:t>CYP3A4</w:t>
      </w:r>
      <w:r w:rsidRPr="00136FBE">
        <w:rPr>
          <w:rFonts w:ascii="仿宋" w:eastAsia="仿宋" w:hAnsi="仿宋" w:cs="仿宋" w:hint="eastAsia"/>
          <w:sz w:val="32"/>
          <w:szCs w:val="32"/>
        </w:rPr>
        <w:t>诱导剂，确需合用的，需增加剂量，最大剂量每天</w:t>
      </w:r>
      <w:r w:rsidRPr="00136FBE">
        <w:rPr>
          <w:rFonts w:ascii="仿宋" w:eastAsia="仿宋" w:hAnsi="仿宋" w:cs="仿宋"/>
          <w:sz w:val="32"/>
          <w:szCs w:val="32"/>
        </w:rPr>
        <w:t>20mg</w:t>
      </w:r>
      <w:r w:rsidRPr="00136FBE">
        <w:rPr>
          <w:rFonts w:ascii="仿宋" w:eastAsia="仿宋" w:hAnsi="仿宋" w:cs="仿宋" w:hint="eastAsia"/>
          <w:sz w:val="32"/>
          <w:szCs w:val="32"/>
        </w:rPr>
        <w:t>。如需使用</w:t>
      </w:r>
      <w:r w:rsidRPr="00136FBE">
        <w:rPr>
          <w:rFonts w:ascii="仿宋" w:eastAsia="仿宋" w:hAnsi="仿宋" w:cs="仿宋"/>
          <w:sz w:val="32"/>
          <w:szCs w:val="32"/>
        </w:rPr>
        <w:t>CYP3A4</w:t>
      </w:r>
      <w:r w:rsidRPr="00136FBE">
        <w:rPr>
          <w:rFonts w:ascii="仿宋" w:eastAsia="仿宋" w:hAnsi="仿宋" w:cs="仿宋" w:hint="eastAsia"/>
          <w:sz w:val="32"/>
          <w:szCs w:val="32"/>
        </w:rPr>
        <w:t>中度抑制剂或</w:t>
      </w:r>
      <w:r w:rsidRPr="00136FBE">
        <w:rPr>
          <w:rFonts w:ascii="仿宋" w:eastAsia="仿宋" w:hAnsi="仿宋" w:cs="仿宋"/>
          <w:sz w:val="32"/>
          <w:szCs w:val="32"/>
        </w:rPr>
        <w:t>P-</w:t>
      </w:r>
      <w:r w:rsidRPr="00136FBE">
        <w:rPr>
          <w:rFonts w:ascii="仿宋" w:eastAsia="仿宋" w:hAnsi="仿宋" w:cs="仿宋" w:hint="eastAsia"/>
          <w:sz w:val="32"/>
          <w:szCs w:val="32"/>
        </w:rPr>
        <w:t>糖蛋白抑制剂，减量至每天</w:t>
      </w:r>
      <w:r w:rsidRPr="00136FBE">
        <w:rPr>
          <w:rFonts w:ascii="仿宋" w:eastAsia="仿宋" w:hAnsi="仿宋" w:cs="仿宋"/>
          <w:sz w:val="32"/>
          <w:szCs w:val="32"/>
        </w:rPr>
        <w:t>2.5mg</w:t>
      </w:r>
      <w:r w:rsidRPr="00136FBE">
        <w:rPr>
          <w:rFonts w:ascii="仿宋" w:eastAsia="仿宋" w:hAnsi="仿宋" w:cs="仿宋" w:hint="eastAsia"/>
          <w:sz w:val="32"/>
          <w:szCs w:val="32"/>
        </w:rPr>
        <w:t>，如果耐受可增加至剂量每天</w:t>
      </w:r>
      <w:r w:rsidRPr="00136FBE">
        <w:rPr>
          <w:rFonts w:ascii="仿宋" w:eastAsia="仿宋" w:hAnsi="仿宋" w:cs="仿宋"/>
          <w:sz w:val="32"/>
          <w:szCs w:val="32"/>
        </w:rPr>
        <w:t>5mg</w:t>
      </w:r>
      <w:r w:rsidRPr="00136FBE">
        <w:rPr>
          <w:rFonts w:ascii="仿宋" w:eastAsia="仿宋" w:hAnsi="仿宋" w:cs="仿宋" w:hint="eastAsia"/>
          <w:sz w:val="32"/>
          <w:szCs w:val="32"/>
        </w:rPr>
        <w:t>。</w:t>
      </w:r>
    </w:p>
    <w:p w14:paraId="30867F7A"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在本品治疗期间应避免接种活疫苗，避免与接种过活疫苗的人密切接触。</w:t>
      </w:r>
    </w:p>
    <w:p w14:paraId="32D52BAF" w14:textId="77777777" w:rsidR="005B0D21" w:rsidRPr="00136FBE" w:rsidRDefault="005B0D21" w:rsidP="005B0D21">
      <w:pPr>
        <w:spacing w:line="360" w:lineRule="auto"/>
        <w:ind w:firstLineChars="200" w:firstLine="640"/>
        <w:rPr>
          <w:rFonts w:ascii="仿宋" w:eastAsia="仿宋" w:hAnsi="仿宋" w:cs="Times New Roman"/>
          <w:sz w:val="32"/>
          <w:szCs w:val="32"/>
        </w:rPr>
      </w:pPr>
      <w:r w:rsidRPr="00136FBE">
        <w:rPr>
          <w:rFonts w:ascii="仿宋" w:eastAsia="仿宋" w:hAnsi="仿宋" w:cs="仿宋" w:hint="eastAsia"/>
          <w:sz w:val="32"/>
          <w:szCs w:val="32"/>
        </w:rPr>
        <w:t>5．妊娠妇女服用时可能对胎儿产生危害，应充分告知。</w:t>
      </w:r>
    </w:p>
    <w:p w14:paraId="36F9B38A" w14:textId="612DDB09" w:rsidR="00591B52" w:rsidRPr="00136FBE" w:rsidRDefault="005B0D21" w:rsidP="00591B52">
      <w:pPr>
        <w:spacing w:line="360" w:lineRule="auto"/>
        <w:ind w:firstLineChars="200" w:firstLine="640"/>
        <w:rPr>
          <w:rFonts w:ascii="黑体" w:eastAsia="黑体" w:hAnsi="黑体" w:cs="Times New Roman"/>
          <w:sz w:val="32"/>
          <w:szCs w:val="32"/>
          <w:lang w:val="de-DE"/>
        </w:rPr>
      </w:pPr>
      <w:r w:rsidRPr="00136FBE">
        <w:rPr>
          <w:rFonts w:ascii="黑体" w:eastAsia="黑体" w:hAnsi="黑体" w:cs="黑体" w:hint="eastAsia"/>
          <w:sz w:val="32"/>
          <w:szCs w:val="32"/>
          <w:lang w:val="de-DE"/>
        </w:rPr>
        <w:t>二</w:t>
      </w:r>
      <w:r w:rsidR="00591B52" w:rsidRPr="00136FBE">
        <w:rPr>
          <w:rFonts w:ascii="黑体" w:eastAsia="黑体" w:hAnsi="黑体" w:cs="黑体" w:hint="eastAsia"/>
          <w:sz w:val="32"/>
          <w:szCs w:val="32"/>
          <w:lang w:val="de-DE"/>
        </w:rPr>
        <w:t>、</w:t>
      </w:r>
      <w:r w:rsidR="00591B52" w:rsidRPr="00136FBE">
        <w:rPr>
          <w:rFonts w:ascii="黑体" w:eastAsia="黑体" w:hAnsi="黑体" w:cs="黑体" w:hint="eastAsia"/>
          <w:sz w:val="32"/>
          <w:szCs w:val="32"/>
        </w:rPr>
        <w:t>地舒单抗</w:t>
      </w:r>
      <w:r w:rsidR="00515A18">
        <w:rPr>
          <w:rFonts w:ascii="黑体" w:eastAsia="黑体" w:hAnsi="黑体" w:cs="黑体" w:hint="eastAsia"/>
          <w:sz w:val="32"/>
          <w:szCs w:val="32"/>
        </w:rPr>
        <w:t xml:space="preserve"> </w:t>
      </w:r>
      <w:r w:rsidR="00591B52" w:rsidRPr="00136FBE">
        <w:rPr>
          <w:rFonts w:ascii="黑体" w:eastAsia="黑体" w:hAnsi="黑体" w:cs="黑体" w:hint="eastAsia"/>
          <w:sz w:val="32"/>
          <w:szCs w:val="32"/>
        </w:rPr>
        <w:t>Denosumab</w:t>
      </w:r>
    </w:p>
    <w:p w14:paraId="24697C3E" w14:textId="77777777" w:rsidR="00591B52" w:rsidRPr="00136FBE" w:rsidRDefault="00591B52" w:rsidP="00591B52">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注射液：120</w:t>
      </w:r>
      <w:r w:rsidRPr="00136FBE">
        <w:rPr>
          <w:rFonts w:ascii="仿宋" w:eastAsia="仿宋" w:hAnsi="仿宋" w:cs="仿宋"/>
          <w:sz w:val="32"/>
          <w:szCs w:val="32"/>
        </w:rPr>
        <w:t>mg</w:t>
      </w:r>
      <w:r w:rsidRPr="00136FBE">
        <w:rPr>
          <w:rFonts w:ascii="仿宋" w:eastAsia="仿宋" w:hAnsi="仿宋" w:cs="仿宋" w:hint="eastAsia"/>
          <w:sz w:val="32"/>
          <w:szCs w:val="32"/>
        </w:rPr>
        <w:t>（1.7ml）/瓶</w:t>
      </w:r>
    </w:p>
    <w:p w14:paraId="7DD01875" w14:textId="77777777" w:rsidR="00591B52" w:rsidRPr="00136FBE" w:rsidRDefault="00591B52" w:rsidP="00591B52">
      <w:pPr>
        <w:spacing w:line="360" w:lineRule="auto"/>
        <w:ind w:firstLineChars="200" w:firstLine="643"/>
        <w:rPr>
          <w:rFonts w:ascii="仿宋" w:eastAsia="仿宋" w:hAnsi="仿宋" w:cs="仿宋"/>
          <w:bCs/>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bCs/>
          <w:sz w:val="32"/>
          <w:szCs w:val="32"/>
        </w:rPr>
        <w:t>治疗不可手术切除或者手术切除可能导致严重功能障碍的骨巨细胞瘤</w:t>
      </w:r>
      <w:r w:rsidRPr="00136FBE">
        <w:rPr>
          <w:rFonts w:ascii="仿宋" w:eastAsia="仿宋" w:hAnsi="仿宋" w:cs="仿宋" w:hint="eastAsia"/>
          <w:sz w:val="32"/>
          <w:szCs w:val="32"/>
        </w:rPr>
        <w:t>（GCTB）</w:t>
      </w:r>
      <w:r w:rsidRPr="00136FBE">
        <w:rPr>
          <w:rFonts w:ascii="仿宋" w:eastAsia="仿宋" w:hAnsi="仿宋" w:cs="仿宋" w:hint="eastAsia"/>
          <w:bCs/>
          <w:sz w:val="32"/>
          <w:szCs w:val="32"/>
        </w:rPr>
        <w:t>，包括成人和骨骼发育成熟</w:t>
      </w:r>
      <w:r w:rsidRPr="00136FBE">
        <w:rPr>
          <w:rFonts w:ascii="仿宋" w:eastAsia="仿宋" w:hAnsi="仿宋" w:cs="仿宋" w:hint="eastAsia"/>
          <w:bCs/>
          <w:sz w:val="32"/>
          <w:szCs w:val="32"/>
        </w:rPr>
        <w:lastRenderedPageBreak/>
        <w:t>（定义为至少一处成熟长骨且体重≥45 kg）的青少年患者。</w:t>
      </w:r>
    </w:p>
    <w:p w14:paraId="33473AB7" w14:textId="77777777" w:rsidR="00591B52" w:rsidRPr="00136FBE" w:rsidRDefault="00591B52" w:rsidP="00591B52">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4EA43BD9"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cs="仿宋" w:hint="eastAsia"/>
          <w:sz w:val="32"/>
          <w:szCs w:val="32"/>
        </w:rPr>
        <w:t>1.地舒单抗治疗120mg每4周1次皮下注射（上臂、大腿或腹部），禁止静脉、肌肉和皮内注射，治疗第1个月的第8和第15天需地舒单抗</w:t>
      </w:r>
      <w:r w:rsidRPr="00136FBE">
        <w:rPr>
          <w:rFonts w:ascii="仿宋" w:eastAsia="仿宋" w:hAnsi="仿宋" w:cs="仿宋"/>
          <w:sz w:val="32"/>
          <w:szCs w:val="32"/>
        </w:rPr>
        <w:t>120mg</w:t>
      </w:r>
      <w:r w:rsidRPr="00136FBE">
        <w:rPr>
          <w:rFonts w:ascii="仿宋" w:eastAsia="仿宋" w:hAnsi="仿宋" w:cs="仿宋" w:hint="eastAsia"/>
          <w:sz w:val="32"/>
          <w:szCs w:val="32"/>
        </w:rPr>
        <w:t>皮下补充注射各1次。</w:t>
      </w:r>
    </w:p>
    <w:p w14:paraId="0D98C49C"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2.地舒单抗治疗前必须先检测血钙水平，如有低钙血症需要先纠正。对于有易发生低钙血症和矿物质代谢失衡倾向患者（如有甲状旁腺功能减退症史、甲状腺和甲状旁腺手术史、营养不良、小肠切除、严重</w:t>
      </w:r>
      <w:r w:rsidR="00D20715" w:rsidRPr="00136FBE">
        <w:rPr>
          <w:rFonts w:ascii="仿宋" w:eastAsia="仿宋" w:hAnsi="仿宋" w:hint="eastAsia"/>
          <w:sz w:val="32"/>
          <w:szCs w:val="32"/>
        </w:rPr>
        <w:t>肾功能损伤</w:t>
      </w:r>
      <w:r w:rsidRPr="00136FBE">
        <w:rPr>
          <w:rFonts w:ascii="仿宋" w:eastAsia="仿宋" w:hAnsi="仿宋" w:hint="eastAsia"/>
          <w:sz w:val="32"/>
          <w:szCs w:val="32"/>
        </w:rPr>
        <w:t>者），临床需密切监测其血肌酐及血电解质水平（如磷和镁），并指导此类患者关注低钙血症的症状，每日服用钙500mg和维生素D 400IU以治疗或预防低钙血症。地舒单抗不宜与双膦酸盐合并用药。</w:t>
      </w:r>
    </w:p>
    <w:p w14:paraId="38BB40CE"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3.服用免疫抑制剂或免疫系统受损的患者接受地舒单抗治疗发生严重感染的风险可能会增加，用药前需充分考虑效益-风险比。对于使用地舒单抗发生严重感染者，医师应评估继续用药的风险。</w:t>
      </w:r>
    </w:p>
    <w:p w14:paraId="02B1F828"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4.下颌骨坏死（可自发性发生）通常伴随着拔牙和延迟愈合的局部感染发生。地舒单抗开始治疗前应进行常规的口腔检查，治疗开始后需保持良好的口腔卫生。治疗期间避免侵入性齿科手术和操作（如拔牙、牙科植入、骨手术等）。如发生下颌骨坏死，针对下颌骨坏死的治疗可能反倒加重病</w:t>
      </w:r>
      <w:r w:rsidRPr="00136FBE">
        <w:rPr>
          <w:rFonts w:ascii="仿宋" w:eastAsia="仿宋" w:hAnsi="仿宋" w:hint="eastAsia"/>
          <w:sz w:val="32"/>
          <w:szCs w:val="32"/>
        </w:rPr>
        <w:lastRenderedPageBreak/>
        <w:t>情，此时应考虑停药。</w:t>
      </w:r>
    </w:p>
    <w:p w14:paraId="0089B76E"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5.建议育龄期妇女在接受治疗期间以及在最后一剂治疗后至少5个月内采取有效的避孕措施。</w:t>
      </w:r>
    </w:p>
    <w:p w14:paraId="3E4EA079"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6.常见不良反应包括关节痛、头痛、恶心、背部疼痛、疲劳和四肢疼痛。</w:t>
      </w:r>
    </w:p>
    <w:p w14:paraId="696F248E"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7.禁忌证：低钙血症、超敏反应、牙科或口腔术后创口未愈合。</w:t>
      </w:r>
    </w:p>
    <w:p w14:paraId="67DA4A2E" w14:textId="77777777" w:rsidR="00591B52" w:rsidRPr="00136FBE" w:rsidRDefault="00591B52" w:rsidP="00591B52">
      <w:pPr>
        <w:spacing w:line="360" w:lineRule="auto"/>
        <w:ind w:firstLineChars="200" w:firstLine="643"/>
        <w:rPr>
          <w:rFonts w:ascii="仿宋" w:eastAsia="仿宋" w:hAnsi="仿宋"/>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hint="eastAsia"/>
          <w:sz w:val="32"/>
          <w:szCs w:val="32"/>
        </w:rPr>
        <w:t>8.美国《NCCN骨肿瘤临床实践指南（V.1.2020）》将地舒单抗作为骨巨细胞瘤的优先推荐用药。</w:t>
      </w:r>
    </w:p>
    <w:p w14:paraId="3C5CA472" w14:textId="77777777" w:rsidR="00591B52" w:rsidRPr="00136FBE" w:rsidRDefault="00591B52" w:rsidP="00591B52">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9</w:t>
      </w:r>
      <w:r w:rsidRPr="00136FBE">
        <w:rPr>
          <w:rFonts w:ascii="仿宋" w:eastAsia="仿宋" w:hAnsi="仿宋" w:cs="仿宋"/>
          <w:sz w:val="32"/>
          <w:szCs w:val="32"/>
        </w:rPr>
        <w:t>.</w:t>
      </w:r>
      <w:r w:rsidR="00811166" w:rsidRPr="00136FBE">
        <w:rPr>
          <w:rFonts w:ascii="仿宋" w:eastAsia="仿宋" w:hAnsi="仿宋" w:cs="仿宋" w:hint="eastAsia"/>
          <w:sz w:val="32"/>
          <w:szCs w:val="32"/>
        </w:rPr>
        <w:t>有</w:t>
      </w:r>
      <w:r w:rsidRPr="00136FBE">
        <w:rPr>
          <w:rFonts w:ascii="仿宋" w:eastAsia="仿宋" w:hAnsi="仿宋" w:hint="eastAsia"/>
          <w:sz w:val="32"/>
          <w:szCs w:val="32"/>
        </w:rPr>
        <w:t>推荐</w:t>
      </w:r>
      <w:r w:rsidRPr="00136FBE">
        <w:rPr>
          <w:rFonts w:ascii="仿宋" w:eastAsia="仿宋" w:hAnsi="仿宋" w:cs="仿宋" w:hint="eastAsia"/>
          <w:sz w:val="32"/>
          <w:szCs w:val="32"/>
        </w:rPr>
        <w:t>地舒单抗用于不可切除的GCTB患者；用于可切除GCTB患者的术前新辅助治疗。</w:t>
      </w:r>
    </w:p>
    <w:p w14:paraId="491D8C2B" w14:textId="77777777" w:rsidR="00591B52" w:rsidRPr="00136FBE" w:rsidRDefault="00591B52" w:rsidP="00591B52">
      <w:pPr>
        <w:spacing w:line="360" w:lineRule="auto"/>
        <w:ind w:firstLineChars="200" w:firstLine="643"/>
        <w:rPr>
          <w:rFonts w:ascii="仿宋" w:eastAsia="仿宋" w:hAnsi="仿宋"/>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hint="eastAsia"/>
          <w:sz w:val="32"/>
          <w:szCs w:val="32"/>
        </w:rPr>
        <w:t>10.地舒单抗用于多发性骨髓瘤和实体瘤骨转移患者中骨相关事件（SREs）预防的新适应证上市申请（</w:t>
      </w:r>
      <w:proofErr w:type="spellStart"/>
      <w:r w:rsidRPr="00136FBE">
        <w:rPr>
          <w:rFonts w:ascii="仿宋" w:eastAsia="仿宋" w:hAnsi="仿宋" w:hint="eastAsia"/>
          <w:sz w:val="32"/>
          <w:szCs w:val="32"/>
        </w:rPr>
        <w:t>sNDA</w:t>
      </w:r>
      <w:proofErr w:type="spellEnd"/>
      <w:r w:rsidRPr="00136FBE">
        <w:rPr>
          <w:rFonts w:ascii="仿宋" w:eastAsia="仿宋" w:hAnsi="仿宋" w:hint="eastAsia"/>
          <w:sz w:val="32"/>
          <w:szCs w:val="32"/>
        </w:rPr>
        <w:t>）已于2020年4月被国家药品监督管理局正式受理。</w:t>
      </w:r>
    </w:p>
    <w:p w14:paraId="0D9736E6" w14:textId="3738E061" w:rsidR="00591B52" w:rsidRPr="00136FBE" w:rsidRDefault="005B0D21" w:rsidP="00591B52">
      <w:pPr>
        <w:spacing w:line="360" w:lineRule="auto"/>
        <w:ind w:firstLineChars="200" w:firstLine="640"/>
        <w:rPr>
          <w:rFonts w:ascii="黑体" w:eastAsia="黑体" w:hAnsi="黑体" w:cs="Times New Roman"/>
          <w:sz w:val="32"/>
          <w:szCs w:val="32"/>
          <w:lang w:val="de-DE"/>
        </w:rPr>
      </w:pPr>
      <w:r w:rsidRPr="00136FBE">
        <w:rPr>
          <w:rFonts w:ascii="黑体" w:eastAsia="黑体" w:hAnsi="黑体" w:cs="黑体" w:hint="eastAsia"/>
          <w:sz w:val="32"/>
          <w:szCs w:val="32"/>
          <w:lang w:val="de-DE"/>
        </w:rPr>
        <w:t>三</w:t>
      </w:r>
      <w:r w:rsidR="00591B52" w:rsidRPr="00136FBE">
        <w:rPr>
          <w:rFonts w:ascii="黑体" w:eastAsia="黑体" w:hAnsi="黑体" w:cs="黑体" w:hint="eastAsia"/>
          <w:sz w:val="32"/>
          <w:szCs w:val="32"/>
          <w:lang w:val="de-DE"/>
        </w:rPr>
        <w:t>、</w:t>
      </w:r>
      <w:r w:rsidR="00591B52" w:rsidRPr="00136FBE">
        <w:rPr>
          <w:rFonts w:ascii="黑体" w:eastAsia="黑体" w:hAnsi="黑体" w:cs="黑体" w:hint="eastAsia"/>
          <w:sz w:val="32"/>
          <w:szCs w:val="32"/>
        </w:rPr>
        <w:t>安罗替尼</w:t>
      </w:r>
      <w:r w:rsidR="00515A18">
        <w:rPr>
          <w:rFonts w:ascii="黑体" w:eastAsia="黑体" w:hAnsi="黑体" w:cs="黑体" w:hint="eastAsia"/>
          <w:sz w:val="32"/>
          <w:szCs w:val="32"/>
        </w:rPr>
        <w:t xml:space="preserve"> </w:t>
      </w:r>
      <w:proofErr w:type="spellStart"/>
      <w:r w:rsidR="00591B52" w:rsidRPr="00136FBE">
        <w:rPr>
          <w:rFonts w:ascii="黑体" w:eastAsia="黑体" w:hAnsi="黑体" w:cs="黑体" w:hint="eastAsia"/>
          <w:sz w:val="32"/>
          <w:szCs w:val="32"/>
        </w:rPr>
        <w:t>A</w:t>
      </w:r>
      <w:r w:rsidR="00591B52" w:rsidRPr="00136FBE">
        <w:rPr>
          <w:rFonts w:ascii="黑体" w:eastAsia="黑体" w:hAnsi="黑体" w:cs="黑体"/>
          <w:sz w:val="32"/>
          <w:szCs w:val="32"/>
        </w:rPr>
        <w:t>nlotinib</w:t>
      </w:r>
      <w:proofErr w:type="spellEnd"/>
    </w:p>
    <w:p w14:paraId="7D21D0E5" w14:textId="77777777" w:rsidR="00591B52" w:rsidRPr="00136FBE" w:rsidRDefault="00591B52" w:rsidP="00591B52">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胶囊：</w:t>
      </w:r>
      <w:r w:rsidRPr="00136FBE">
        <w:rPr>
          <w:rFonts w:ascii="仿宋" w:eastAsia="仿宋" w:hAnsi="仿宋" w:cs="仿宋"/>
          <w:sz w:val="32"/>
          <w:szCs w:val="32"/>
        </w:rPr>
        <w:t>8mg</w:t>
      </w:r>
      <w:r w:rsidRPr="00136FBE">
        <w:rPr>
          <w:rFonts w:ascii="仿宋" w:eastAsia="仿宋" w:hAnsi="仿宋" w:cs="仿宋" w:hint="eastAsia"/>
          <w:sz w:val="32"/>
          <w:szCs w:val="32"/>
        </w:rPr>
        <w:t>、</w:t>
      </w:r>
      <w:r w:rsidRPr="00136FBE">
        <w:rPr>
          <w:rFonts w:ascii="仿宋" w:eastAsia="仿宋" w:hAnsi="仿宋" w:cs="仿宋"/>
          <w:sz w:val="32"/>
          <w:szCs w:val="32"/>
        </w:rPr>
        <w:t>10mg</w:t>
      </w:r>
      <w:r w:rsidRPr="00136FBE">
        <w:rPr>
          <w:rFonts w:ascii="仿宋" w:eastAsia="仿宋" w:hAnsi="仿宋" w:cs="仿宋" w:hint="eastAsia"/>
          <w:sz w:val="32"/>
          <w:szCs w:val="32"/>
        </w:rPr>
        <w:t>、</w:t>
      </w:r>
      <w:r w:rsidRPr="00136FBE">
        <w:rPr>
          <w:rFonts w:ascii="仿宋" w:eastAsia="仿宋" w:hAnsi="仿宋" w:cs="仿宋"/>
          <w:sz w:val="32"/>
          <w:szCs w:val="32"/>
        </w:rPr>
        <w:t xml:space="preserve">12mg </w:t>
      </w:r>
    </w:p>
    <w:p w14:paraId="1557DC00" w14:textId="77777777" w:rsidR="00591B52" w:rsidRPr="00136FBE" w:rsidRDefault="00591B52" w:rsidP="00591B52">
      <w:pPr>
        <w:spacing w:line="360" w:lineRule="auto"/>
        <w:ind w:firstLineChars="200" w:firstLine="643"/>
        <w:rPr>
          <w:rFonts w:ascii="仿宋" w:eastAsia="仿宋" w:hAnsi="仿宋" w:cs="仿宋"/>
          <w:bCs/>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bCs/>
          <w:sz w:val="32"/>
          <w:szCs w:val="32"/>
        </w:rPr>
        <w:t>适用于腺泡状软组织肉瘤（ASPS）、透明细胞肉瘤（CCS）以及既往至少接受过含蒽环类化疗方案治疗后进展或复发的其他晚期软组织肉瘤（STS）患者的治疗。</w:t>
      </w:r>
    </w:p>
    <w:p w14:paraId="669FBABF" w14:textId="77777777" w:rsidR="00591B52" w:rsidRPr="00136FBE" w:rsidRDefault="00591B52" w:rsidP="00591B52">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18CC2DEC"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w:t>
      </w:r>
      <w:r w:rsidRPr="00136FBE">
        <w:rPr>
          <w:rFonts w:ascii="仿宋" w:eastAsia="仿宋" w:hAnsi="仿宋" w:cs="仿宋"/>
          <w:sz w:val="32"/>
          <w:szCs w:val="32"/>
        </w:rPr>
        <w:t>.</w:t>
      </w:r>
      <w:r w:rsidRPr="00136FBE">
        <w:rPr>
          <w:rFonts w:ascii="仿宋" w:eastAsia="仿宋" w:hAnsi="仿宋" w:cs="仿宋" w:hint="eastAsia"/>
          <w:sz w:val="32"/>
          <w:szCs w:val="32"/>
        </w:rPr>
        <w:t>安罗替尼的推荐剂量为12mg每日一次早餐前口服。连续服药 2周，停药1周，即3周（21天）为一个治疗周</w:t>
      </w:r>
      <w:r w:rsidRPr="00136FBE">
        <w:rPr>
          <w:rFonts w:ascii="仿宋" w:eastAsia="仿宋" w:hAnsi="仿宋" w:cs="仿宋" w:hint="eastAsia"/>
          <w:sz w:val="32"/>
          <w:szCs w:val="32"/>
        </w:rPr>
        <w:lastRenderedPageBreak/>
        <w:t>期，直至疾病进展或出现不可耐受的不良反应。用药期间如出现漏服，确认距下次用药时间短于12小时，则不再补服。</w:t>
      </w:r>
    </w:p>
    <w:p w14:paraId="6C0A65DD"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w:t>
      </w:r>
      <w:r w:rsidRPr="00136FBE">
        <w:rPr>
          <w:rFonts w:ascii="仿宋" w:eastAsia="仿宋" w:hAnsi="仿宋" w:cs="仿宋"/>
          <w:sz w:val="32"/>
          <w:szCs w:val="32"/>
        </w:rPr>
        <w:t>.</w:t>
      </w:r>
      <w:r w:rsidRPr="00136FBE">
        <w:rPr>
          <w:rFonts w:ascii="仿宋" w:eastAsia="仿宋" w:hAnsi="仿宋" w:cs="仿宋" w:hint="eastAsia"/>
          <w:sz w:val="32"/>
          <w:szCs w:val="32"/>
        </w:rPr>
        <w:t>安罗替尼所致的不良反应可通过对症治疗、暂停用药和/或调整剂量等方式处理。根据不良反应程度，建议按以下方法调整剂量：</w:t>
      </w:r>
      <w:r w:rsidR="00A8091E" w:rsidRPr="00136FBE">
        <w:rPr>
          <w:rFonts w:ascii="仿宋" w:eastAsia="仿宋" w:hAnsi="仿宋" w:cs="仿宋" w:hint="eastAsia"/>
          <w:sz w:val="32"/>
          <w:szCs w:val="32"/>
        </w:rPr>
        <w:t>（1）</w:t>
      </w:r>
      <w:r w:rsidRPr="00136FBE">
        <w:rPr>
          <w:rFonts w:ascii="仿宋" w:eastAsia="仿宋" w:hAnsi="仿宋" w:cs="仿宋" w:hint="eastAsia"/>
          <w:sz w:val="32"/>
          <w:szCs w:val="32"/>
        </w:rPr>
        <w:t>第一次调整剂量：10mg，每日一次，连服2周，停药1周</w:t>
      </w:r>
      <w:r w:rsidR="00A8091E" w:rsidRPr="00136FBE">
        <w:rPr>
          <w:rFonts w:ascii="仿宋" w:eastAsia="仿宋" w:hAnsi="仿宋" w:cs="仿宋" w:hint="eastAsia"/>
          <w:sz w:val="32"/>
          <w:szCs w:val="32"/>
        </w:rPr>
        <w:t>。（2）</w:t>
      </w:r>
      <w:r w:rsidRPr="00136FBE">
        <w:rPr>
          <w:rFonts w:ascii="仿宋" w:eastAsia="仿宋" w:hAnsi="仿宋" w:cs="仿宋" w:hint="eastAsia"/>
          <w:sz w:val="32"/>
          <w:szCs w:val="32"/>
        </w:rPr>
        <w:t>第二次调整剂量：8mg，每日一次，连服2周，停药1周。如8mg剂量仍无法耐受，则永久停药。</w:t>
      </w:r>
      <w:r w:rsidRPr="00136FBE">
        <w:rPr>
          <w:rFonts w:ascii="仿宋" w:eastAsia="仿宋" w:hAnsi="仿宋" w:cs="Times New Roman" w:hint="eastAsia"/>
          <w:sz w:val="32"/>
          <w:szCs w:val="32"/>
        </w:rPr>
        <w:t>发生非出血性不良反应时，参照表</w:t>
      </w:r>
      <w:r w:rsidR="00B7658D">
        <w:rPr>
          <w:rFonts w:ascii="仿宋" w:eastAsia="仿宋" w:hAnsi="仿宋" w:cs="Times New Roman" w:hint="eastAsia"/>
          <w:sz w:val="32"/>
          <w:szCs w:val="32"/>
        </w:rPr>
        <w:t>7</w:t>
      </w:r>
      <w:r w:rsidRPr="00136FBE">
        <w:rPr>
          <w:rFonts w:ascii="仿宋" w:eastAsia="仿宋" w:hAnsi="仿宋" w:cs="Times New Roman" w:hint="eastAsia"/>
          <w:sz w:val="32"/>
          <w:szCs w:val="32"/>
        </w:rPr>
        <w:t>的总原则进行剂量调整。</w:t>
      </w:r>
    </w:p>
    <w:p w14:paraId="65F2B2CA" w14:textId="77777777" w:rsidR="00591B52" w:rsidRPr="00136FBE" w:rsidRDefault="00591B52" w:rsidP="00146E9D">
      <w:pPr>
        <w:spacing w:line="360" w:lineRule="auto"/>
        <w:ind w:firstLineChars="200" w:firstLine="422"/>
        <w:jc w:val="center"/>
        <w:rPr>
          <w:rFonts w:ascii="仿宋" w:eastAsia="仿宋" w:hAnsi="仿宋" w:cs="Times New Roman"/>
          <w:b/>
          <w:bCs/>
        </w:rPr>
      </w:pPr>
      <w:r w:rsidRPr="00136FBE">
        <w:rPr>
          <w:rFonts w:ascii="仿宋" w:eastAsia="仿宋" w:hAnsi="仿宋" w:cs="Times New Roman"/>
          <w:b/>
          <w:bCs/>
        </w:rPr>
        <w:t>表</w:t>
      </w:r>
      <w:r w:rsidR="0077210C">
        <w:rPr>
          <w:rFonts w:ascii="仿宋" w:eastAsia="仿宋" w:hAnsi="仿宋" w:cs="Times New Roman" w:hint="eastAsia"/>
          <w:b/>
          <w:bCs/>
        </w:rPr>
        <w:t>7</w:t>
      </w:r>
      <w:r w:rsidR="00A8091E" w:rsidRPr="00136FBE">
        <w:rPr>
          <w:rFonts w:ascii="仿宋" w:eastAsia="仿宋" w:hAnsi="仿宋" w:cs="Times New Roman" w:hint="eastAsia"/>
          <w:b/>
          <w:bCs/>
        </w:rPr>
        <w:t xml:space="preserve">　</w:t>
      </w:r>
      <w:r w:rsidRPr="00136FBE">
        <w:rPr>
          <w:rFonts w:ascii="仿宋" w:eastAsia="仿宋" w:hAnsi="仿宋" w:cs="Times New Roman"/>
          <w:b/>
          <w:bCs/>
        </w:rPr>
        <w:t>根据不良反应级别的剂量调整总原则</w:t>
      </w:r>
    </w:p>
    <w:tbl>
      <w:tblPr>
        <w:tblStyle w:val="af8"/>
        <w:tblW w:w="0" w:type="auto"/>
        <w:tblLook w:val="04A0" w:firstRow="1" w:lastRow="0" w:firstColumn="1" w:lastColumn="0" w:noHBand="0" w:noVBand="1"/>
      </w:tblPr>
      <w:tblGrid>
        <w:gridCol w:w="2840"/>
        <w:gridCol w:w="2841"/>
        <w:gridCol w:w="2841"/>
      </w:tblGrid>
      <w:tr w:rsidR="00591B52" w:rsidRPr="00136FBE" w14:paraId="027DBE91" w14:textId="77777777" w:rsidTr="008438A0">
        <w:tc>
          <w:tcPr>
            <w:tcW w:w="2840" w:type="dxa"/>
          </w:tcPr>
          <w:p w14:paraId="2AC1D19E" w14:textId="77777777" w:rsidR="00591B52" w:rsidRPr="00136FBE" w:rsidRDefault="00591B52" w:rsidP="00146E9D">
            <w:pPr>
              <w:spacing w:line="360" w:lineRule="auto"/>
              <w:jc w:val="left"/>
              <w:rPr>
                <w:rFonts w:ascii="仿宋" w:eastAsia="仿宋" w:hAnsi="仿宋" w:cs="Times New Roman"/>
                <w:b/>
              </w:rPr>
            </w:pPr>
            <w:r w:rsidRPr="00136FBE">
              <w:rPr>
                <w:rFonts w:ascii="仿宋" w:eastAsia="仿宋" w:hAnsi="仿宋" w:cs="Times New Roman"/>
                <w:b/>
              </w:rPr>
              <w:t>不良反应级别</w:t>
            </w:r>
          </w:p>
          <w:p w14:paraId="689352E4" w14:textId="77777777" w:rsidR="00591B52" w:rsidRPr="00136FBE" w:rsidRDefault="00591B52" w:rsidP="00146E9D">
            <w:pPr>
              <w:spacing w:line="360" w:lineRule="auto"/>
              <w:jc w:val="left"/>
              <w:rPr>
                <w:rFonts w:ascii="仿宋" w:eastAsia="仿宋" w:hAnsi="仿宋" w:cs="Times New Roman"/>
                <w:b/>
                <w:bCs/>
              </w:rPr>
            </w:pPr>
            <w:r w:rsidRPr="00136FBE">
              <w:rPr>
                <w:rFonts w:ascii="仿宋" w:eastAsia="仿宋" w:hAnsi="仿宋" w:cs="Times New Roman"/>
                <w:b/>
              </w:rPr>
              <w:t>（NCI CTC AE4.0）</w:t>
            </w:r>
          </w:p>
        </w:tc>
        <w:tc>
          <w:tcPr>
            <w:tcW w:w="2841" w:type="dxa"/>
          </w:tcPr>
          <w:p w14:paraId="76DFF361" w14:textId="77777777" w:rsidR="00591B52" w:rsidRPr="00136FBE" w:rsidRDefault="00591B52" w:rsidP="00146E9D">
            <w:pPr>
              <w:spacing w:line="360" w:lineRule="auto"/>
              <w:jc w:val="left"/>
              <w:rPr>
                <w:rFonts w:ascii="仿宋" w:eastAsia="仿宋" w:hAnsi="仿宋" w:cs="Times New Roman"/>
                <w:b/>
                <w:bCs/>
              </w:rPr>
            </w:pPr>
            <w:r w:rsidRPr="00136FBE">
              <w:rPr>
                <w:rFonts w:ascii="仿宋" w:eastAsia="仿宋" w:hAnsi="仿宋" w:cs="Times New Roman"/>
                <w:b/>
              </w:rPr>
              <w:t>给药时间</w:t>
            </w:r>
          </w:p>
        </w:tc>
        <w:tc>
          <w:tcPr>
            <w:tcW w:w="2841" w:type="dxa"/>
          </w:tcPr>
          <w:p w14:paraId="0888C86D" w14:textId="77777777" w:rsidR="00591B52" w:rsidRPr="00136FBE" w:rsidRDefault="00591B52" w:rsidP="00146E9D">
            <w:pPr>
              <w:spacing w:line="360" w:lineRule="auto"/>
              <w:jc w:val="left"/>
              <w:rPr>
                <w:rFonts w:ascii="仿宋" w:eastAsia="仿宋" w:hAnsi="仿宋" w:cs="Times New Roman"/>
                <w:b/>
                <w:bCs/>
              </w:rPr>
            </w:pPr>
            <w:r w:rsidRPr="00136FBE">
              <w:rPr>
                <w:rFonts w:ascii="仿宋" w:eastAsia="仿宋" w:hAnsi="仿宋" w:cs="Times New Roman"/>
                <w:b/>
              </w:rPr>
              <w:t>剂量调整原则</w:t>
            </w:r>
          </w:p>
        </w:tc>
      </w:tr>
      <w:tr w:rsidR="00591B52" w:rsidRPr="00136FBE" w14:paraId="5B9A6AED" w14:textId="77777777" w:rsidTr="008438A0">
        <w:tc>
          <w:tcPr>
            <w:tcW w:w="2840" w:type="dxa"/>
          </w:tcPr>
          <w:p w14:paraId="2D04604C"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hint="eastAsia"/>
              </w:rPr>
              <w:t>3级</w:t>
            </w:r>
          </w:p>
        </w:tc>
        <w:tc>
          <w:tcPr>
            <w:tcW w:w="2841" w:type="dxa"/>
            <w:vAlign w:val="center"/>
          </w:tcPr>
          <w:p w14:paraId="1BEF101E"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hint="eastAsia"/>
              </w:rPr>
              <w:t>暂停用药，待不良反应恢复到＜2 级</w:t>
            </w:r>
          </w:p>
        </w:tc>
        <w:tc>
          <w:tcPr>
            <w:tcW w:w="2841" w:type="dxa"/>
          </w:tcPr>
          <w:p w14:paraId="3D4A0479" w14:textId="77777777" w:rsidR="00591B52" w:rsidRPr="00136FBE" w:rsidRDefault="00591B52" w:rsidP="00146E9D">
            <w:pPr>
              <w:spacing w:line="360" w:lineRule="auto"/>
              <w:jc w:val="left"/>
              <w:rPr>
                <w:rFonts w:ascii="仿宋" w:eastAsia="仿宋" w:hAnsi="仿宋" w:cs="Times New Roman"/>
                <w:bCs/>
              </w:rPr>
            </w:pPr>
            <w:r w:rsidRPr="00136FBE">
              <w:rPr>
                <w:rFonts w:ascii="仿宋" w:eastAsia="仿宋" w:hAnsi="仿宋" w:cs="Times New Roman" w:hint="eastAsia"/>
              </w:rPr>
              <w:t>下调一个剂量后继续给药；如2周后仍未恢复，则考虑永久停药</w:t>
            </w:r>
          </w:p>
        </w:tc>
      </w:tr>
      <w:tr w:rsidR="00591B52" w:rsidRPr="00136FBE" w14:paraId="5D0DF942" w14:textId="77777777" w:rsidTr="008438A0">
        <w:tc>
          <w:tcPr>
            <w:tcW w:w="2840" w:type="dxa"/>
          </w:tcPr>
          <w:p w14:paraId="4E04DF30"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hint="eastAsia"/>
              </w:rPr>
              <w:t>4级</w:t>
            </w:r>
          </w:p>
        </w:tc>
        <w:tc>
          <w:tcPr>
            <w:tcW w:w="2841" w:type="dxa"/>
          </w:tcPr>
          <w:p w14:paraId="2BF30D27" w14:textId="77777777" w:rsidR="00591B52" w:rsidRPr="00136FBE" w:rsidRDefault="00591B52" w:rsidP="00146E9D">
            <w:pPr>
              <w:spacing w:line="360" w:lineRule="auto"/>
              <w:jc w:val="left"/>
              <w:rPr>
                <w:rFonts w:ascii="仿宋" w:eastAsia="仿宋" w:hAnsi="仿宋" w:cs="Times New Roman"/>
                <w:bCs/>
              </w:rPr>
            </w:pPr>
            <w:r w:rsidRPr="00136FBE">
              <w:rPr>
                <w:rFonts w:ascii="仿宋" w:eastAsia="仿宋" w:hAnsi="仿宋" w:cs="Times New Roman" w:hint="eastAsia"/>
              </w:rPr>
              <w:t>暂停用药，待不良反应恢复到＜2 级</w:t>
            </w:r>
          </w:p>
        </w:tc>
        <w:tc>
          <w:tcPr>
            <w:tcW w:w="2841" w:type="dxa"/>
          </w:tcPr>
          <w:p w14:paraId="264C6D68" w14:textId="77777777" w:rsidR="00591B52" w:rsidRPr="00136FBE" w:rsidRDefault="00591B52" w:rsidP="00146E9D">
            <w:pPr>
              <w:spacing w:line="360" w:lineRule="auto"/>
              <w:jc w:val="left"/>
              <w:rPr>
                <w:rFonts w:ascii="仿宋" w:eastAsia="仿宋" w:hAnsi="仿宋" w:cs="Times New Roman"/>
                <w:bCs/>
              </w:rPr>
            </w:pPr>
            <w:r w:rsidRPr="00136FBE">
              <w:rPr>
                <w:rFonts w:ascii="仿宋" w:eastAsia="仿宋" w:hAnsi="仿宋" w:cs="Times New Roman" w:hint="eastAsia"/>
              </w:rPr>
              <w:t>下调一个剂量后继续给药；如2周后仍未恢复，则考虑永久停药；或根据医师判断考虑永久停药</w:t>
            </w:r>
          </w:p>
        </w:tc>
      </w:tr>
    </w:tbl>
    <w:p w14:paraId="7C2047F1" w14:textId="77777777" w:rsidR="00591B52" w:rsidRPr="00136FBE" w:rsidRDefault="00591B52" w:rsidP="00146E9D">
      <w:pPr>
        <w:spacing w:line="360" w:lineRule="auto"/>
        <w:ind w:left="1458" w:hangingChars="810" w:hanging="1458"/>
        <w:rPr>
          <w:rFonts w:ascii="仿宋" w:eastAsia="仿宋" w:hAnsi="仿宋" w:cs="Times New Roman"/>
          <w:sz w:val="18"/>
          <w:szCs w:val="18"/>
        </w:rPr>
      </w:pPr>
      <w:r w:rsidRPr="00136FBE">
        <w:rPr>
          <w:rFonts w:ascii="仿宋" w:eastAsia="仿宋" w:hAnsi="仿宋" w:cs="Times New Roman"/>
          <w:sz w:val="18"/>
          <w:szCs w:val="18"/>
        </w:rPr>
        <w:t>NCI CTC AE4.0：美国国家癌症研究所常见药物毒性反应分级标准4.0版。</w:t>
      </w:r>
    </w:p>
    <w:p w14:paraId="7D74E920"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3</w:t>
      </w:r>
      <w:r w:rsidRPr="00136FBE">
        <w:rPr>
          <w:rFonts w:ascii="仿宋" w:eastAsia="仿宋" w:hAnsi="仿宋" w:cs="仿宋"/>
          <w:sz w:val="32"/>
          <w:szCs w:val="32"/>
        </w:rPr>
        <w:t>.</w:t>
      </w:r>
      <w:r w:rsidRPr="00136FBE">
        <w:rPr>
          <w:rFonts w:ascii="仿宋" w:eastAsia="仿宋" w:hAnsi="仿宋" w:cs="仿宋" w:hint="eastAsia"/>
          <w:sz w:val="32"/>
          <w:szCs w:val="32"/>
        </w:rPr>
        <w:t>出血是安罗替尼最重要的不良反应，具有出血风险、凝血功能异常患者应慎用安罗替尼，服药期间应严密监测凝血酶原时间和INR。一旦出现2级出血事件应暂停用药，如2周內能恢复至＜2级者下调一个剂量继续用药；如再次出现，应考虑永久停药。一旦出现3级或以上的出血事件，永</w:t>
      </w:r>
      <w:r w:rsidRPr="00136FBE">
        <w:rPr>
          <w:rFonts w:ascii="仿宋" w:eastAsia="仿宋" w:hAnsi="仿宋" w:cs="仿宋" w:hint="eastAsia"/>
          <w:sz w:val="32"/>
          <w:szCs w:val="32"/>
        </w:rPr>
        <w:lastRenderedPageBreak/>
        <w:t>久停药。当发生出血的不良反应时参照表</w:t>
      </w:r>
      <w:r w:rsidR="00B6474D">
        <w:rPr>
          <w:rFonts w:ascii="仿宋" w:eastAsia="仿宋" w:hAnsi="仿宋" w:cs="仿宋" w:hint="eastAsia"/>
          <w:sz w:val="32"/>
          <w:szCs w:val="32"/>
        </w:rPr>
        <w:t>8</w:t>
      </w:r>
      <w:r w:rsidRPr="00136FBE">
        <w:rPr>
          <w:rFonts w:ascii="仿宋" w:eastAsia="仿宋" w:hAnsi="仿宋" w:cs="仿宋" w:hint="eastAsia"/>
          <w:sz w:val="32"/>
          <w:szCs w:val="32"/>
        </w:rPr>
        <w:t>进行剂量调整。</w:t>
      </w:r>
    </w:p>
    <w:p w14:paraId="09206524" w14:textId="77777777" w:rsidR="00591B52" w:rsidRPr="00136FBE" w:rsidRDefault="00591B52" w:rsidP="00146E9D">
      <w:pPr>
        <w:spacing w:line="360" w:lineRule="auto"/>
        <w:ind w:firstLineChars="200" w:firstLine="422"/>
        <w:jc w:val="center"/>
        <w:rPr>
          <w:rFonts w:ascii="仿宋" w:eastAsia="仿宋" w:hAnsi="仿宋" w:cs="Times New Roman"/>
          <w:b/>
        </w:rPr>
      </w:pPr>
      <w:r w:rsidRPr="00136FBE">
        <w:rPr>
          <w:rFonts w:ascii="仿宋" w:eastAsia="仿宋" w:hAnsi="仿宋" w:cs="Times New Roman"/>
          <w:b/>
          <w:bCs/>
        </w:rPr>
        <w:t>表</w:t>
      </w:r>
      <w:r w:rsidR="0077210C">
        <w:rPr>
          <w:rFonts w:ascii="仿宋" w:eastAsia="仿宋" w:hAnsi="仿宋" w:cs="Times New Roman" w:hint="eastAsia"/>
          <w:b/>
          <w:bCs/>
        </w:rPr>
        <w:t>8</w:t>
      </w:r>
      <w:r w:rsidR="00A8091E" w:rsidRPr="00136FBE">
        <w:rPr>
          <w:rFonts w:ascii="仿宋" w:eastAsia="仿宋" w:hAnsi="仿宋" w:cs="Times New Roman" w:hint="eastAsia"/>
          <w:b/>
          <w:bCs/>
        </w:rPr>
        <w:t xml:space="preserve">　</w:t>
      </w:r>
      <w:r w:rsidRPr="00136FBE">
        <w:rPr>
          <w:rFonts w:ascii="仿宋" w:eastAsia="仿宋" w:hAnsi="仿宋" w:cs="Times New Roman"/>
          <w:b/>
          <w:bCs/>
        </w:rPr>
        <w:t>发生</w:t>
      </w:r>
      <w:r w:rsidRPr="00136FBE">
        <w:rPr>
          <w:rFonts w:ascii="仿宋" w:eastAsia="仿宋" w:hAnsi="仿宋" w:cs="Times New Roman"/>
          <w:b/>
        </w:rPr>
        <w:t>出血</w:t>
      </w:r>
      <w:r w:rsidRPr="00136FBE">
        <w:rPr>
          <w:rFonts w:ascii="仿宋" w:eastAsia="仿宋" w:hAnsi="仿宋" w:cs="Times New Roman" w:hint="eastAsia"/>
          <w:b/>
        </w:rPr>
        <w:t>不良反应时</w:t>
      </w:r>
      <w:r w:rsidRPr="00136FBE">
        <w:rPr>
          <w:rFonts w:ascii="仿宋" w:eastAsia="仿宋" w:hAnsi="仿宋" w:cs="Times New Roman"/>
          <w:b/>
        </w:rPr>
        <w:t>的剂量调整原则</w:t>
      </w:r>
    </w:p>
    <w:tbl>
      <w:tblPr>
        <w:tblStyle w:val="af8"/>
        <w:tblW w:w="0" w:type="auto"/>
        <w:tblLook w:val="04A0" w:firstRow="1" w:lastRow="0" w:firstColumn="1" w:lastColumn="0" w:noHBand="0" w:noVBand="1"/>
      </w:tblPr>
      <w:tblGrid>
        <w:gridCol w:w="2518"/>
        <w:gridCol w:w="6004"/>
      </w:tblGrid>
      <w:tr w:rsidR="00591B52" w:rsidRPr="00136FBE" w14:paraId="36769A00" w14:textId="77777777" w:rsidTr="00146E9D">
        <w:tc>
          <w:tcPr>
            <w:tcW w:w="2518" w:type="dxa"/>
          </w:tcPr>
          <w:p w14:paraId="3AD4DAF0" w14:textId="77777777" w:rsidR="00591B52" w:rsidRPr="00136FBE" w:rsidRDefault="00591B52" w:rsidP="00146E9D">
            <w:pPr>
              <w:spacing w:line="360" w:lineRule="auto"/>
              <w:jc w:val="left"/>
              <w:rPr>
                <w:rFonts w:ascii="仿宋" w:eastAsia="仿宋" w:hAnsi="仿宋" w:cs="Times New Roman"/>
                <w:b/>
                <w:vertAlign w:val="superscript"/>
              </w:rPr>
            </w:pPr>
            <w:r w:rsidRPr="00136FBE">
              <w:rPr>
                <w:rFonts w:ascii="仿宋" w:eastAsia="仿宋" w:hAnsi="仿宋" w:cs="Times New Roman"/>
                <w:b/>
              </w:rPr>
              <w:t>出血事件</w:t>
            </w:r>
            <w:r w:rsidRPr="00136FBE">
              <w:rPr>
                <w:rFonts w:ascii="仿宋" w:eastAsia="仿宋" w:hAnsi="仿宋" w:cs="Times New Roman"/>
                <w:b/>
                <w:vertAlign w:val="superscript"/>
              </w:rPr>
              <w:t>*</w:t>
            </w:r>
          </w:p>
        </w:tc>
        <w:tc>
          <w:tcPr>
            <w:tcW w:w="6004" w:type="dxa"/>
          </w:tcPr>
          <w:p w14:paraId="12E00042" w14:textId="77777777" w:rsidR="00591B52" w:rsidRPr="00136FBE" w:rsidRDefault="00591B52" w:rsidP="00146E9D">
            <w:pPr>
              <w:spacing w:line="360" w:lineRule="auto"/>
              <w:jc w:val="left"/>
              <w:rPr>
                <w:rFonts w:ascii="仿宋" w:eastAsia="仿宋" w:hAnsi="仿宋" w:cs="Times New Roman"/>
                <w:b/>
              </w:rPr>
            </w:pPr>
            <w:r w:rsidRPr="00136FBE">
              <w:rPr>
                <w:rFonts w:ascii="仿宋" w:eastAsia="仿宋" w:hAnsi="仿宋" w:cs="Times New Roman"/>
                <w:b/>
              </w:rPr>
              <w:t>剂量调整原则</w:t>
            </w:r>
          </w:p>
        </w:tc>
      </w:tr>
      <w:tr w:rsidR="00591B52" w:rsidRPr="00136FBE" w14:paraId="418F77D6" w14:textId="77777777" w:rsidTr="00146E9D">
        <w:tc>
          <w:tcPr>
            <w:tcW w:w="2518" w:type="dxa"/>
          </w:tcPr>
          <w:p w14:paraId="7EFECA69"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rPr>
              <w:t>2级</w:t>
            </w:r>
          </w:p>
        </w:tc>
        <w:tc>
          <w:tcPr>
            <w:tcW w:w="6004" w:type="dxa"/>
          </w:tcPr>
          <w:p w14:paraId="0FA82B3D"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hint="eastAsia"/>
              </w:rPr>
              <w:t>暂停用药，并采取积极对症治疗处理；2周内能恢复至＜ 2 级时，下调一个剂量继续用药</w:t>
            </w:r>
          </w:p>
        </w:tc>
      </w:tr>
      <w:tr w:rsidR="00591B52" w:rsidRPr="00136FBE" w14:paraId="53C7E807" w14:textId="77777777" w:rsidTr="00146E9D">
        <w:tc>
          <w:tcPr>
            <w:tcW w:w="2518" w:type="dxa"/>
          </w:tcPr>
          <w:p w14:paraId="37F51AD1"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hint="eastAsia"/>
              </w:rPr>
              <w:t>≥3级</w:t>
            </w:r>
          </w:p>
        </w:tc>
        <w:tc>
          <w:tcPr>
            <w:tcW w:w="6004" w:type="dxa"/>
          </w:tcPr>
          <w:p w14:paraId="5112A81B" w14:textId="77777777" w:rsidR="00591B52" w:rsidRPr="00136FBE" w:rsidRDefault="00591B52" w:rsidP="00146E9D">
            <w:pPr>
              <w:spacing w:line="360" w:lineRule="auto"/>
              <w:jc w:val="left"/>
              <w:rPr>
                <w:rFonts w:ascii="仿宋" w:eastAsia="仿宋" w:hAnsi="仿宋" w:cs="Times New Roman"/>
              </w:rPr>
            </w:pPr>
            <w:r w:rsidRPr="00136FBE">
              <w:rPr>
                <w:rFonts w:ascii="仿宋" w:eastAsia="仿宋" w:hAnsi="仿宋" w:cs="Times New Roman" w:hint="eastAsia"/>
              </w:rPr>
              <w:t>永久停药，并采取紧急医学干预处理</w:t>
            </w:r>
          </w:p>
        </w:tc>
      </w:tr>
    </w:tbl>
    <w:p w14:paraId="371D34AD" w14:textId="77777777" w:rsidR="00591B52" w:rsidRPr="00136FBE" w:rsidRDefault="00591B52" w:rsidP="00146E9D">
      <w:pPr>
        <w:spacing w:line="360" w:lineRule="auto"/>
        <w:ind w:firstLineChars="202" w:firstLine="364"/>
        <w:rPr>
          <w:rFonts w:ascii="Times New Roman" w:hAnsi="Times New Roman" w:cs="Times New Roman"/>
          <w:b/>
          <w:sz w:val="18"/>
          <w:szCs w:val="18"/>
        </w:rPr>
      </w:pPr>
      <w:r w:rsidRPr="00136FBE">
        <w:rPr>
          <w:rFonts w:ascii="仿宋" w:eastAsia="仿宋" w:hAnsi="仿宋" w:cs="Times New Roman"/>
          <w:sz w:val="18"/>
          <w:szCs w:val="18"/>
          <w:vertAlign w:val="superscript"/>
        </w:rPr>
        <w:t>*</w:t>
      </w:r>
      <w:r w:rsidRPr="00136FBE">
        <w:rPr>
          <w:rFonts w:ascii="仿宋" w:eastAsia="仿宋" w:hAnsi="仿宋" w:cs="Times New Roman"/>
          <w:sz w:val="18"/>
          <w:szCs w:val="18"/>
        </w:rPr>
        <w:t>出血</w:t>
      </w:r>
      <w:r w:rsidRPr="00136FBE">
        <w:rPr>
          <w:rFonts w:ascii="仿宋" w:eastAsia="仿宋" w:hAnsi="仿宋" w:cs="Times New Roman" w:hint="eastAsia"/>
          <w:sz w:val="18"/>
          <w:szCs w:val="18"/>
        </w:rPr>
        <w:t>不良反应</w:t>
      </w:r>
      <w:r w:rsidRPr="00136FBE">
        <w:rPr>
          <w:rFonts w:ascii="仿宋" w:eastAsia="仿宋" w:hAnsi="仿宋" w:cs="Times New Roman"/>
          <w:sz w:val="18"/>
          <w:szCs w:val="18"/>
        </w:rPr>
        <w:t>包括：咯血、消化道出血、鼻出血、支气管出血、牙龈出血、肉眼血尿、便潜血和脑出血等。</w:t>
      </w:r>
    </w:p>
    <w:p w14:paraId="767AAC68"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用药前4周内出现≥CTCAE 3级的任何出血事件、存在未愈合创口、溃疡或骨折和6个月内发生过动/静脉血栓事件如脑血管意外（包括暂时性缺血性发作）、深静脉血栓及肺栓塞的患者，应在医师指导下用药，对合用华法林的患者应每1～2周监测凝血酶原时间和INR值，并注意临床出血迹象。</w:t>
      </w:r>
    </w:p>
    <w:p w14:paraId="5B3510A2"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4</w:t>
      </w:r>
      <w:r w:rsidRPr="00136FBE">
        <w:rPr>
          <w:rFonts w:ascii="仿宋" w:eastAsia="仿宋" w:hAnsi="仿宋" w:cs="仿宋"/>
          <w:sz w:val="32"/>
          <w:szCs w:val="32"/>
        </w:rPr>
        <w:t>.</w:t>
      </w:r>
      <w:r w:rsidRPr="00136FBE">
        <w:rPr>
          <w:rFonts w:ascii="仿宋" w:eastAsia="仿宋" w:hAnsi="仿宋" w:cs="仿宋" w:hint="eastAsia"/>
          <w:sz w:val="32"/>
          <w:szCs w:val="32"/>
        </w:rPr>
        <w:t>高血压是安罗替尼最常见的不良反应，用药期间应密切监测血压，高血压多在开始服药后2周内出现，利尿剂、β受体阻滞剂和钙通道拮抗剂等常规降血压药物一般可以控制。开始用药的前6周应每天监测血压，后续用药期间每周监测血压2～3次，发现血压升高或头痛头晕症状应积极与医师沟通并在医师指导下接受降压药物治疗，暂停安罗替尼治疗或剂量调整。当发生3～4</w:t>
      </w:r>
      <w:r w:rsidR="00AD5DAE">
        <w:rPr>
          <w:rFonts w:ascii="仿宋" w:eastAsia="仿宋" w:hAnsi="仿宋" w:cs="仿宋" w:hint="eastAsia"/>
          <w:sz w:val="32"/>
          <w:szCs w:val="32"/>
        </w:rPr>
        <w:t>级</w:t>
      </w:r>
      <w:r w:rsidRPr="00136FBE">
        <w:rPr>
          <w:rFonts w:ascii="仿宋" w:eastAsia="仿宋" w:hAnsi="仿宋" w:cs="仿宋" w:hint="eastAsia"/>
          <w:sz w:val="32"/>
          <w:szCs w:val="32"/>
        </w:rPr>
        <w:t>高血压（收缩压≥180mmHg或舒张压≥110mmHg），应暂停用药；如恢复用药后再次出现3～4级高血压，应下调一个剂量后继续用药。如3～4级高血压持续，建议停药。出现高血压危象的患者，应立即停药</w:t>
      </w:r>
      <w:r w:rsidRPr="00136FBE">
        <w:rPr>
          <w:rFonts w:ascii="仿宋" w:eastAsia="仿宋" w:hAnsi="仿宋" w:cs="仿宋" w:hint="eastAsia"/>
          <w:sz w:val="32"/>
          <w:szCs w:val="32"/>
        </w:rPr>
        <w:lastRenderedPageBreak/>
        <w:t>并接受心血管专科冶疗。</w:t>
      </w:r>
    </w:p>
    <w:p w14:paraId="1DCC04A0"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5.安罗替尼可延长QT/QTc间期，QTc间期延长可导致室性快速性心律失常（如尖端扭转型室性心动过速），死亡风险增加。患有先天性长QT间期综合征的患者应避免用药，患有充血性心力衰竭、血电解质异常或使用已知能够延长QTc</w:t>
      </w:r>
      <w:r w:rsidR="00671887" w:rsidRPr="00136FBE">
        <w:rPr>
          <w:rFonts w:ascii="仿宋" w:eastAsia="仿宋" w:hAnsi="仿宋" w:cs="仿宋" w:hint="eastAsia"/>
          <w:sz w:val="32"/>
          <w:szCs w:val="32"/>
        </w:rPr>
        <w:t>间</w:t>
      </w:r>
      <w:r w:rsidRPr="00136FBE">
        <w:rPr>
          <w:rFonts w:ascii="仿宋" w:eastAsia="仿宋" w:hAnsi="仿宋" w:cs="仿宋" w:hint="eastAsia"/>
          <w:sz w:val="32"/>
          <w:szCs w:val="32"/>
        </w:rPr>
        <w:t>期药物的患者应定期（每3～6周）接受心电图和血电解质的</w:t>
      </w:r>
      <w:r w:rsidR="00671887" w:rsidRPr="00136FBE">
        <w:rPr>
          <w:rFonts w:ascii="仿宋" w:eastAsia="仿宋" w:hAnsi="仿宋" w:cs="仿宋" w:hint="eastAsia"/>
          <w:sz w:val="32"/>
          <w:szCs w:val="32"/>
        </w:rPr>
        <w:t>检</w:t>
      </w:r>
      <w:r w:rsidRPr="00136FBE">
        <w:rPr>
          <w:rFonts w:ascii="仿宋" w:eastAsia="仿宋" w:hAnsi="仿宋" w:cs="仿宋" w:hint="eastAsia"/>
          <w:sz w:val="32"/>
          <w:szCs w:val="32"/>
        </w:rPr>
        <w:t>测。连续两次独立心电图检测QTc间期＞500ms的患者应暂停用药，直至QTc间期≤480ms或降至基线水平（当基线QTc间期＞480ms），应下调一个剂量用药。对于出现任何级别的QTc间期延长（≥450ms）并伴有</w:t>
      </w:r>
      <w:r w:rsidR="00671887" w:rsidRPr="00136FBE">
        <w:rPr>
          <w:rFonts w:ascii="仿宋" w:eastAsia="仿宋" w:hAnsi="仿宋" w:cs="仿宋" w:hint="eastAsia"/>
          <w:sz w:val="32"/>
          <w:szCs w:val="32"/>
        </w:rPr>
        <w:t>尖端扭转型室性</w:t>
      </w:r>
      <w:r w:rsidRPr="00136FBE">
        <w:rPr>
          <w:rFonts w:ascii="仿宋" w:eastAsia="仿宋" w:hAnsi="仿宋" w:cs="仿宋" w:hint="eastAsia"/>
          <w:sz w:val="32"/>
          <w:szCs w:val="32"/>
        </w:rPr>
        <w:t>心动过速、多形性室性心动过速、严重心律失常的患者应永久停药，并及时去心血管专科就诊。</w:t>
      </w:r>
    </w:p>
    <w:p w14:paraId="36DA2593"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6.基础心功能异常的患者，应每6周做心脏功能检查，如出现Ⅲ/Ⅳ级心功能不全或心脏彩超显示左室射血分数＜50％的患者应停药。</w:t>
      </w:r>
    </w:p>
    <w:p w14:paraId="69E03BC3"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7.肿瘤患者肺及胸膜下病灶退缩存在自发性气胸风险，安罗替尼治疗期间或治疗后突发胸痛或呼吸困难等症状应立即就医，确认气胸后应行胸腔闭式引流术或其他医学干预。</w:t>
      </w:r>
    </w:p>
    <w:p w14:paraId="5A618CFE"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8.安罗替尼可引起转氨酶或总胆红素升高。轻中度肝功能损伤患者慎用，重度肝功能损伤患者禁用。服用安罗替尼期间应监测转氨酶和胆红素，建议在治疗开始前、每个治疗周期以及临床需要时</w:t>
      </w:r>
      <w:r w:rsidR="00671887" w:rsidRPr="00136FBE">
        <w:rPr>
          <w:rFonts w:ascii="仿宋" w:eastAsia="仿宋" w:hAnsi="仿宋" w:hint="eastAsia"/>
          <w:sz w:val="32"/>
          <w:szCs w:val="32"/>
        </w:rPr>
        <w:t>检</w:t>
      </w:r>
      <w:r w:rsidRPr="00136FBE">
        <w:rPr>
          <w:rFonts w:ascii="仿宋" w:eastAsia="仿宋" w:hAnsi="仿宋" w:hint="eastAsia"/>
          <w:sz w:val="32"/>
          <w:szCs w:val="32"/>
        </w:rPr>
        <w:t>测肝功能（ALT、AST、胆红素）。当</w:t>
      </w:r>
      <w:r w:rsidRPr="00136FBE">
        <w:rPr>
          <w:rFonts w:ascii="仿宋" w:eastAsia="仿宋" w:hAnsi="仿宋" w:hint="eastAsia"/>
          <w:sz w:val="32"/>
          <w:szCs w:val="32"/>
        </w:rPr>
        <w:lastRenderedPageBreak/>
        <w:t>患者发生2级肝功能异常时，应增加检测频率，当患者发生3～4级转氨酶或总胆红素升高时，应暂停用药，同时每周</w:t>
      </w:r>
      <w:r w:rsidR="00671887" w:rsidRPr="00136FBE">
        <w:rPr>
          <w:rFonts w:ascii="仿宋" w:eastAsia="仿宋" w:hAnsi="仿宋" w:hint="eastAsia"/>
          <w:sz w:val="32"/>
          <w:szCs w:val="32"/>
        </w:rPr>
        <w:t>检</w:t>
      </w:r>
      <w:r w:rsidRPr="00136FBE">
        <w:rPr>
          <w:rFonts w:ascii="仿宋" w:eastAsia="仿宋" w:hAnsi="仿宋" w:hint="eastAsia"/>
          <w:sz w:val="32"/>
          <w:szCs w:val="32"/>
        </w:rPr>
        <w:t>测转氨酶及总胆红素2～3次，2周内恢复至＜2级后可下调一个剂量继续用药；如下调剂量后仍出现3～4级转氨酶或胆红素持续升高，建议停药。</w:t>
      </w:r>
    </w:p>
    <w:p w14:paraId="6B6ACE5A"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9.基础</w:t>
      </w:r>
      <w:r w:rsidR="00D20715" w:rsidRPr="00136FBE">
        <w:rPr>
          <w:rFonts w:ascii="仿宋" w:eastAsia="仿宋" w:hAnsi="仿宋" w:hint="eastAsia"/>
          <w:sz w:val="32"/>
          <w:szCs w:val="32"/>
        </w:rPr>
        <w:t>肾功能损伤</w:t>
      </w:r>
      <w:r w:rsidRPr="00136FBE">
        <w:rPr>
          <w:rFonts w:ascii="仿宋" w:eastAsia="仿宋" w:hAnsi="仿宋" w:hint="eastAsia"/>
          <w:sz w:val="32"/>
          <w:szCs w:val="32"/>
        </w:rPr>
        <w:t>患者慎用安罗替尼，建议每6周检查尿常规，对连续2次尿蛋白（++）以上者进行24小时尿蛋白定量检测，根据不良反应级别采取暂停用药、剂量调整和永久停药等处理措施。</w:t>
      </w:r>
    </w:p>
    <w:p w14:paraId="7B7B49FA" w14:textId="77777777" w:rsidR="00591B52" w:rsidRPr="00136FBE" w:rsidRDefault="00591B52" w:rsidP="00591B52">
      <w:pPr>
        <w:spacing w:line="360" w:lineRule="auto"/>
        <w:ind w:firstLineChars="200" w:firstLine="640"/>
        <w:rPr>
          <w:rFonts w:ascii="仿宋" w:eastAsia="仿宋" w:hAnsi="仿宋" w:cs="仿宋"/>
          <w:bCs/>
          <w:sz w:val="32"/>
          <w:szCs w:val="32"/>
        </w:rPr>
      </w:pPr>
      <w:r w:rsidRPr="00136FBE">
        <w:rPr>
          <w:rFonts w:ascii="仿宋" w:eastAsia="仿宋" w:hAnsi="仿宋" w:cs="仿宋" w:hint="eastAsia"/>
          <w:bCs/>
          <w:sz w:val="32"/>
          <w:szCs w:val="32"/>
        </w:rPr>
        <w:t>10.在安罗替尼治疗开始前，建议检测基线甲状腺功能，在治疗期间，对所有患者应密切观察甲状腺功能减退的体征和症状，定期进行甲状腺功能的实验室监测，对于甲状腺功能减退的患者</w:t>
      </w:r>
      <w:r w:rsidR="00671887" w:rsidRPr="00136FBE">
        <w:rPr>
          <w:rFonts w:ascii="仿宋" w:eastAsia="仿宋" w:hAnsi="仿宋" w:cs="仿宋" w:hint="eastAsia"/>
          <w:bCs/>
          <w:sz w:val="32"/>
          <w:szCs w:val="32"/>
        </w:rPr>
        <w:t>规范</w:t>
      </w:r>
      <w:r w:rsidRPr="00136FBE">
        <w:rPr>
          <w:rFonts w:ascii="仿宋" w:eastAsia="仿宋" w:hAnsi="仿宋" w:cs="仿宋" w:hint="eastAsia"/>
          <w:bCs/>
          <w:sz w:val="32"/>
          <w:szCs w:val="32"/>
        </w:rPr>
        <w:t>治疗。</w:t>
      </w:r>
    </w:p>
    <w:p w14:paraId="43D2029E"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11.安罗替尼可导致腹泻，注意评估是否有脱水或电解质失衡，必要时考虑静脉补液，使用洛哌丁胺、益生菌和蒙脱石散治疗。严重时也可考虑预防性抗生素治疗并加用生长抑素。对发生严重或持续性腹泻甚至脱水的患者，需要鉴别其他腹泻原因（肠道菌群紊乱、免疫功能低下、类癌综合征等），可</w:t>
      </w:r>
      <w:r w:rsidR="00671887" w:rsidRPr="00136FBE">
        <w:rPr>
          <w:rFonts w:ascii="仿宋" w:eastAsia="仿宋" w:hAnsi="仿宋" w:hint="eastAsia"/>
          <w:sz w:val="32"/>
          <w:szCs w:val="32"/>
        </w:rPr>
        <w:t>采取</w:t>
      </w:r>
      <w:r w:rsidRPr="00136FBE">
        <w:rPr>
          <w:rFonts w:ascii="仿宋" w:eastAsia="仿宋" w:hAnsi="仿宋" w:hint="eastAsia"/>
          <w:sz w:val="32"/>
          <w:szCs w:val="32"/>
        </w:rPr>
        <w:t>暂停用药、下调一个剂量直至永久停药措施，</w:t>
      </w:r>
      <w:r w:rsidR="00671887" w:rsidRPr="00136FBE">
        <w:rPr>
          <w:rFonts w:ascii="仿宋" w:eastAsia="仿宋" w:hAnsi="仿宋" w:hint="eastAsia"/>
          <w:sz w:val="32"/>
          <w:szCs w:val="32"/>
        </w:rPr>
        <w:t>并</w:t>
      </w:r>
      <w:r w:rsidRPr="00136FBE">
        <w:rPr>
          <w:rFonts w:ascii="仿宋" w:eastAsia="仿宋" w:hAnsi="仿宋" w:hint="eastAsia"/>
          <w:sz w:val="32"/>
          <w:szCs w:val="32"/>
        </w:rPr>
        <w:t>根据腹泻原因积极治疗。</w:t>
      </w:r>
    </w:p>
    <w:p w14:paraId="6ABB388B"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12.安罗替尼治疗可以出现口腔疼痛、口腔黏膜炎和牙疼。牙龈</w:t>
      </w:r>
      <w:r w:rsidR="00671887" w:rsidRPr="00136FBE">
        <w:rPr>
          <w:rFonts w:ascii="仿宋" w:eastAsia="仿宋" w:hAnsi="仿宋" w:hint="eastAsia"/>
          <w:sz w:val="32"/>
          <w:szCs w:val="32"/>
        </w:rPr>
        <w:t>、</w:t>
      </w:r>
      <w:r w:rsidRPr="00136FBE">
        <w:rPr>
          <w:rFonts w:ascii="仿宋" w:eastAsia="仿宋" w:hAnsi="仿宋" w:hint="eastAsia"/>
          <w:sz w:val="32"/>
          <w:szCs w:val="32"/>
        </w:rPr>
        <w:t>口腔肿痛患者应保持口腔清洁、止痛，防治多重</w:t>
      </w:r>
      <w:r w:rsidRPr="00136FBE">
        <w:rPr>
          <w:rFonts w:ascii="仿宋" w:eastAsia="仿宋" w:hAnsi="仿宋" w:hint="eastAsia"/>
          <w:sz w:val="32"/>
          <w:szCs w:val="32"/>
        </w:rPr>
        <w:lastRenderedPageBreak/>
        <w:t>感染，防止口腔黏膜炎进一步加重。推荐使用含利多卡因、碳酸氢钠或氯己定等成分的含漱剂或涂剂对症处理，促进口腔黏膜愈合。注意均衡营养和水的摄取，膳食</w:t>
      </w:r>
      <w:r w:rsidR="00671887" w:rsidRPr="00136FBE">
        <w:rPr>
          <w:rFonts w:ascii="仿宋" w:eastAsia="仿宋" w:hAnsi="仿宋" w:hint="eastAsia"/>
          <w:sz w:val="32"/>
          <w:szCs w:val="32"/>
        </w:rPr>
        <w:t>个体化，避免热、辛辣食物，忌烟酒，禁用含酒精的含漱剂，</w:t>
      </w:r>
      <w:r w:rsidRPr="00136FBE">
        <w:rPr>
          <w:rFonts w:ascii="仿宋" w:eastAsia="仿宋" w:hAnsi="仿宋" w:hint="eastAsia"/>
          <w:sz w:val="32"/>
          <w:szCs w:val="32"/>
        </w:rPr>
        <w:t>必要时可到口腔专科就诊。发生牙龈</w:t>
      </w:r>
      <w:r w:rsidR="00671887" w:rsidRPr="00136FBE">
        <w:rPr>
          <w:rFonts w:ascii="仿宋" w:eastAsia="仿宋" w:hAnsi="仿宋" w:hint="eastAsia"/>
          <w:sz w:val="32"/>
          <w:szCs w:val="32"/>
        </w:rPr>
        <w:t>、</w:t>
      </w:r>
      <w:r w:rsidRPr="00136FBE">
        <w:rPr>
          <w:rFonts w:ascii="仿宋" w:eastAsia="仿宋" w:hAnsi="仿宋" w:hint="eastAsia"/>
          <w:sz w:val="32"/>
          <w:szCs w:val="32"/>
        </w:rPr>
        <w:t>口腔肿痛时，可采取暂停用药、下调一个剂量直至永久停药措施。</w:t>
      </w:r>
    </w:p>
    <w:p w14:paraId="2B7521D6"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13.手足综合征多在安罗替尼给药2周内出现，表现为手足掌底部位皮肤肿胀、剥落、水泡、皲裂、出血或红斑的复合表现，常伴有疼痛。2级手足综合征患者应采取对症治疗处理，包括加强皮肤护理，保持皮肤清洁，避免继发感染，避免压力和摩擦；局部使用含尿素和糖皮质激素成分的乳液或润滑剂；发生感染时局部使用抗真菌药或抗生素治疗，建议在皮肤专科医师指导下使用。如出现≥3级的手足综合征，应下调一个剂量后继续用药。如不良反应仍持续，应停药。</w:t>
      </w:r>
    </w:p>
    <w:p w14:paraId="479FD374"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14.出现高脂血症的患者建议调整为低脂饮食。≥2级的高胆固醇血症（≥7.75mmol/L）或≥2级的高甘油三酯血症（≥2.5倍ULN），应使用羟甲基戊二酰辅酶A（HMG-CoA）还原酶抑制剂等降血脂药物治疗。</w:t>
      </w:r>
    </w:p>
    <w:p w14:paraId="597FD245"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15.尚不确定安罗替尼是否可导致癫痫或增加癫痫风险，既往有癫痫病史的患者应慎用。</w:t>
      </w:r>
    </w:p>
    <w:p w14:paraId="17B285B3"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16.可逆性后部白质脑病综合征（RPLS）在VEGFR抑制剂类药物治疗肿瘤中有报道，并且可能致命。在安罗替尼研</w:t>
      </w:r>
      <w:r w:rsidRPr="00136FBE">
        <w:rPr>
          <w:rFonts w:ascii="仿宋" w:eastAsia="仿宋" w:hAnsi="仿宋" w:hint="eastAsia"/>
          <w:sz w:val="32"/>
          <w:szCs w:val="32"/>
        </w:rPr>
        <w:lastRenderedPageBreak/>
        <w:t>究中尚未报告此类事件发生，在实际使用过程中，应密切监测相关的症状和体征，一旦发生RPLS的患者应永久停药。</w:t>
      </w:r>
    </w:p>
    <w:p w14:paraId="36BFD555"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17.安罗替尼可能影响患者伤口愈合，建议准备接受外科手术的患者暂停给药以预防术后伤口愈合延迟，术后何时恢复用药由临床医师根据患者具体情况判断。</w:t>
      </w:r>
    </w:p>
    <w:p w14:paraId="7867E548"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18.目前缺乏18岁以下患者应用安罗替尼安全性和有效性资料。</w:t>
      </w:r>
      <w:r w:rsidRPr="00136FBE">
        <w:rPr>
          <w:rFonts w:ascii="仿宋" w:eastAsia="仿宋" w:hAnsi="仿宋" w:hint="eastAsia"/>
          <w:color w:val="000000"/>
          <w:sz w:val="32"/>
          <w:szCs w:val="32"/>
        </w:rPr>
        <w:t>≥65岁</w:t>
      </w:r>
      <w:r w:rsidRPr="00136FBE">
        <w:rPr>
          <w:rFonts w:ascii="仿宋" w:eastAsia="仿宋" w:hAnsi="仿宋" w:cs="仿宋" w:hint="eastAsia"/>
          <w:sz w:val="32"/>
          <w:szCs w:val="32"/>
        </w:rPr>
        <w:t>老年患者使用安罗替尼时，无需调整用药剂量。</w:t>
      </w:r>
    </w:p>
    <w:p w14:paraId="44D3FF54" w14:textId="77777777" w:rsidR="00591B52" w:rsidRPr="00136FBE" w:rsidRDefault="00591B52" w:rsidP="00591B52">
      <w:pPr>
        <w:spacing w:line="360" w:lineRule="auto"/>
        <w:ind w:firstLineChars="200" w:firstLine="640"/>
        <w:rPr>
          <w:rFonts w:ascii="仿宋" w:eastAsia="仿宋" w:hAnsi="仿宋"/>
          <w:sz w:val="32"/>
          <w:szCs w:val="32"/>
        </w:rPr>
      </w:pPr>
      <w:r w:rsidRPr="00136FBE">
        <w:rPr>
          <w:rFonts w:ascii="仿宋" w:eastAsia="仿宋" w:hAnsi="仿宋" w:hint="eastAsia"/>
          <w:sz w:val="32"/>
          <w:szCs w:val="32"/>
        </w:rPr>
        <w:t>19.育龄期女性在接受安罗替尼治疗期间和治疗结束至少6个月内应采取有效的避孕措施，妊娠期及哺乳期妇女禁用。</w:t>
      </w:r>
    </w:p>
    <w:p w14:paraId="13F7233E" w14:textId="77777777" w:rsidR="00591B52" w:rsidRPr="00136FBE" w:rsidRDefault="00591B52" w:rsidP="00591B52">
      <w:pPr>
        <w:spacing w:line="360" w:lineRule="auto"/>
        <w:ind w:firstLineChars="200" w:firstLine="640"/>
        <w:rPr>
          <w:rFonts w:ascii="仿宋" w:eastAsia="仿宋" w:hAnsi="仿宋" w:cs="仿宋"/>
          <w:sz w:val="32"/>
          <w:szCs w:val="32"/>
        </w:rPr>
      </w:pPr>
      <w:r w:rsidRPr="00136FBE">
        <w:rPr>
          <w:rFonts w:ascii="仿宋" w:eastAsia="仿宋" w:hAnsi="仿宋" w:cs="仿宋" w:hint="eastAsia"/>
          <w:sz w:val="32"/>
          <w:szCs w:val="32"/>
        </w:rPr>
        <w:t>20</w:t>
      </w:r>
      <w:r w:rsidRPr="00136FBE">
        <w:rPr>
          <w:rFonts w:ascii="仿宋" w:eastAsia="仿宋" w:hAnsi="仿宋" w:cs="仿宋"/>
          <w:sz w:val="32"/>
          <w:szCs w:val="32"/>
        </w:rPr>
        <w:t>.</w:t>
      </w:r>
      <w:r w:rsidRPr="00136FBE">
        <w:rPr>
          <w:rFonts w:ascii="仿宋" w:eastAsia="仿宋" w:hAnsi="仿宋" w:cs="仿宋" w:hint="eastAsia"/>
          <w:sz w:val="32"/>
          <w:szCs w:val="32"/>
        </w:rPr>
        <w:t>建议安罗替尼避免与CYP1A2和CYP3A4/5的强抑制剂及强诱导剂合用。</w:t>
      </w:r>
    </w:p>
    <w:p w14:paraId="0B0FC051" w14:textId="77777777" w:rsidR="00591B52" w:rsidRPr="00136FBE" w:rsidRDefault="00591B52" w:rsidP="00591B52">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vertAlign w:val="superscript"/>
        </w:rPr>
        <w:t>※</w:t>
      </w:r>
      <w:r w:rsidRPr="00136FBE">
        <w:rPr>
          <w:rFonts w:ascii="仿宋" w:eastAsia="仿宋" w:hAnsi="仿宋" w:cs="仿宋" w:hint="eastAsia"/>
          <w:sz w:val="32"/>
          <w:szCs w:val="32"/>
        </w:rPr>
        <w:t>21.安罗替尼</w:t>
      </w:r>
      <w:r w:rsidR="00D94B84" w:rsidRPr="00136FBE">
        <w:rPr>
          <w:rFonts w:ascii="仿宋" w:eastAsia="仿宋" w:hAnsi="仿宋" w:cs="仿宋" w:hint="eastAsia"/>
          <w:sz w:val="32"/>
          <w:szCs w:val="32"/>
        </w:rPr>
        <w:t>被推荐</w:t>
      </w:r>
      <w:r w:rsidRPr="00136FBE">
        <w:rPr>
          <w:rFonts w:ascii="仿宋" w:eastAsia="仿宋" w:hAnsi="仿宋" w:cs="仿宋" w:hint="eastAsia"/>
          <w:sz w:val="32"/>
          <w:szCs w:val="32"/>
        </w:rPr>
        <w:t>作为晚期或不可切除STS的二线治疗药物、晚期或不可切除ASPS的一线治疗药物。</w:t>
      </w:r>
    </w:p>
    <w:p w14:paraId="76519F24" w14:textId="77777777" w:rsidR="00B23A40" w:rsidRPr="00136FBE" w:rsidRDefault="00B23A40">
      <w:pPr>
        <w:spacing w:line="360" w:lineRule="auto"/>
        <w:ind w:firstLineChars="200" w:firstLine="883"/>
        <w:jc w:val="center"/>
        <w:rPr>
          <w:rFonts w:ascii="宋体" w:hAnsi="宋体" w:cs="宋体"/>
          <w:b/>
          <w:bCs/>
          <w:sz w:val="44"/>
          <w:szCs w:val="44"/>
        </w:rPr>
      </w:pPr>
    </w:p>
    <w:p w14:paraId="34531F5D" w14:textId="77777777"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头颈部肿瘤用药</w:t>
      </w:r>
    </w:p>
    <w:p w14:paraId="73E71337" w14:textId="77777777" w:rsidR="00B23A40" w:rsidRPr="00136FBE" w:rsidRDefault="00B23A40">
      <w:pPr>
        <w:spacing w:line="360" w:lineRule="auto"/>
        <w:ind w:firstLineChars="200" w:firstLine="643"/>
        <w:jc w:val="center"/>
        <w:rPr>
          <w:rFonts w:ascii="仿宋" w:eastAsia="仿宋" w:hAnsi="仿宋" w:cs="Times New Roman"/>
          <w:b/>
          <w:bCs/>
          <w:sz w:val="32"/>
          <w:szCs w:val="32"/>
        </w:rPr>
      </w:pPr>
    </w:p>
    <w:p w14:paraId="02D91C6C" w14:textId="77777777" w:rsidR="00B23A40" w:rsidRPr="00136FBE" w:rsidRDefault="00DD1A0D">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一、尼妥珠单抗</w:t>
      </w:r>
      <w:r w:rsidR="00CD7D0F" w:rsidRPr="00136FBE">
        <w:rPr>
          <w:rFonts w:ascii="黑体" w:eastAsia="黑体" w:hAnsi="黑体" w:cs="黑体" w:hint="eastAsia"/>
          <w:sz w:val="32"/>
          <w:szCs w:val="32"/>
        </w:rPr>
        <w:t>N</w:t>
      </w:r>
      <w:r w:rsidRPr="00136FBE">
        <w:rPr>
          <w:rFonts w:ascii="黑体" w:eastAsia="黑体" w:hAnsi="黑体" w:cs="黑体"/>
          <w:sz w:val="32"/>
          <w:szCs w:val="32"/>
        </w:rPr>
        <w:t xml:space="preserve">imotuzumab </w:t>
      </w:r>
    </w:p>
    <w:p w14:paraId="5E23FD07"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注射液：</w:t>
      </w:r>
      <w:r w:rsidRPr="00136FBE">
        <w:rPr>
          <w:rFonts w:ascii="仿宋" w:eastAsia="仿宋" w:hAnsi="仿宋" w:cs="仿宋"/>
          <w:sz w:val="32"/>
          <w:szCs w:val="32"/>
        </w:rPr>
        <w:t>50mg</w:t>
      </w:r>
      <w:r w:rsidRPr="00136FBE">
        <w:rPr>
          <w:rFonts w:ascii="仿宋" w:eastAsia="仿宋" w:hAnsi="仿宋" w:cs="仿宋" w:hint="eastAsia"/>
          <w:sz w:val="32"/>
          <w:szCs w:val="32"/>
        </w:rPr>
        <w:t>（</w:t>
      </w:r>
      <w:r w:rsidRPr="00136FBE">
        <w:rPr>
          <w:rFonts w:ascii="仿宋" w:eastAsia="仿宋" w:hAnsi="仿宋" w:cs="仿宋"/>
          <w:sz w:val="32"/>
          <w:szCs w:val="32"/>
        </w:rPr>
        <w:t>10ml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25AECC50"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适应证：</w:t>
      </w:r>
      <w:r w:rsidRPr="00136FBE">
        <w:rPr>
          <w:rFonts w:ascii="仿宋" w:eastAsia="仿宋" w:hAnsi="仿宋" w:cs="仿宋" w:hint="eastAsia"/>
          <w:sz w:val="32"/>
          <w:szCs w:val="32"/>
        </w:rPr>
        <w:t>与放疗联合治疗</w:t>
      </w:r>
      <w:r w:rsidRPr="00136FBE">
        <w:rPr>
          <w:rFonts w:ascii="仿宋" w:eastAsia="仿宋" w:hAnsi="仿宋" w:cs="仿宋"/>
          <w:sz w:val="32"/>
          <w:szCs w:val="32"/>
        </w:rPr>
        <w:t>EGFR</w:t>
      </w:r>
      <w:r w:rsidRPr="00136FBE">
        <w:rPr>
          <w:rFonts w:ascii="仿宋" w:eastAsia="仿宋" w:hAnsi="仿宋" w:cs="仿宋" w:hint="eastAsia"/>
          <w:sz w:val="32"/>
          <w:szCs w:val="32"/>
        </w:rPr>
        <w:t>基因阳性表达的Ⅲ～Ⅳ期鼻咽癌。</w:t>
      </w:r>
    </w:p>
    <w:p w14:paraId="3DE0F094" w14:textId="77777777" w:rsidR="00B23A40" w:rsidRPr="00136FBE" w:rsidRDefault="00DD1A0D">
      <w:pPr>
        <w:widowControl/>
        <w:spacing w:line="360" w:lineRule="auto"/>
        <w:ind w:firstLineChars="200" w:firstLine="643"/>
        <w:jc w:val="left"/>
        <w:rPr>
          <w:rFonts w:ascii="仿宋" w:eastAsia="仿宋" w:hAnsi="仿宋" w:cs="Times New Roman"/>
          <w:b/>
          <w:bCs/>
          <w:kern w:val="0"/>
          <w:sz w:val="32"/>
          <w:szCs w:val="32"/>
        </w:rPr>
      </w:pPr>
      <w:r w:rsidRPr="00136FBE">
        <w:rPr>
          <w:rFonts w:ascii="仿宋" w:eastAsia="仿宋" w:hAnsi="仿宋" w:cs="仿宋" w:hint="eastAsia"/>
          <w:b/>
          <w:bCs/>
          <w:kern w:val="0"/>
          <w:sz w:val="32"/>
          <w:szCs w:val="32"/>
        </w:rPr>
        <w:lastRenderedPageBreak/>
        <w:t>合理用药要点：</w:t>
      </w:r>
    </w:p>
    <w:p w14:paraId="797A3D99" w14:textId="77777777" w:rsidR="00B23A40" w:rsidRPr="00136FBE" w:rsidRDefault="00F82620">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1</w:t>
      </w:r>
      <w:r w:rsidR="00DD1A0D" w:rsidRPr="00136FBE">
        <w:rPr>
          <w:rFonts w:ascii="仿宋" w:eastAsia="仿宋" w:hAnsi="仿宋" w:cs="仿宋"/>
          <w:kern w:val="0"/>
          <w:sz w:val="32"/>
          <w:szCs w:val="32"/>
        </w:rPr>
        <w:t>.</w:t>
      </w:r>
      <w:r w:rsidR="00DD1A0D" w:rsidRPr="00136FBE">
        <w:rPr>
          <w:rFonts w:ascii="仿宋" w:eastAsia="仿宋" w:hAnsi="仿宋" w:cs="仿宋" w:hint="eastAsia"/>
          <w:kern w:val="0"/>
          <w:sz w:val="32"/>
          <w:szCs w:val="32"/>
        </w:rPr>
        <w:t>首次给药应在放射治疗的第一天，并在放射治疗开始前完成。之后每周给药一次，共</w:t>
      </w:r>
      <w:r w:rsidR="00DD1A0D" w:rsidRPr="00136FBE">
        <w:rPr>
          <w:rFonts w:ascii="仿宋" w:eastAsia="仿宋" w:hAnsi="仿宋" w:cs="仿宋"/>
          <w:kern w:val="0"/>
          <w:sz w:val="32"/>
          <w:szCs w:val="32"/>
        </w:rPr>
        <w:t>8</w:t>
      </w:r>
      <w:r w:rsidR="00DD1A0D" w:rsidRPr="00136FBE">
        <w:rPr>
          <w:rFonts w:ascii="仿宋" w:eastAsia="仿宋" w:hAnsi="仿宋" w:cs="仿宋" w:hint="eastAsia"/>
          <w:kern w:val="0"/>
          <w:sz w:val="32"/>
          <w:szCs w:val="32"/>
        </w:rPr>
        <w:t>周，患者同时接受标准的放射治疗。</w:t>
      </w:r>
    </w:p>
    <w:p w14:paraId="6199FCA2" w14:textId="77777777" w:rsidR="00B23A40" w:rsidRPr="00136FBE" w:rsidRDefault="00F82620">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2</w:t>
      </w:r>
      <w:r w:rsidR="00DD1A0D" w:rsidRPr="00136FBE">
        <w:rPr>
          <w:rFonts w:ascii="仿宋" w:eastAsia="仿宋" w:hAnsi="仿宋" w:cs="仿宋"/>
          <w:kern w:val="0"/>
          <w:sz w:val="32"/>
          <w:szCs w:val="32"/>
        </w:rPr>
        <w:t>.</w:t>
      </w:r>
      <w:r w:rsidR="00DD1A0D" w:rsidRPr="00136FBE">
        <w:rPr>
          <w:rFonts w:ascii="仿宋" w:eastAsia="仿宋" w:hAnsi="仿宋" w:cs="仿宋" w:hint="eastAsia"/>
          <w:kern w:val="0"/>
          <w:sz w:val="32"/>
          <w:szCs w:val="32"/>
        </w:rPr>
        <w:t>用药期间必须注意常见的皮肤反应和腹泻。</w:t>
      </w:r>
    </w:p>
    <w:p w14:paraId="6B7DBBF9" w14:textId="77777777" w:rsidR="00B23A40" w:rsidRDefault="00F82620">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sidR="00DD1A0D" w:rsidRPr="00136FBE">
        <w:rPr>
          <w:rFonts w:ascii="仿宋" w:eastAsia="仿宋" w:hAnsi="仿宋" w:cs="仿宋"/>
          <w:kern w:val="0"/>
          <w:sz w:val="32"/>
          <w:szCs w:val="32"/>
        </w:rPr>
        <w:t>.</w:t>
      </w:r>
      <w:r w:rsidR="00DD1A0D" w:rsidRPr="00136FBE">
        <w:rPr>
          <w:rFonts w:ascii="仿宋" w:eastAsia="仿宋" w:hAnsi="仿宋" w:cs="仿宋" w:hint="eastAsia"/>
          <w:kern w:val="0"/>
          <w:sz w:val="32"/>
          <w:szCs w:val="32"/>
        </w:rPr>
        <w:t>尚未确定</w:t>
      </w:r>
      <w:r w:rsidR="00DD1A0D" w:rsidRPr="00136FBE">
        <w:rPr>
          <w:rFonts w:ascii="仿宋" w:eastAsia="仿宋" w:hAnsi="仿宋" w:cs="仿宋"/>
          <w:kern w:val="0"/>
          <w:sz w:val="32"/>
          <w:szCs w:val="32"/>
        </w:rPr>
        <w:t>18</w:t>
      </w:r>
      <w:r w:rsidR="00DD1A0D" w:rsidRPr="00136FBE">
        <w:rPr>
          <w:rFonts w:ascii="仿宋" w:eastAsia="仿宋" w:hAnsi="仿宋" w:cs="仿宋" w:hint="eastAsia"/>
          <w:kern w:val="0"/>
          <w:sz w:val="32"/>
          <w:szCs w:val="32"/>
        </w:rPr>
        <w:t>岁以下儿童使用本品的安全性和疗效。</w:t>
      </w:r>
    </w:p>
    <w:p w14:paraId="51A13997" w14:textId="77777777" w:rsidR="00F82620" w:rsidRPr="00F82620" w:rsidRDefault="00F82620" w:rsidP="00F82620">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4.</w:t>
      </w:r>
      <w:r w:rsidRPr="00F82620">
        <w:rPr>
          <w:rFonts w:ascii="仿宋" w:eastAsia="仿宋" w:hAnsi="仿宋" w:cs="Times New Roman" w:hint="eastAsia"/>
          <w:kern w:val="0"/>
          <w:sz w:val="32"/>
          <w:szCs w:val="32"/>
        </w:rPr>
        <w:t>应由熟练掌握EGFR检测技术的专职人员进行EGFR表达水平的检验。</w:t>
      </w:r>
    </w:p>
    <w:p w14:paraId="312B32B1" w14:textId="77777777" w:rsidR="00F82620" w:rsidRDefault="00F82620" w:rsidP="00F82620">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5</w:t>
      </w:r>
      <w:r w:rsidRPr="00F82620">
        <w:rPr>
          <w:rFonts w:ascii="仿宋" w:eastAsia="仿宋" w:hAnsi="仿宋" w:cs="Times New Roman" w:hint="eastAsia"/>
          <w:kern w:val="0"/>
          <w:sz w:val="32"/>
          <w:szCs w:val="32"/>
        </w:rPr>
        <w:t>.尼妥珠单抗冻融后抗体大部分活性将丧失，故在储存过程中严禁冷冻。</w:t>
      </w:r>
    </w:p>
    <w:p w14:paraId="61448C29" w14:textId="77777777" w:rsidR="00F82620" w:rsidRDefault="00F82620" w:rsidP="00F82620">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6</w:t>
      </w:r>
      <w:r w:rsidRPr="00F82620">
        <w:rPr>
          <w:rFonts w:ascii="仿宋" w:eastAsia="仿宋" w:hAnsi="仿宋" w:cs="Times New Roman" w:hint="eastAsia"/>
          <w:kern w:val="0"/>
          <w:sz w:val="32"/>
          <w:szCs w:val="32"/>
        </w:rPr>
        <w:t>.尼妥珠单抗配制的溶液在输液容器中2～8℃时，其物理和化学稳定性可保持12小时，在室温下可保持8小时。储存时间超过上述时间，不宜继续使用。</w:t>
      </w:r>
    </w:p>
    <w:p w14:paraId="1DC1F543" w14:textId="77777777" w:rsidR="00F82620" w:rsidRPr="00F82620" w:rsidRDefault="00F82620" w:rsidP="00F82620">
      <w:pPr>
        <w:widowControl/>
        <w:spacing w:line="360" w:lineRule="auto"/>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7.</w:t>
      </w:r>
      <w:r w:rsidRPr="00F82620">
        <w:rPr>
          <w:rFonts w:ascii="仿宋" w:eastAsia="仿宋" w:hAnsi="仿宋" w:cs="Times New Roman" w:hint="eastAsia"/>
          <w:kern w:val="0"/>
          <w:sz w:val="32"/>
          <w:szCs w:val="32"/>
        </w:rPr>
        <w:t>孕妇或没有采取有效避孕措施的妇女应慎用。本品属于IgG1类抗体，由于人IgG1能够分泌至乳汁，建议哺乳期妇女在本品治疗期间以及在最后一次给药后60</w:t>
      </w:r>
      <w:r w:rsidR="009048EF">
        <w:rPr>
          <w:rFonts w:ascii="仿宋" w:eastAsia="仿宋" w:hAnsi="仿宋" w:cs="Times New Roman" w:hint="eastAsia"/>
          <w:kern w:val="0"/>
          <w:sz w:val="32"/>
          <w:szCs w:val="32"/>
        </w:rPr>
        <w:t>天内停止哺乳。</w:t>
      </w:r>
    </w:p>
    <w:p w14:paraId="34EAC230" w14:textId="77777777" w:rsidR="00B23A40" w:rsidRPr="00136FBE" w:rsidRDefault="00DD1A0D">
      <w:pPr>
        <w:spacing w:line="360" w:lineRule="auto"/>
        <w:ind w:firstLineChars="200" w:firstLine="640"/>
        <w:rPr>
          <w:rFonts w:ascii="黑体" w:eastAsia="黑体" w:hAnsi="黑体" w:cs="黑体"/>
          <w:sz w:val="32"/>
          <w:szCs w:val="32"/>
        </w:rPr>
      </w:pPr>
      <w:r w:rsidRPr="00136FBE">
        <w:rPr>
          <w:rFonts w:ascii="黑体" w:eastAsia="黑体" w:hAnsi="黑体" w:cs="黑体" w:hint="eastAsia"/>
          <w:sz w:val="32"/>
          <w:szCs w:val="32"/>
        </w:rPr>
        <w:t>二、索拉非尼</w:t>
      </w:r>
      <w:r w:rsidR="00CD7D0F" w:rsidRPr="00136FBE">
        <w:rPr>
          <w:rFonts w:ascii="黑体" w:eastAsia="黑体" w:hAnsi="黑体" w:cs="黑体" w:hint="eastAsia"/>
          <w:sz w:val="32"/>
          <w:szCs w:val="32"/>
        </w:rPr>
        <w:t>S</w:t>
      </w:r>
      <w:r w:rsidRPr="00136FBE">
        <w:rPr>
          <w:rFonts w:ascii="黑体" w:eastAsia="黑体" w:hAnsi="黑体" w:cs="黑体"/>
          <w:sz w:val="32"/>
          <w:szCs w:val="32"/>
        </w:rPr>
        <w:t xml:space="preserve">orafenib </w:t>
      </w:r>
    </w:p>
    <w:p w14:paraId="2D2883C8" w14:textId="77777777" w:rsidR="00B23A40" w:rsidRPr="00136FBE" w:rsidRDefault="00DD1A0D">
      <w:pPr>
        <w:spacing w:line="360" w:lineRule="auto"/>
        <w:ind w:firstLineChars="200" w:firstLine="643"/>
        <w:rPr>
          <w:rFonts w:ascii="仿宋" w:eastAsia="仿宋" w:hAnsi="仿宋" w:cs="仿宋"/>
          <w:sz w:val="32"/>
          <w:szCs w:val="32"/>
        </w:rPr>
      </w:pPr>
      <w:r w:rsidRPr="00136FBE">
        <w:rPr>
          <w:rFonts w:ascii="仿宋" w:eastAsia="仿宋" w:hAnsi="仿宋" w:cs="仿宋" w:hint="eastAsia"/>
          <w:b/>
          <w:bCs/>
          <w:sz w:val="32"/>
          <w:szCs w:val="32"/>
        </w:rPr>
        <w:t>制剂与规格：</w:t>
      </w:r>
      <w:r w:rsidRPr="00136FBE">
        <w:rPr>
          <w:rFonts w:ascii="仿宋" w:eastAsia="仿宋" w:hAnsi="仿宋" w:cs="仿宋" w:hint="eastAsia"/>
          <w:sz w:val="32"/>
          <w:szCs w:val="32"/>
        </w:rPr>
        <w:t>片剂：</w:t>
      </w:r>
      <w:r w:rsidRPr="00136FBE">
        <w:rPr>
          <w:rFonts w:ascii="仿宋" w:eastAsia="仿宋" w:hAnsi="仿宋" w:cs="仿宋"/>
          <w:sz w:val="32"/>
          <w:szCs w:val="32"/>
        </w:rPr>
        <w:t xml:space="preserve">200mg </w:t>
      </w:r>
    </w:p>
    <w:p w14:paraId="0654490E" w14:textId="77777777" w:rsidR="00B23A40" w:rsidRPr="00136FBE" w:rsidRDefault="00DD1A0D">
      <w:pPr>
        <w:autoSpaceDE w:val="0"/>
        <w:autoSpaceDN w:val="0"/>
        <w:adjustRightInd w:val="0"/>
        <w:spacing w:line="360" w:lineRule="auto"/>
        <w:ind w:firstLineChars="200" w:firstLine="654"/>
        <w:textAlignment w:val="center"/>
        <w:rPr>
          <w:rFonts w:ascii="仿宋" w:eastAsia="仿宋" w:hAnsi="仿宋" w:cs="Times New Roman"/>
          <w:color w:val="000000"/>
          <w:spacing w:val="3"/>
          <w:kern w:val="0"/>
          <w:sz w:val="32"/>
          <w:szCs w:val="32"/>
        </w:rPr>
      </w:pPr>
      <w:r w:rsidRPr="00136FBE">
        <w:rPr>
          <w:rFonts w:ascii="仿宋" w:eastAsia="仿宋" w:hAnsi="仿宋" w:cs="仿宋" w:hint="eastAsia"/>
          <w:b/>
          <w:bCs/>
          <w:color w:val="000000"/>
          <w:spacing w:val="3"/>
          <w:kern w:val="0"/>
          <w:sz w:val="32"/>
          <w:szCs w:val="32"/>
        </w:rPr>
        <w:t>适应证：</w:t>
      </w:r>
      <w:r w:rsidRPr="00136FBE">
        <w:rPr>
          <w:rFonts w:ascii="仿宋" w:eastAsia="仿宋" w:hAnsi="仿宋" w:cs="仿宋" w:hint="eastAsia"/>
          <w:color w:val="000000"/>
          <w:kern w:val="0"/>
          <w:sz w:val="32"/>
          <w:szCs w:val="32"/>
        </w:rPr>
        <w:t>治疗局部复发或转移的进展性的放射性碘难治性分化型甲状腺癌。</w:t>
      </w:r>
    </w:p>
    <w:p w14:paraId="6A8356CE" w14:textId="77777777" w:rsidR="00B23A40" w:rsidRPr="00136FBE" w:rsidRDefault="00DD1A0D">
      <w:pPr>
        <w:spacing w:line="360" w:lineRule="auto"/>
        <w:ind w:firstLineChars="200" w:firstLine="643"/>
        <w:rPr>
          <w:rFonts w:ascii="仿宋" w:eastAsia="仿宋" w:hAnsi="仿宋" w:cs="Times New Roman"/>
          <w:b/>
          <w:bCs/>
          <w:sz w:val="32"/>
          <w:szCs w:val="32"/>
        </w:rPr>
      </w:pPr>
      <w:r w:rsidRPr="00136FBE">
        <w:rPr>
          <w:rFonts w:ascii="仿宋" w:eastAsia="仿宋" w:hAnsi="仿宋" w:cs="仿宋" w:hint="eastAsia"/>
          <w:b/>
          <w:bCs/>
          <w:sz w:val="32"/>
          <w:szCs w:val="32"/>
        </w:rPr>
        <w:t>合理用药要点：</w:t>
      </w:r>
    </w:p>
    <w:p w14:paraId="4BA609EE"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lastRenderedPageBreak/>
        <w:t>1.</w:t>
      </w:r>
      <w:r w:rsidRPr="00136FBE">
        <w:rPr>
          <w:rFonts w:ascii="仿宋" w:eastAsia="仿宋" w:hAnsi="仿宋" w:cs="仿宋" w:hint="eastAsia"/>
          <w:sz w:val="32"/>
          <w:szCs w:val="32"/>
        </w:rPr>
        <w:t>空腹给药，用药前无需进行基因检测。</w:t>
      </w:r>
      <w:r w:rsidR="002B0037" w:rsidRPr="002B0037">
        <w:rPr>
          <w:rFonts w:ascii="仿宋" w:eastAsia="仿宋" w:hAnsi="仿宋" w:cs="仿宋" w:hint="eastAsia"/>
          <w:sz w:val="32"/>
          <w:szCs w:val="32"/>
        </w:rPr>
        <w:t>若长期病情稳定，不需服用此类药物。</w:t>
      </w:r>
    </w:p>
    <w:p w14:paraId="3BD7DB49"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2.</w:t>
      </w:r>
      <w:r w:rsidRPr="00136FBE">
        <w:rPr>
          <w:rFonts w:ascii="仿宋" w:eastAsia="仿宋" w:hAnsi="仿宋" w:cs="仿宋" w:hint="eastAsia"/>
          <w:sz w:val="32"/>
          <w:szCs w:val="32"/>
        </w:rPr>
        <w:t>存在可疑的药物不良反应时，可能需要暂停和</w:t>
      </w:r>
      <w:r w:rsidRPr="00136FBE">
        <w:rPr>
          <w:rFonts w:ascii="仿宋" w:eastAsia="仿宋" w:hAnsi="仿宋" w:cs="仿宋"/>
          <w:sz w:val="32"/>
          <w:szCs w:val="32"/>
        </w:rPr>
        <w:t>/</w:t>
      </w:r>
      <w:r w:rsidRPr="00136FBE">
        <w:rPr>
          <w:rFonts w:ascii="仿宋" w:eastAsia="仿宋" w:hAnsi="仿宋" w:cs="仿宋" w:hint="eastAsia"/>
          <w:sz w:val="32"/>
          <w:szCs w:val="32"/>
        </w:rPr>
        <w:t>或减少索拉非尼剂量。</w:t>
      </w:r>
    </w:p>
    <w:p w14:paraId="6304419B"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3.</w:t>
      </w:r>
      <w:r w:rsidRPr="00136FBE">
        <w:rPr>
          <w:rFonts w:ascii="仿宋" w:eastAsia="仿宋" w:hAnsi="仿宋" w:cs="仿宋" w:hint="eastAsia"/>
          <w:sz w:val="32"/>
          <w:szCs w:val="32"/>
        </w:rPr>
        <w:t>最常见的不良反应有腹泻，乏力，脱发，感染，手足皮肤反应，皮疹。</w:t>
      </w:r>
    </w:p>
    <w:p w14:paraId="3555B917"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4.</w:t>
      </w:r>
      <w:r w:rsidRPr="00136FBE">
        <w:rPr>
          <w:rFonts w:ascii="仿宋" w:eastAsia="仿宋" w:hAnsi="仿宋" w:cs="仿宋" w:hint="eastAsia"/>
          <w:sz w:val="32"/>
          <w:szCs w:val="32"/>
        </w:rPr>
        <w:t>对索拉非尼或本品任一非活性成分有严重过敏症状的患者禁用。</w:t>
      </w:r>
    </w:p>
    <w:p w14:paraId="34AA82C5" w14:textId="77777777" w:rsidR="00B23A40" w:rsidRPr="00136FBE" w:rsidRDefault="00DD1A0D">
      <w:pPr>
        <w:spacing w:line="360" w:lineRule="auto"/>
        <w:ind w:firstLineChars="200" w:firstLine="640"/>
        <w:rPr>
          <w:rFonts w:ascii="仿宋" w:eastAsia="仿宋" w:hAnsi="仿宋" w:cs="Times New Roman"/>
          <w:sz w:val="32"/>
          <w:szCs w:val="32"/>
        </w:rPr>
      </w:pPr>
      <w:r w:rsidRPr="00136FBE">
        <w:rPr>
          <w:rFonts w:ascii="仿宋" w:eastAsia="仿宋" w:hAnsi="仿宋" w:cs="仿宋"/>
          <w:sz w:val="32"/>
          <w:szCs w:val="32"/>
        </w:rPr>
        <w:t>5.</w:t>
      </w:r>
      <w:r w:rsidRPr="00136FBE">
        <w:rPr>
          <w:rFonts w:ascii="仿宋" w:eastAsia="仿宋" w:hAnsi="仿宋" w:cs="仿宋" w:hint="eastAsia"/>
          <w:sz w:val="32"/>
          <w:szCs w:val="32"/>
        </w:rPr>
        <w:t>与</w:t>
      </w:r>
      <w:r w:rsidRPr="00136FBE">
        <w:rPr>
          <w:rFonts w:ascii="仿宋" w:eastAsia="仿宋" w:hAnsi="仿宋" w:cs="仿宋"/>
          <w:sz w:val="32"/>
          <w:szCs w:val="32"/>
        </w:rPr>
        <w:t>UGT1A1</w:t>
      </w:r>
      <w:r w:rsidRPr="00136FBE">
        <w:rPr>
          <w:rFonts w:ascii="仿宋" w:eastAsia="仿宋" w:hAnsi="仿宋" w:cs="仿宋" w:hint="eastAsia"/>
          <w:sz w:val="32"/>
          <w:szCs w:val="32"/>
        </w:rPr>
        <w:t>途径代谢</w:t>
      </w:r>
      <w:r w:rsidRPr="00136FBE">
        <w:rPr>
          <w:rFonts w:ascii="仿宋" w:eastAsia="仿宋" w:hAnsi="仿宋" w:cs="仿宋"/>
          <w:sz w:val="32"/>
          <w:szCs w:val="32"/>
        </w:rPr>
        <w:t>/</w:t>
      </w:r>
      <w:r w:rsidRPr="00136FBE">
        <w:rPr>
          <w:rFonts w:ascii="仿宋" w:eastAsia="仿宋" w:hAnsi="仿宋" w:cs="仿宋" w:hint="eastAsia"/>
          <w:sz w:val="32"/>
          <w:szCs w:val="32"/>
        </w:rPr>
        <w:t>清除的药物联合应用时，需谨慎；与多西他赛联合应用时，需谨慎；与</w:t>
      </w:r>
      <w:r w:rsidRPr="00136FBE">
        <w:rPr>
          <w:rFonts w:ascii="仿宋" w:eastAsia="仿宋" w:hAnsi="仿宋" w:cs="仿宋"/>
          <w:sz w:val="32"/>
          <w:szCs w:val="32"/>
        </w:rPr>
        <w:t>CYP3A4</w:t>
      </w:r>
      <w:r w:rsidRPr="00136FBE">
        <w:rPr>
          <w:rFonts w:ascii="仿宋" w:eastAsia="仿宋" w:hAnsi="仿宋" w:cs="仿宋" w:hint="eastAsia"/>
          <w:sz w:val="32"/>
          <w:szCs w:val="32"/>
        </w:rPr>
        <w:t>诱导剂联合应用时可导致索拉非尼的药物浓度降低；与新霉素联合应用可导致索拉非尼的暴露量下降。</w:t>
      </w:r>
    </w:p>
    <w:p w14:paraId="0C678A20" w14:textId="77777777" w:rsidR="006C7BCA" w:rsidRPr="00136FBE" w:rsidRDefault="006C7BCA" w:rsidP="006C7BCA">
      <w:pPr>
        <w:spacing w:line="360" w:lineRule="auto"/>
        <w:ind w:firstLineChars="200" w:firstLine="640"/>
        <w:rPr>
          <w:rFonts w:ascii="黑体" w:eastAsia="黑体" w:hAnsi="黑体" w:cs="Times New Roman"/>
          <w:sz w:val="32"/>
          <w:szCs w:val="32"/>
        </w:rPr>
      </w:pPr>
      <w:r w:rsidRPr="00136FBE">
        <w:rPr>
          <w:rFonts w:ascii="黑体" w:eastAsia="黑体" w:hAnsi="黑体" w:cs="Times New Roman" w:hint="eastAsia"/>
          <w:sz w:val="32"/>
          <w:szCs w:val="32"/>
        </w:rPr>
        <w:t>三、纳武利尤单抗 Nivolumab</w:t>
      </w:r>
    </w:p>
    <w:p w14:paraId="7B2A96D5" w14:textId="77777777" w:rsidR="006C7BCA" w:rsidRPr="00136FBE" w:rsidRDefault="006C7BCA" w:rsidP="006C7BCA">
      <w:pPr>
        <w:spacing w:line="360" w:lineRule="auto"/>
        <w:ind w:firstLineChars="200" w:firstLine="643"/>
        <w:rPr>
          <w:rFonts w:ascii="仿宋" w:eastAsia="仿宋" w:hAnsi="仿宋" w:cs="Times New Roman"/>
          <w:b/>
          <w:bCs/>
          <w:w w:val="95"/>
          <w:sz w:val="32"/>
          <w:szCs w:val="32"/>
          <w:lang w:val="it-IT"/>
        </w:rPr>
      </w:pPr>
      <w:r w:rsidRPr="00136FBE">
        <w:rPr>
          <w:rFonts w:ascii="仿宋" w:eastAsia="仿宋" w:hAnsi="仿宋" w:cs="Times New Roman" w:hint="eastAsia"/>
          <w:b/>
          <w:sz w:val="32"/>
          <w:szCs w:val="32"/>
        </w:rPr>
        <w:t>制剂与规格：</w:t>
      </w:r>
      <w:r w:rsidRPr="00136FBE">
        <w:rPr>
          <w:rFonts w:ascii="仿宋" w:eastAsia="仿宋" w:hAnsi="仿宋" w:cs="Times New Roman" w:hint="eastAsia"/>
          <w:sz w:val="32"/>
          <w:szCs w:val="32"/>
        </w:rPr>
        <w:t>注射液：</w:t>
      </w:r>
      <w:r w:rsidRPr="00136FBE">
        <w:rPr>
          <w:rFonts w:ascii="仿宋" w:eastAsia="仿宋" w:hAnsi="仿宋" w:cs="仿宋"/>
          <w:w w:val="95"/>
          <w:sz w:val="32"/>
          <w:szCs w:val="32"/>
          <w:lang w:val="it-IT"/>
        </w:rPr>
        <w:t>40mg</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4ml</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w:t>
      </w:r>
      <w:r w:rsidRPr="00136FBE">
        <w:rPr>
          <w:rFonts w:ascii="仿宋" w:eastAsia="仿宋" w:hAnsi="仿宋" w:cs="仿宋" w:hint="eastAsia"/>
          <w:w w:val="95"/>
          <w:sz w:val="32"/>
          <w:szCs w:val="32"/>
          <w:lang w:val="it-IT"/>
        </w:rPr>
        <w:t>瓶、</w:t>
      </w:r>
      <w:r w:rsidRPr="00136FBE">
        <w:rPr>
          <w:rFonts w:ascii="仿宋" w:eastAsia="仿宋" w:hAnsi="仿宋" w:cs="仿宋"/>
          <w:w w:val="95"/>
          <w:sz w:val="32"/>
          <w:szCs w:val="32"/>
          <w:lang w:val="it-IT"/>
        </w:rPr>
        <w:t>100mg</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10ml</w:t>
      </w:r>
      <w:r w:rsidRPr="00136FBE">
        <w:rPr>
          <w:rFonts w:ascii="仿宋" w:eastAsia="仿宋" w:hAnsi="仿宋" w:cs="仿宋" w:hint="eastAsia"/>
          <w:w w:val="95"/>
          <w:sz w:val="32"/>
          <w:szCs w:val="32"/>
          <w:lang w:val="it-IT"/>
        </w:rPr>
        <w:t>）</w:t>
      </w:r>
      <w:r w:rsidRPr="00136FBE">
        <w:rPr>
          <w:rFonts w:ascii="仿宋" w:eastAsia="仿宋" w:hAnsi="仿宋" w:cs="仿宋"/>
          <w:w w:val="95"/>
          <w:sz w:val="32"/>
          <w:szCs w:val="32"/>
          <w:lang w:val="it-IT"/>
        </w:rPr>
        <w:t>/</w:t>
      </w:r>
      <w:r w:rsidRPr="00136FBE">
        <w:rPr>
          <w:rFonts w:ascii="仿宋" w:eastAsia="仿宋" w:hAnsi="仿宋" w:cs="仿宋" w:hint="eastAsia"/>
          <w:w w:val="95"/>
          <w:sz w:val="32"/>
          <w:szCs w:val="32"/>
          <w:lang w:val="it-IT"/>
        </w:rPr>
        <w:t>瓶</w:t>
      </w:r>
    </w:p>
    <w:p w14:paraId="2BE965D6" w14:textId="77777777" w:rsidR="006C7BCA" w:rsidRPr="00136FBE" w:rsidRDefault="006C7BCA" w:rsidP="006C7BCA">
      <w:pPr>
        <w:spacing w:line="360" w:lineRule="auto"/>
        <w:ind w:firstLineChars="200" w:firstLine="643"/>
        <w:rPr>
          <w:rFonts w:ascii="仿宋" w:eastAsia="仿宋" w:hAnsi="仿宋" w:cs="Times New Roman"/>
          <w:sz w:val="32"/>
          <w:szCs w:val="32"/>
        </w:rPr>
      </w:pPr>
      <w:r w:rsidRPr="00136FBE">
        <w:rPr>
          <w:rFonts w:ascii="仿宋" w:eastAsia="仿宋" w:hAnsi="仿宋" w:cs="Times New Roman" w:hint="eastAsia"/>
          <w:b/>
          <w:sz w:val="32"/>
          <w:szCs w:val="32"/>
        </w:rPr>
        <w:t>适应证：</w:t>
      </w:r>
      <w:r w:rsidRPr="00136FBE">
        <w:rPr>
          <w:rFonts w:ascii="仿宋" w:eastAsia="仿宋" w:hAnsi="仿宋" w:cs="Times New Roman" w:hint="eastAsia"/>
          <w:sz w:val="32"/>
          <w:szCs w:val="32"/>
        </w:rPr>
        <w:t>本品适用于治疗接受含铂类方案治疗期间或之后出现疾病进展且肿瘤PD-L1表达阳性（定义为表达PD-L1的肿瘤细胞≥1%）的复发性或转移性头颈部鳞状细胞癌（SCCHN）患者。</w:t>
      </w:r>
    </w:p>
    <w:p w14:paraId="33F49158" w14:textId="77777777" w:rsidR="006C7BCA" w:rsidRPr="00136FBE" w:rsidRDefault="006C7BCA" w:rsidP="006C7BCA">
      <w:pPr>
        <w:spacing w:line="360" w:lineRule="auto"/>
        <w:ind w:firstLineChars="200" w:firstLine="643"/>
        <w:rPr>
          <w:rFonts w:ascii="仿宋" w:eastAsia="仿宋" w:hAnsi="仿宋" w:cs="Times New Roman"/>
          <w:b/>
          <w:sz w:val="32"/>
          <w:szCs w:val="32"/>
        </w:rPr>
      </w:pPr>
      <w:r w:rsidRPr="00136FBE">
        <w:rPr>
          <w:rFonts w:ascii="仿宋" w:eastAsia="仿宋" w:hAnsi="仿宋" w:cs="Times New Roman" w:hint="eastAsia"/>
          <w:b/>
          <w:sz w:val="32"/>
          <w:szCs w:val="32"/>
        </w:rPr>
        <w:t>合理用药要点：</w:t>
      </w:r>
    </w:p>
    <w:p w14:paraId="4878A533" w14:textId="77777777" w:rsidR="006C7BCA" w:rsidRPr="00136FBE" w:rsidRDefault="006C7BCA" w:rsidP="006C7BCA">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1.对于接受含铂类方案治疗期间或之后出现疾病进展且肿瘤PD-L1表达阳性（定义为表达PD-L1的肿瘤细胞≥1%）</w:t>
      </w:r>
      <w:r w:rsidRPr="00136FBE">
        <w:rPr>
          <w:rFonts w:ascii="仿宋" w:eastAsia="仿宋" w:hAnsi="仿宋" w:cs="Times New Roman" w:hint="eastAsia"/>
          <w:sz w:val="32"/>
          <w:szCs w:val="32"/>
        </w:rPr>
        <w:lastRenderedPageBreak/>
        <w:t>的复发性或转移性头颈部鳞状细胞癌患者推荐给药方案为3mg/kg或240mg固定剂量，静脉注射</w:t>
      </w:r>
      <w:r w:rsidR="00123AA1" w:rsidRPr="00123AA1">
        <w:rPr>
          <w:rFonts w:ascii="仿宋" w:eastAsia="仿宋" w:hAnsi="仿宋" w:cs="Times New Roman" w:hint="eastAsia"/>
          <w:sz w:val="32"/>
          <w:szCs w:val="32"/>
        </w:rPr>
        <w:t>，持续30分钟</w:t>
      </w:r>
      <w:r w:rsidR="00123AA1">
        <w:rPr>
          <w:rFonts w:ascii="仿宋" w:eastAsia="仿宋" w:hAnsi="仿宋" w:cs="Times New Roman" w:hint="eastAsia"/>
          <w:sz w:val="32"/>
          <w:szCs w:val="32"/>
        </w:rPr>
        <w:t>，</w:t>
      </w:r>
      <w:r w:rsidRPr="00136FBE">
        <w:rPr>
          <w:rFonts w:ascii="仿宋" w:eastAsia="仿宋" w:hAnsi="仿宋" w:cs="Times New Roman" w:hint="eastAsia"/>
          <w:sz w:val="32"/>
          <w:szCs w:val="32"/>
        </w:rPr>
        <w:t>每2周一次，直至出现疾病进展或产生不可接受的毒性。只要观察到临床获益，应继续本品治疗，直至患者不能耐受。有可能观察到非典型反应（例如最初几个月内肿瘤暂时增大或出现新的小病灶，随后肿瘤缩小）。如果患者临床症状稳定或持续减轻，即使有疾病进展的初步证据，基于总体临床获益的判断，可考虑继续应用本品治疗，直至证实疾病进展。根据个体患者的安全性和耐受性，可能需要暂停给药或停药，不建议增加或减少剂量。</w:t>
      </w:r>
    </w:p>
    <w:p w14:paraId="57667343" w14:textId="77777777" w:rsidR="006C7BCA" w:rsidRPr="00136FBE" w:rsidRDefault="006C7BCA" w:rsidP="006C7BCA">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2.纳武利尤单抗可引起免疫相关性不良反应</w:t>
      </w:r>
      <w:r w:rsidR="00123AA1">
        <w:rPr>
          <w:rFonts w:ascii="仿宋" w:eastAsia="仿宋" w:hAnsi="仿宋" w:cs="Times New Roman" w:hint="eastAsia"/>
          <w:sz w:val="32"/>
          <w:szCs w:val="32"/>
        </w:rPr>
        <w:t>,</w:t>
      </w:r>
      <w:r w:rsidRPr="00136FBE">
        <w:rPr>
          <w:rFonts w:ascii="仿宋" w:eastAsia="仿宋" w:hAnsi="仿宋" w:cs="Times New Roman" w:hint="eastAsia"/>
          <w:sz w:val="32"/>
          <w:szCs w:val="32"/>
        </w:rPr>
        <w:t>应持续进行患者监测（至少至末次给药后5个月），因为不良反应可能在纳武利尤单抗治疗期间或纳武利尤单抗治疗停止后的任何时间发生。对于疑似免疫相关性不良反应，应进行充分的评估以确认病因或排除其他病因。根据不良反应的严重程度，应暂停纳武利尤单抗治疗并给予糖皮质激素。若使用糖皮质激素免疫抑制疗法治疗不良反应，症状改善后，需至少1个月的时间逐渐减量至停药。快速减量可能引起不良反应恶化或复发。如果虽使用了糖皮质激素但仍恶化或无改善，则应增加非糖皮质激素免疫抑制剂治疗。在患者接受免疫抑制剂量的糖皮质激素或其他免疫抑制剂治疗期间，不可重新使用纳武利尤单抗治疗。在接受免疫抑制剂治疗的患者中，</w:t>
      </w:r>
      <w:r w:rsidRPr="00136FBE">
        <w:rPr>
          <w:rFonts w:ascii="仿宋" w:eastAsia="仿宋" w:hAnsi="仿宋" w:cs="Times New Roman" w:hint="eastAsia"/>
          <w:sz w:val="32"/>
          <w:szCs w:val="32"/>
        </w:rPr>
        <w:lastRenderedPageBreak/>
        <w:t>应使用预防性抗生素预防机会性感染。若出现任何重度、复发的免疫相关性不良反应以及任何危及生命的免疫相关性不良反应，必须永久停止纳武利尤单抗治疗。</w:t>
      </w:r>
    </w:p>
    <w:p w14:paraId="1060B419" w14:textId="77777777" w:rsidR="006C7BCA" w:rsidRPr="00136FBE" w:rsidRDefault="006C7BCA" w:rsidP="006C7BCA">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3.出现</w:t>
      </w:r>
      <w:r w:rsidR="001F03A4" w:rsidRPr="00136FBE">
        <w:rPr>
          <w:rFonts w:ascii="仿宋" w:eastAsia="仿宋" w:hAnsi="仿宋" w:cs="Times New Roman" w:hint="eastAsia"/>
          <w:sz w:val="32"/>
          <w:szCs w:val="32"/>
        </w:rPr>
        <w:t>轻中度</w:t>
      </w:r>
      <w:r w:rsidRPr="00136FBE">
        <w:rPr>
          <w:rFonts w:ascii="仿宋" w:eastAsia="仿宋" w:hAnsi="仿宋" w:cs="Times New Roman" w:hint="eastAsia"/>
          <w:sz w:val="32"/>
          <w:szCs w:val="32"/>
        </w:rPr>
        <w:t>输液反应的患者在接受纳武利尤单抗治疗时应密切监测，并依照输液反应</w:t>
      </w:r>
      <w:r w:rsidR="00EE767B" w:rsidRPr="00136FBE">
        <w:rPr>
          <w:rFonts w:ascii="仿宋" w:eastAsia="仿宋" w:hAnsi="仿宋" w:cs="Times New Roman" w:hint="eastAsia"/>
          <w:sz w:val="32"/>
          <w:szCs w:val="32"/>
        </w:rPr>
        <w:t>的</w:t>
      </w:r>
      <w:r w:rsidRPr="00136FBE">
        <w:rPr>
          <w:rFonts w:ascii="仿宋" w:eastAsia="仿宋" w:hAnsi="仿宋" w:cs="Times New Roman" w:hint="eastAsia"/>
          <w:sz w:val="32"/>
          <w:szCs w:val="32"/>
        </w:rPr>
        <w:t>治疗指南预防用药。如果出现重度或危及生命的输液反应，必须停止纳武利尤单抗治疗，给予适当的药物治疗。</w:t>
      </w:r>
    </w:p>
    <w:p w14:paraId="68E9E5FE" w14:textId="77777777" w:rsidR="006C7BCA" w:rsidRPr="00136FBE" w:rsidRDefault="006C7BCA" w:rsidP="006C7BCA">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4.纳武利尤单抗有可能会经母体传输至发育中的胎儿。不建议在妊娠期间、在不采用有效避孕措施的育龄期女性中使用纳武利尤单抗，除非临床获益大于潜在风险。应在最后一次应用纳武利尤单抗后至少5个月内采用有效避孕措施。无法排除会对新生儿/婴儿造成风险，在考虑母乳喂养对孩子的益处以及治疗对妇女的益处后，必须做出是停止母乳喂养还是停止纳武利尤单抗治疗的决定。</w:t>
      </w:r>
    </w:p>
    <w:p w14:paraId="702922FA" w14:textId="77777777" w:rsidR="006C7BCA" w:rsidRDefault="006C7BCA" w:rsidP="006C7BCA">
      <w:pPr>
        <w:spacing w:line="360" w:lineRule="auto"/>
        <w:ind w:firstLineChars="200" w:firstLine="640"/>
        <w:rPr>
          <w:rFonts w:ascii="仿宋" w:eastAsia="仿宋" w:hAnsi="仿宋" w:cs="Times New Roman"/>
          <w:sz w:val="32"/>
          <w:szCs w:val="32"/>
        </w:rPr>
      </w:pPr>
      <w:r w:rsidRPr="00136FBE">
        <w:rPr>
          <w:rFonts w:ascii="仿宋" w:eastAsia="仿宋" w:hAnsi="仿宋" w:cs="Times New Roman" w:hint="eastAsia"/>
          <w:sz w:val="32"/>
          <w:szCs w:val="32"/>
        </w:rPr>
        <w:t>5.尚未确立本品在18岁以下儿童中的安全性和疗效，在老年人群中无需调整剂量。</w:t>
      </w:r>
    </w:p>
    <w:p w14:paraId="752FCBA0" w14:textId="77777777" w:rsidR="00DA7731" w:rsidRPr="00136FBE" w:rsidRDefault="00DA7731" w:rsidP="00DA7731">
      <w:pPr>
        <w:spacing w:line="360" w:lineRule="auto"/>
        <w:ind w:firstLineChars="200" w:firstLine="640"/>
        <w:rPr>
          <w:rFonts w:ascii="仿宋" w:eastAsia="仿宋" w:hAnsi="仿宋" w:cs="Times New Roman"/>
          <w:sz w:val="32"/>
          <w:szCs w:val="32"/>
        </w:rPr>
      </w:pPr>
      <w:r w:rsidRPr="00DA7731">
        <w:rPr>
          <w:rFonts w:ascii="仿宋" w:eastAsia="仿宋" w:hAnsi="仿宋" w:cs="Times New Roman" w:hint="eastAsia"/>
          <w:sz w:val="32"/>
          <w:szCs w:val="32"/>
        </w:rPr>
        <w:t>6.轻或中度肾功能损伤患者无需调整剂量。重度肾功能损伤患者的数据有限。轻或中度肝功能损伤患者无需调整剂量，没有对重度肝功能损伤患者进行本品的相关研究，重度（总胆红素＞3倍ULN和任何AST）肝功能损伤患者必须慎用本品。</w:t>
      </w:r>
    </w:p>
    <w:p w14:paraId="45A3AE3D" w14:textId="77777777" w:rsidR="006C7BCA" w:rsidRDefault="00DA7731" w:rsidP="006C7BCA">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sidR="006C7BCA" w:rsidRPr="00136FBE">
        <w:rPr>
          <w:rFonts w:ascii="仿宋" w:eastAsia="仿宋" w:hAnsi="仿宋" w:cs="Times New Roman" w:hint="eastAsia"/>
          <w:sz w:val="32"/>
          <w:szCs w:val="32"/>
        </w:rPr>
        <w:t>.应避免在基线开始纳武利尤单抗治疗前使用全身性</w:t>
      </w:r>
      <w:r w:rsidR="006C7BCA" w:rsidRPr="00136FBE">
        <w:rPr>
          <w:rFonts w:ascii="仿宋" w:eastAsia="仿宋" w:hAnsi="仿宋" w:cs="Times New Roman" w:hint="eastAsia"/>
          <w:sz w:val="32"/>
          <w:szCs w:val="32"/>
        </w:rPr>
        <w:lastRenderedPageBreak/>
        <w:t>糖皮质激素及其他免疫抑制剂。</w:t>
      </w:r>
    </w:p>
    <w:p w14:paraId="33603067" w14:textId="77777777" w:rsidR="00780427" w:rsidRDefault="00780427" w:rsidP="00780427">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四、西妥昔单抗</w:t>
      </w:r>
      <w:r w:rsidRPr="00EE34E9">
        <w:rPr>
          <w:rFonts w:ascii="黑体" w:eastAsia="黑体" w:hAnsi="黑体" w:cs="黑体"/>
          <w:sz w:val="32"/>
          <w:szCs w:val="32"/>
        </w:rPr>
        <w:t>Cetuximab</w:t>
      </w:r>
    </w:p>
    <w:p w14:paraId="0C2DBBE2" w14:textId="77777777" w:rsidR="00780427" w:rsidRDefault="00780427" w:rsidP="00780427">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制剂与规格：</w:t>
      </w:r>
      <w:r w:rsidRPr="00136FBE">
        <w:rPr>
          <w:rFonts w:ascii="仿宋" w:eastAsia="仿宋" w:hAnsi="仿宋" w:cs="仿宋" w:hint="eastAsia"/>
          <w:sz w:val="32"/>
          <w:szCs w:val="32"/>
        </w:rPr>
        <w:t>注射液：</w:t>
      </w:r>
      <w:r w:rsidRPr="00136FBE">
        <w:rPr>
          <w:rFonts w:ascii="仿宋" w:eastAsia="仿宋" w:hAnsi="仿宋" w:cs="仿宋"/>
          <w:sz w:val="32"/>
          <w:szCs w:val="32"/>
        </w:rPr>
        <w:t>100mg</w:t>
      </w:r>
      <w:r w:rsidRPr="00136FBE">
        <w:rPr>
          <w:rFonts w:ascii="仿宋" w:eastAsia="仿宋" w:hAnsi="仿宋" w:cs="仿宋" w:hint="eastAsia"/>
          <w:sz w:val="32"/>
          <w:szCs w:val="32"/>
        </w:rPr>
        <w:t>（</w:t>
      </w:r>
      <w:r w:rsidRPr="00136FBE">
        <w:rPr>
          <w:rFonts w:ascii="仿宋" w:eastAsia="仿宋" w:hAnsi="仿宋" w:cs="仿宋"/>
          <w:sz w:val="32"/>
          <w:szCs w:val="32"/>
        </w:rPr>
        <w:t>20ml</w:t>
      </w:r>
      <w:r w:rsidRPr="00136FBE">
        <w:rPr>
          <w:rFonts w:ascii="仿宋" w:eastAsia="仿宋" w:hAnsi="仿宋" w:cs="仿宋" w:hint="eastAsia"/>
          <w:sz w:val="32"/>
          <w:szCs w:val="32"/>
        </w:rPr>
        <w:t>）</w:t>
      </w:r>
      <w:r w:rsidRPr="00136FBE">
        <w:rPr>
          <w:rFonts w:ascii="仿宋" w:eastAsia="仿宋" w:hAnsi="仿宋" w:cs="仿宋"/>
          <w:sz w:val="32"/>
          <w:szCs w:val="32"/>
        </w:rPr>
        <w:t>/</w:t>
      </w:r>
      <w:r w:rsidRPr="00136FBE">
        <w:rPr>
          <w:rFonts w:ascii="仿宋" w:eastAsia="仿宋" w:hAnsi="仿宋" w:cs="仿宋" w:hint="eastAsia"/>
          <w:sz w:val="32"/>
          <w:szCs w:val="32"/>
        </w:rPr>
        <w:t>瓶</w:t>
      </w:r>
    </w:p>
    <w:p w14:paraId="518D861F" w14:textId="77777777" w:rsidR="00780427" w:rsidRDefault="00780427" w:rsidP="0078042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适应证：</w:t>
      </w:r>
      <w:r>
        <w:rPr>
          <w:rFonts w:ascii="仿宋" w:eastAsia="仿宋" w:hAnsi="仿宋" w:cs="仿宋" w:hint="eastAsia"/>
          <w:sz w:val="32"/>
          <w:szCs w:val="32"/>
        </w:rPr>
        <w:t>本品用于治疗头颈部鳞状细胞癌：与铂类和氟尿嘧啶化疗联合用于一线治疗复发和/或转移性疾病。</w:t>
      </w:r>
    </w:p>
    <w:p w14:paraId="3D5F35DE" w14:textId="77777777" w:rsidR="00780427" w:rsidRDefault="00780427" w:rsidP="00780427">
      <w:pPr>
        <w:spacing w:line="360" w:lineRule="auto"/>
        <w:ind w:firstLineChars="200" w:firstLine="643"/>
        <w:rPr>
          <w:rFonts w:ascii="仿宋" w:eastAsia="仿宋" w:hAnsi="仿宋" w:cs="Times New Roman"/>
          <w:b/>
          <w:bCs/>
          <w:sz w:val="32"/>
          <w:szCs w:val="32"/>
        </w:rPr>
      </w:pPr>
      <w:r>
        <w:rPr>
          <w:rFonts w:ascii="仿宋" w:eastAsia="仿宋" w:hAnsi="仿宋" w:cs="仿宋" w:hint="eastAsia"/>
          <w:b/>
          <w:bCs/>
          <w:sz w:val="32"/>
          <w:szCs w:val="32"/>
        </w:rPr>
        <w:t>合理用药要点：</w:t>
      </w:r>
    </w:p>
    <w:p w14:paraId="08A260FD" w14:textId="77777777" w:rsidR="00780427"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本品必须在有抗肿瘤药物使用经验的医师指导下使用。在用药过程中及用药结束后1小时内，需密切监测患者的状况，并必须配备复苏设备。</w:t>
      </w:r>
    </w:p>
    <w:p w14:paraId="586F8D7F" w14:textId="77777777" w:rsidR="00780427"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2.</w:t>
      </w:r>
      <w:r w:rsidRPr="00136FBE">
        <w:rPr>
          <w:rFonts w:ascii="仿宋" w:eastAsia="仿宋" w:hAnsi="仿宋" w:cs="仿宋" w:hint="eastAsia"/>
          <w:sz w:val="32"/>
          <w:szCs w:val="32"/>
        </w:rPr>
        <w:t>本品应储存在</w:t>
      </w:r>
      <w:r w:rsidRPr="00136FBE">
        <w:rPr>
          <w:rFonts w:ascii="仿宋" w:eastAsia="仿宋" w:hAnsi="仿宋" w:cs="仿宋"/>
          <w:sz w:val="32"/>
          <w:szCs w:val="32"/>
        </w:rPr>
        <w:t>2</w:t>
      </w:r>
      <w:r w:rsidRPr="00136FBE">
        <w:rPr>
          <w:rFonts w:ascii="仿宋" w:eastAsia="仿宋" w:hAnsi="仿宋" w:cs="仿宋" w:hint="eastAsia"/>
          <w:sz w:val="32"/>
          <w:szCs w:val="32"/>
        </w:rPr>
        <w:t>～</w:t>
      </w:r>
      <w:r w:rsidRPr="00136FBE">
        <w:rPr>
          <w:rFonts w:ascii="仿宋" w:eastAsia="仿宋" w:hAnsi="仿宋" w:cs="仿宋"/>
          <w:sz w:val="32"/>
          <w:szCs w:val="32"/>
        </w:rPr>
        <w:t>8</w:t>
      </w:r>
      <w:r w:rsidRPr="00136FBE">
        <w:rPr>
          <w:rFonts w:ascii="仿宋" w:eastAsia="仿宋" w:hAnsi="仿宋" w:cs="仿宋" w:hint="eastAsia"/>
          <w:sz w:val="32"/>
          <w:szCs w:val="32"/>
        </w:rPr>
        <w:t>℃，</w:t>
      </w:r>
      <w:r>
        <w:rPr>
          <w:rFonts w:ascii="仿宋" w:eastAsia="仿宋" w:hAnsi="仿宋" w:cs="仿宋" w:hint="eastAsia"/>
          <w:sz w:val="32"/>
          <w:szCs w:val="32"/>
        </w:rPr>
        <w:t>开启后应立即使用，禁止冷冻。请置于儿童不可触及处。</w:t>
      </w:r>
    </w:p>
    <w:p w14:paraId="4A9414D5" w14:textId="77777777" w:rsidR="00780427"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在首次滴注本品之前至少1小时，患者必须接受抗组胺药物和/或糖皮质激素药物的预防用药。建议在后续治疗中，每次使用本品前都给予患者上述预防用药。</w:t>
      </w:r>
    </w:p>
    <w:p w14:paraId="2DF00519" w14:textId="77777777" w:rsidR="00780427"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4.</w:t>
      </w:r>
      <w:r>
        <w:rPr>
          <w:rFonts w:ascii="仿宋" w:eastAsia="仿宋" w:hAnsi="仿宋" w:cs="仿宋" w:hint="eastAsia"/>
          <w:sz w:val="32"/>
          <w:szCs w:val="32"/>
        </w:rPr>
        <w:t>所有适应证，本品每周给药一次。初始剂量按体表面积为4</w:t>
      </w:r>
      <w:r>
        <w:rPr>
          <w:rFonts w:ascii="仿宋" w:eastAsia="仿宋" w:hAnsi="仿宋" w:cs="仿宋"/>
          <w:sz w:val="32"/>
          <w:szCs w:val="32"/>
        </w:rPr>
        <w:t>00</w:t>
      </w:r>
      <w:r>
        <w:rPr>
          <w:rFonts w:ascii="仿宋" w:eastAsia="仿宋" w:hAnsi="仿宋" w:cs="仿宋" w:hint="eastAsia"/>
          <w:sz w:val="32"/>
          <w:szCs w:val="32"/>
        </w:rPr>
        <w:t>mg/㎡，之后每周给药剂量按体表面积为2</w:t>
      </w:r>
      <w:r>
        <w:rPr>
          <w:rFonts w:ascii="仿宋" w:eastAsia="仿宋" w:hAnsi="仿宋" w:cs="仿宋"/>
          <w:sz w:val="32"/>
          <w:szCs w:val="32"/>
        </w:rPr>
        <w:t>50</w:t>
      </w:r>
      <w:r>
        <w:rPr>
          <w:rFonts w:ascii="仿宋" w:eastAsia="仿宋" w:hAnsi="仿宋" w:cs="仿宋" w:hint="eastAsia"/>
          <w:sz w:val="32"/>
          <w:szCs w:val="32"/>
        </w:rPr>
        <w:t>mg</w:t>
      </w:r>
      <w:r>
        <w:rPr>
          <w:rFonts w:ascii="仿宋" w:eastAsia="仿宋" w:hAnsi="仿宋" w:cs="仿宋"/>
          <w:sz w:val="32"/>
          <w:szCs w:val="32"/>
        </w:rPr>
        <w:t>/</w:t>
      </w:r>
      <w:r>
        <w:rPr>
          <w:rFonts w:ascii="仿宋" w:eastAsia="仿宋" w:hAnsi="仿宋" w:cs="仿宋" w:hint="eastAsia"/>
          <w:sz w:val="32"/>
          <w:szCs w:val="32"/>
        </w:rPr>
        <w:t>㎡。</w:t>
      </w:r>
    </w:p>
    <w:p w14:paraId="6C006220" w14:textId="77777777" w:rsidR="00780427" w:rsidRDefault="00780427" w:rsidP="00780427">
      <w:pPr>
        <w:spacing w:line="360" w:lineRule="auto"/>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本品与铂类化合物为基础的化疗药物联合应用于复发和/或转移性头颈部鳞状细胞癌的治疗，随后继续使用本品进行维持治疗，直至疾病进展。化疗药物的使用必须在本品滴注结束1小时之后开始。</w:t>
      </w:r>
    </w:p>
    <w:p w14:paraId="65C161DB" w14:textId="77777777" w:rsidR="00780427" w:rsidRPr="00364974" w:rsidRDefault="00780427" w:rsidP="00780427">
      <w:pPr>
        <w:spacing w:line="360" w:lineRule="auto"/>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.无论</w:t>
      </w:r>
      <w:r>
        <w:rPr>
          <w:rFonts w:ascii="仿宋" w:eastAsia="仿宋" w:hAnsi="仿宋" w:cs="仿宋"/>
          <w:sz w:val="32"/>
          <w:szCs w:val="32"/>
        </w:rPr>
        <w:t>EGFR</w:t>
      </w:r>
      <w:r>
        <w:rPr>
          <w:rFonts w:ascii="仿宋" w:eastAsia="仿宋" w:hAnsi="仿宋" w:cs="仿宋" w:hint="eastAsia"/>
          <w:sz w:val="32"/>
          <w:szCs w:val="32"/>
        </w:rPr>
        <w:t>的表达状况如何，所有有效性终点均证实有临床获益。尚无证据证实E</w:t>
      </w:r>
      <w:r>
        <w:rPr>
          <w:rFonts w:ascii="仿宋" w:eastAsia="仿宋" w:hAnsi="仿宋" w:cs="仿宋"/>
          <w:sz w:val="32"/>
          <w:szCs w:val="32"/>
        </w:rPr>
        <w:t>GFR</w:t>
      </w:r>
      <w:r>
        <w:rPr>
          <w:rFonts w:ascii="仿宋" w:eastAsia="仿宋" w:hAnsi="仿宋" w:cs="仿宋" w:hint="eastAsia"/>
          <w:sz w:val="32"/>
          <w:szCs w:val="32"/>
        </w:rPr>
        <w:t>表达等相关标志物检测能</w:t>
      </w:r>
      <w:r>
        <w:rPr>
          <w:rFonts w:ascii="仿宋" w:eastAsia="仿宋" w:hAnsi="仿宋" w:cs="仿宋" w:hint="eastAsia"/>
          <w:sz w:val="32"/>
          <w:szCs w:val="32"/>
        </w:rPr>
        <w:lastRenderedPageBreak/>
        <w:t>预测本品在头颈部鳞状细胞癌患者中的疗效。</w:t>
      </w:r>
    </w:p>
    <w:p w14:paraId="46D3EEB1" w14:textId="77777777" w:rsidR="00780427" w:rsidRPr="00197C92"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7.EXTREME</w:t>
      </w:r>
      <w:r>
        <w:rPr>
          <w:rFonts w:ascii="仿宋" w:eastAsia="仿宋" w:hAnsi="仿宋" w:cs="仿宋" w:hint="eastAsia"/>
          <w:sz w:val="32"/>
          <w:szCs w:val="32"/>
        </w:rPr>
        <w:t>是一项纳入4</w:t>
      </w:r>
      <w:r>
        <w:rPr>
          <w:rFonts w:ascii="仿宋" w:eastAsia="仿宋" w:hAnsi="仿宋" w:cs="仿宋"/>
          <w:sz w:val="32"/>
          <w:szCs w:val="32"/>
        </w:rPr>
        <w:t>42</w:t>
      </w:r>
      <w:r>
        <w:rPr>
          <w:rFonts w:ascii="仿宋" w:eastAsia="仿宋" w:hAnsi="仿宋" w:cs="仿宋" w:hint="eastAsia"/>
          <w:sz w:val="32"/>
          <w:szCs w:val="32"/>
        </w:rPr>
        <w:t>例局部复发和/或转移性头颈部鳞状细胞癌患者的多中心Ⅲ研究。</w:t>
      </w:r>
      <w:r>
        <w:rPr>
          <w:rFonts w:ascii="仿宋" w:eastAsia="仿宋" w:hAnsi="仿宋" w:cs="仿宋"/>
          <w:sz w:val="32"/>
          <w:szCs w:val="32"/>
        </w:rPr>
        <w:t>CHANGE2</w:t>
      </w:r>
      <w:r>
        <w:rPr>
          <w:rFonts w:ascii="仿宋" w:eastAsia="仿宋" w:hAnsi="仿宋" w:cs="仿宋" w:hint="eastAsia"/>
          <w:sz w:val="32"/>
          <w:szCs w:val="32"/>
        </w:rPr>
        <w:t>是一线治疗中国头颈部复发性和/或转移性鳞状细胞癌患者的疗效和安全性的Ⅲ研究。中国研究（C</w:t>
      </w:r>
      <w:r>
        <w:rPr>
          <w:rFonts w:ascii="仿宋" w:eastAsia="仿宋" w:hAnsi="仿宋" w:cs="仿宋"/>
          <w:sz w:val="32"/>
          <w:szCs w:val="32"/>
        </w:rPr>
        <w:t>HANGE2</w:t>
      </w:r>
      <w:r>
        <w:rPr>
          <w:rFonts w:ascii="仿宋" w:eastAsia="仿宋" w:hAnsi="仿宋" w:cs="仿宋" w:hint="eastAsia"/>
          <w:sz w:val="32"/>
          <w:szCs w:val="32"/>
        </w:rPr>
        <w:t>）的有效性结果与全球研究（E</w:t>
      </w:r>
      <w:r>
        <w:rPr>
          <w:rFonts w:ascii="仿宋" w:eastAsia="仿宋" w:hAnsi="仿宋" w:cs="仿宋"/>
          <w:sz w:val="32"/>
          <w:szCs w:val="32"/>
        </w:rPr>
        <w:t>XTREME</w:t>
      </w:r>
      <w:r>
        <w:rPr>
          <w:rFonts w:ascii="仿宋" w:eastAsia="仿宋" w:hAnsi="仿宋" w:cs="仿宋" w:hint="eastAsia"/>
          <w:sz w:val="32"/>
          <w:szCs w:val="32"/>
        </w:rPr>
        <w:t>）结果一致。</w:t>
      </w:r>
    </w:p>
    <w:p w14:paraId="4B78D7DD" w14:textId="77777777" w:rsidR="00780427"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8.</w:t>
      </w:r>
      <w:r>
        <w:rPr>
          <w:rFonts w:ascii="仿宋" w:eastAsia="仿宋" w:hAnsi="仿宋" w:cs="仿宋" w:hint="eastAsia"/>
          <w:sz w:val="32"/>
          <w:szCs w:val="32"/>
        </w:rPr>
        <w:t>本品可使用输液泵、重力滴注或注射泵进行静脉给药。首次给药应缓慢，滴注速度不得超过5mg</w:t>
      </w:r>
      <w:r>
        <w:rPr>
          <w:rFonts w:ascii="仿宋" w:eastAsia="仿宋" w:hAnsi="仿宋" w:cs="仿宋"/>
          <w:sz w:val="32"/>
          <w:szCs w:val="32"/>
        </w:rPr>
        <w:t>/</w:t>
      </w:r>
      <w:r>
        <w:rPr>
          <w:rFonts w:ascii="仿宋" w:eastAsia="仿宋" w:hAnsi="仿宋" w:cs="仿宋" w:hint="eastAsia"/>
          <w:sz w:val="32"/>
          <w:szCs w:val="32"/>
        </w:rPr>
        <w:t>分钟。建议滴注时间为1</w:t>
      </w:r>
      <w:r>
        <w:rPr>
          <w:rFonts w:ascii="仿宋" w:eastAsia="仿宋" w:hAnsi="仿宋" w:cs="仿宋"/>
          <w:sz w:val="32"/>
          <w:szCs w:val="32"/>
        </w:rPr>
        <w:t>20</w:t>
      </w:r>
      <w:r>
        <w:rPr>
          <w:rFonts w:ascii="仿宋" w:eastAsia="仿宋" w:hAnsi="仿宋" w:cs="仿宋" w:hint="eastAsia"/>
          <w:sz w:val="32"/>
          <w:szCs w:val="32"/>
        </w:rPr>
        <w:t>分钟，随后每周给药的滴注时间为6</w:t>
      </w:r>
      <w:r>
        <w:rPr>
          <w:rFonts w:ascii="仿宋" w:eastAsia="仿宋" w:hAnsi="仿宋" w:cs="仿宋"/>
          <w:sz w:val="32"/>
          <w:szCs w:val="32"/>
        </w:rPr>
        <w:t>0</w:t>
      </w:r>
      <w:r>
        <w:rPr>
          <w:rFonts w:ascii="仿宋" w:eastAsia="仿宋" w:hAnsi="仿宋" w:cs="仿宋" w:hint="eastAsia"/>
          <w:sz w:val="32"/>
          <w:szCs w:val="32"/>
        </w:rPr>
        <w:t>分钟，滴注速度不得超过1</w:t>
      </w:r>
      <w:r>
        <w:rPr>
          <w:rFonts w:ascii="仿宋" w:eastAsia="仿宋" w:hAnsi="仿宋" w:cs="仿宋"/>
          <w:sz w:val="32"/>
          <w:szCs w:val="32"/>
        </w:rPr>
        <w:t>0</w:t>
      </w:r>
      <w:r>
        <w:rPr>
          <w:rFonts w:ascii="仿宋" w:eastAsia="仿宋" w:hAnsi="仿宋" w:cs="仿宋" w:hint="eastAsia"/>
          <w:sz w:val="32"/>
          <w:szCs w:val="32"/>
        </w:rPr>
        <w:t>mg</w:t>
      </w:r>
      <w:r>
        <w:rPr>
          <w:rFonts w:ascii="仿宋" w:eastAsia="仿宋" w:hAnsi="仿宋" w:cs="仿宋"/>
          <w:sz w:val="32"/>
          <w:szCs w:val="32"/>
        </w:rPr>
        <w:t>/</w:t>
      </w:r>
      <w:r>
        <w:rPr>
          <w:rFonts w:ascii="仿宋" w:eastAsia="仿宋" w:hAnsi="仿宋" w:cs="仿宋" w:hint="eastAsia"/>
          <w:sz w:val="32"/>
          <w:szCs w:val="32"/>
        </w:rPr>
        <w:t>分钟。</w:t>
      </w:r>
    </w:p>
    <w:p w14:paraId="75FE11C6" w14:textId="77777777" w:rsidR="00780427" w:rsidRDefault="00780427" w:rsidP="00780427">
      <w:pPr>
        <w:spacing w:line="360" w:lineRule="auto"/>
        <w:ind w:firstLineChars="200" w:firstLine="640"/>
        <w:rPr>
          <w:rFonts w:ascii="仿宋" w:eastAsia="仿宋" w:hAnsi="仿宋" w:cs="Times New Roman"/>
          <w:sz w:val="32"/>
          <w:szCs w:val="32"/>
        </w:rPr>
      </w:pPr>
      <w:r>
        <w:rPr>
          <w:rFonts w:ascii="仿宋" w:eastAsia="仿宋" w:hAnsi="仿宋" w:cs="仿宋"/>
          <w:sz w:val="32"/>
          <w:szCs w:val="32"/>
        </w:rPr>
        <w:t>9.</w:t>
      </w:r>
      <w:r>
        <w:rPr>
          <w:rFonts w:ascii="仿宋" w:eastAsia="仿宋" w:hAnsi="仿宋" w:cs="仿宋" w:hint="eastAsia"/>
          <w:sz w:val="32"/>
          <w:szCs w:val="32"/>
        </w:rPr>
        <w:t>本品的主要不良反应有皮肤反应，发生率约</w:t>
      </w:r>
      <w:r>
        <w:rPr>
          <w:rFonts w:ascii="仿宋" w:eastAsia="仿宋" w:hAnsi="仿宋" w:cs="仿宋"/>
          <w:sz w:val="32"/>
          <w:szCs w:val="32"/>
        </w:rPr>
        <w:t>80</w:t>
      </w:r>
      <w:r>
        <w:rPr>
          <w:rFonts w:ascii="仿宋" w:eastAsia="仿宋" w:hAnsi="仿宋" w:cs="仿宋" w:hint="eastAsia"/>
          <w:sz w:val="32"/>
          <w:szCs w:val="32"/>
        </w:rPr>
        <w:t>%以上，约超过1</w:t>
      </w:r>
      <w:r>
        <w:rPr>
          <w:rFonts w:ascii="仿宋" w:eastAsia="仿宋" w:hAnsi="仿宋" w:cs="仿宋"/>
          <w:sz w:val="32"/>
          <w:szCs w:val="32"/>
        </w:rPr>
        <w:t>0</w:t>
      </w:r>
      <w:r>
        <w:rPr>
          <w:rFonts w:ascii="仿宋" w:eastAsia="仿宋" w:hAnsi="仿宋" w:cs="仿宋" w:hint="eastAsia"/>
          <w:sz w:val="32"/>
          <w:szCs w:val="32"/>
        </w:rPr>
        <w:t>%的患者发生低镁血症，1</w:t>
      </w:r>
      <w:r>
        <w:rPr>
          <w:rFonts w:ascii="仿宋" w:eastAsia="仿宋" w:hAnsi="仿宋" w:cs="仿宋"/>
          <w:sz w:val="32"/>
          <w:szCs w:val="32"/>
        </w:rPr>
        <w:t>0</w:t>
      </w:r>
      <w:r>
        <w:rPr>
          <w:rFonts w:ascii="仿宋" w:eastAsia="仿宋" w:hAnsi="仿宋" w:cs="仿宋" w:hint="eastAsia"/>
          <w:sz w:val="32"/>
          <w:szCs w:val="32"/>
        </w:rPr>
        <w:t>%以上患者发生轻到中度的输液反应，1%以上的患者会发生重度输液反应。</w:t>
      </w:r>
    </w:p>
    <w:p w14:paraId="2EFCC6A0" w14:textId="77777777" w:rsidR="00780427" w:rsidRDefault="00780427" w:rsidP="00780427">
      <w:pPr>
        <w:spacing w:line="360" w:lineRule="auto"/>
        <w:ind w:firstLineChars="200" w:firstLine="640"/>
        <w:rPr>
          <w:rFonts w:ascii="仿宋" w:eastAsia="仿宋" w:hAnsi="仿宋" w:cs="仿宋"/>
          <w:sz w:val="32"/>
          <w:szCs w:val="32"/>
        </w:rPr>
      </w:pPr>
      <w:r>
        <w:rPr>
          <w:rFonts w:ascii="仿宋" w:eastAsia="仿宋" w:hAnsi="仿宋" w:cs="仿宋"/>
          <w:sz w:val="32"/>
          <w:szCs w:val="32"/>
        </w:rPr>
        <w:t>10.</w:t>
      </w:r>
      <w:r>
        <w:rPr>
          <w:rFonts w:ascii="仿宋" w:eastAsia="仿宋" w:hAnsi="仿宋" w:cs="仿宋" w:hint="eastAsia"/>
          <w:sz w:val="32"/>
          <w:szCs w:val="32"/>
        </w:rPr>
        <w:t>尚无儿童患者的用药经验，未确立本品在未满1</w:t>
      </w:r>
      <w:r>
        <w:rPr>
          <w:rFonts w:ascii="仿宋" w:eastAsia="仿宋" w:hAnsi="仿宋" w:cs="仿宋"/>
          <w:sz w:val="32"/>
          <w:szCs w:val="32"/>
        </w:rPr>
        <w:t>8</w:t>
      </w:r>
      <w:r>
        <w:rPr>
          <w:rFonts w:ascii="仿宋" w:eastAsia="仿宋" w:hAnsi="仿宋" w:cs="仿宋" w:hint="eastAsia"/>
          <w:sz w:val="32"/>
          <w:szCs w:val="32"/>
        </w:rPr>
        <w:t>岁患者中的有效性。老年患者无需调整剂量。7</w:t>
      </w:r>
      <w:r>
        <w:rPr>
          <w:rFonts w:ascii="仿宋" w:eastAsia="仿宋" w:hAnsi="仿宋" w:cs="仿宋"/>
          <w:sz w:val="32"/>
          <w:szCs w:val="32"/>
        </w:rPr>
        <w:t>5</w:t>
      </w:r>
      <w:r>
        <w:rPr>
          <w:rFonts w:ascii="仿宋" w:eastAsia="仿宋" w:hAnsi="仿宋" w:cs="仿宋" w:hint="eastAsia"/>
          <w:sz w:val="32"/>
          <w:szCs w:val="32"/>
        </w:rPr>
        <w:t>岁以上患者的用药经验有限。</w:t>
      </w:r>
    </w:p>
    <w:p w14:paraId="325CBEF8" w14:textId="77777777" w:rsidR="00780427" w:rsidRDefault="00780427" w:rsidP="00780427">
      <w:pPr>
        <w:spacing w:line="360" w:lineRule="auto"/>
        <w:ind w:firstLineChars="200" w:firstLine="640"/>
        <w:rPr>
          <w:rFonts w:ascii="仿宋" w:eastAsia="仿宋" w:hAnsi="仿宋" w:cs="仿宋"/>
          <w:sz w:val="32"/>
          <w:szCs w:val="32"/>
        </w:rPr>
      </w:pPr>
      <w:r>
        <w:rPr>
          <w:rFonts w:ascii="仿宋" w:eastAsia="仿宋" w:hAnsi="仿宋" w:cs="仿宋"/>
          <w:sz w:val="32"/>
          <w:szCs w:val="32"/>
        </w:rPr>
        <w:t>11.</w:t>
      </w:r>
      <w:r>
        <w:rPr>
          <w:rFonts w:ascii="仿宋" w:eastAsia="仿宋" w:hAnsi="仿宋" w:cs="仿宋" w:hint="eastAsia"/>
          <w:sz w:val="32"/>
          <w:szCs w:val="32"/>
        </w:rPr>
        <w:t>本品的药代动力学性质不会受种族、年龄、性别、肝肾状况的影响。到目前为止，仅对肝肾功能正常的患者进行过本品的相关研究。</w:t>
      </w:r>
    </w:p>
    <w:p w14:paraId="2B16F794" w14:textId="77777777" w:rsidR="00A408FA" w:rsidRPr="00197C92" w:rsidRDefault="00A408FA" w:rsidP="00780427">
      <w:pPr>
        <w:spacing w:line="360" w:lineRule="auto"/>
        <w:ind w:firstLineChars="200" w:firstLine="640"/>
        <w:rPr>
          <w:rFonts w:ascii="仿宋" w:eastAsia="仿宋" w:hAnsi="仿宋" w:cs="仿宋"/>
          <w:sz w:val="32"/>
          <w:szCs w:val="32"/>
        </w:rPr>
      </w:pPr>
    </w:p>
    <w:p w14:paraId="2B24A72F" w14:textId="77777777" w:rsidR="00B23A40" w:rsidRPr="00136FBE" w:rsidRDefault="00DD1A0D">
      <w:pPr>
        <w:spacing w:line="360" w:lineRule="auto"/>
        <w:ind w:firstLineChars="200" w:firstLine="883"/>
        <w:jc w:val="center"/>
        <w:rPr>
          <w:rFonts w:ascii="宋体" w:cs="Times New Roman"/>
          <w:b/>
          <w:bCs/>
          <w:sz w:val="44"/>
          <w:szCs w:val="44"/>
        </w:rPr>
      </w:pPr>
      <w:r w:rsidRPr="00136FBE">
        <w:rPr>
          <w:rFonts w:ascii="宋体" w:hAnsi="宋体" w:cs="宋体" w:hint="eastAsia"/>
          <w:b/>
          <w:bCs/>
          <w:sz w:val="44"/>
          <w:szCs w:val="44"/>
        </w:rPr>
        <w:t>生殖系统肿瘤用药</w:t>
      </w:r>
    </w:p>
    <w:p w14:paraId="382E7551" w14:textId="77777777" w:rsidR="00B23A40" w:rsidRPr="00136FBE" w:rsidRDefault="00B23A40">
      <w:pPr>
        <w:ind w:firstLineChars="200" w:firstLine="640"/>
        <w:rPr>
          <w:rFonts w:ascii="黑体" w:eastAsia="黑体" w:hAnsi="黑体"/>
          <w:color w:val="000000"/>
          <w:sz w:val="32"/>
          <w:szCs w:val="32"/>
        </w:rPr>
      </w:pPr>
    </w:p>
    <w:p w14:paraId="69576397" w14:textId="77777777" w:rsidR="006C7BCA" w:rsidRPr="00136FBE" w:rsidRDefault="006C7BCA" w:rsidP="006C7BCA">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lastRenderedPageBreak/>
        <w:t>一、奥拉帕利 O</w:t>
      </w:r>
      <w:r w:rsidRPr="00136FBE">
        <w:rPr>
          <w:rFonts w:ascii="黑体" w:eastAsia="黑体" w:hAnsi="黑体"/>
          <w:color w:val="000000"/>
          <w:sz w:val="32"/>
          <w:szCs w:val="32"/>
        </w:rPr>
        <w:t>laparib</w:t>
      </w:r>
    </w:p>
    <w:p w14:paraId="5894766A" w14:textId="77777777" w:rsidR="006C7BCA" w:rsidRPr="00136FBE" w:rsidRDefault="006C7BCA" w:rsidP="006C7BCA">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片剂：100mg、150mg</w:t>
      </w:r>
    </w:p>
    <w:p w14:paraId="528FA330" w14:textId="77777777" w:rsidR="006C7BCA" w:rsidRPr="00136FBE" w:rsidRDefault="006C7BCA" w:rsidP="006C7BCA">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p>
    <w:p w14:paraId="6B744ABE"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1.铂敏感的复发性上皮性卵巢癌、输卵管癌或原发性腹膜癌成人患者在含铂化疗达到完全缓解或部分缓解后的维持治疗。</w:t>
      </w:r>
    </w:p>
    <w:p w14:paraId="676440D9"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2.携带胚系或体细胞BRCA突变（</w:t>
      </w:r>
      <w:proofErr w:type="spellStart"/>
      <w:r w:rsidRPr="00136FBE">
        <w:rPr>
          <w:rFonts w:ascii="仿宋" w:eastAsia="仿宋" w:hAnsi="仿宋" w:hint="eastAsia"/>
          <w:color w:val="000000"/>
          <w:sz w:val="32"/>
          <w:szCs w:val="32"/>
        </w:rPr>
        <w:t>gBRCAm</w:t>
      </w:r>
      <w:proofErr w:type="spellEnd"/>
      <w:r w:rsidRPr="00136FBE">
        <w:rPr>
          <w:rFonts w:ascii="仿宋" w:eastAsia="仿宋" w:hAnsi="仿宋" w:hint="eastAsia"/>
          <w:color w:val="000000"/>
          <w:sz w:val="32"/>
          <w:szCs w:val="32"/>
        </w:rPr>
        <w:t>或</w:t>
      </w:r>
      <w:proofErr w:type="spellStart"/>
      <w:r w:rsidRPr="00136FBE">
        <w:rPr>
          <w:rFonts w:ascii="仿宋" w:eastAsia="仿宋" w:hAnsi="仿宋" w:hint="eastAsia"/>
          <w:color w:val="000000"/>
          <w:sz w:val="32"/>
          <w:szCs w:val="32"/>
        </w:rPr>
        <w:t>sBRCAm</w:t>
      </w:r>
      <w:proofErr w:type="spellEnd"/>
      <w:r w:rsidRPr="00136FBE">
        <w:rPr>
          <w:rFonts w:ascii="仿宋" w:eastAsia="仿宋" w:hAnsi="仿宋" w:hint="eastAsia"/>
          <w:color w:val="000000"/>
          <w:sz w:val="32"/>
          <w:szCs w:val="32"/>
        </w:rPr>
        <w:t>）晚期上皮性卵巢癌、输卵管癌或原发性腹膜癌初治成人患者在一线含铂化疗达到完全缓解或部分缓解后的维持治疗。</w:t>
      </w:r>
    </w:p>
    <w:p w14:paraId="0C18BF58"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3.合并同源重组修复缺陷（HRD阳性）晚期上皮性卵巢癌、输卵管癌或原发性腹膜癌初治成人患者在一线含铂化疗达到完全缓解或部分缓解后与</w:t>
      </w:r>
      <w:r w:rsidR="00AD5DAE">
        <w:rPr>
          <w:rFonts w:ascii="仿宋" w:eastAsia="仿宋" w:hAnsi="仿宋" w:hint="eastAsia"/>
          <w:color w:val="000000"/>
          <w:sz w:val="32"/>
          <w:szCs w:val="32"/>
        </w:rPr>
        <w:t>贝伐珠单抗</w:t>
      </w:r>
      <w:r w:rsidRPr="00136FBE">
        <w:rPr>
          <w:rFonts w:ascii="仿宋" w:eastAsia="仿宋" w:hAnsi="仿宋" w:hint="eastAsia"/>
          <w:color w:val="000000"/>
          <w:sz w:val="32"/>
          <w:szCs w:val="32"/>
        </w:rPr>
        <w:t>联合进行的维持治疗。</w:t>
      </w:r>
    </w:p>
    <w:p w14:paraId="2C7145C6"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4.治疗</w:t>
      </w:r>
      <w:r w:rsidRPr="00136FBE">
        <w:rPr>
          <w:rFonts w:ascii="仿宋" w:eastAsia="仿宋" w:hAnsi="仿宋"/>
          <w:color w:val="000000"/>
          <w:sz w:val="32"/>
          <w:szCs w:val="32"/>
        </w:rPr>
        <w:t>既往阿比特龙或恩扎卢胺治疗失败的同源重组修复（HRR）基因突变转移性去势抵抗前列腺癌（</w:t>
      </w:r>
      <w:proofErr w:type="spellStart"/>
      <w:r w:rsidRPr="00136FBE">
        <w:rPr>
          <w:rFonts w:ascii="仿宋" w:eastAsia="仿宋" w:hAnsi="仿宋"/>
          <w:color w:val="000000"/>
          <w:sz w:val="32"/>
          <w:szCs w:val="32"/>
        </w:rPr>
        <w:t>mCRPC</w:t>
      </w:r>
      <w:proofErr w:type="spellEnd"/>
      <w:r w:rsidRPr="00136FBE">
        <w:rPr>
          <w:rFonts w:ascii="仿宋" w:eastAsia="仿宋" w:hAnsi="仿宋"/>
          <w:color w:val="000000"/>
          <w:sz w:val="32"/>
          <w:szCs w:val="32"/>
        </w:rPr>
        <w:t>）患者</w:t>
      </w:r>
      <w:r w:rsidRPr="00136FBE">
        <w:rPr>
          <w:rFonts w:ascii="仿宋" w:eastAsia="仿宋" w:hAnsi="仿宋" w:hint="eastAsia"/>
          <w:color w:val="000000"/>
          <w:sz w:val="32"/>
          <w:szCs w:val="32"/>
        </w:rPr>
        <w:t>的治疗。</w:t>
      </w:r>
    </w:p>
    <w:p w14:paraId="108E7641"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5.携带胚系</w:t>
      </w:r>
      <w:r w:rsidRPr="00136FBE">
        <w:rPr>
          <w:rFonts w:ascii="仿宋" w:eastAsia="仿宋" w:hAnsi="仿宋"/>
          <w:color w:val="000000"/>
          <w:sz w:val="32"/>
          <w:szCs w:val="32"/>
        </w:rPr>
        <w:t>BRCA</w:t>
      </w:r>
      <w:r w:rsidRPr="00136FBE">
        <w:rPr>
          <w:rFonts w:ascii="仿宋" w:eastAsia="仿宋" w:hAnsi="仿宋" w:hint="eastAsia"/>
          <w:color w:val="000000"/>
          <w:sz w:val="32"/>
          <w:szCs w:val="32"/>
        </w:rPr>
        <w:t>突变且H</w:t>
      </w:r>
      <w:r w:rsidRPr="00136FBE">
        <w:rPr>
          <w:rFonts w:ascii="仿宋" w:eastAsia="仿宋" w:hAnsi="仿宋"/>
          <w:color w:val="000000"/>
          <w:sz w:val="32"/>
          <w:szCs w:val="32"/>
        </w:rPr>
        <w:t>ER2</w:t>
      </w:r>
      <w:r w:rsidRPr="00136FBE">
        <w:rPr>
          <w:rFonts w:ascii="仿宋" w:eastAsia="仿宋" w:hAnsi="仿宋" w:hint="eastAsia"/>
          <w:color w:val="000000"/>
          <w:sz w:val="32"/>
          <w:szCs w:val="32"/>
        </w:rPr>
        <w:t>阴性，既往在新辅助，辅助或解救治疗阶段接受过化疗的转移性乳腺癌以及H</w:t>
      </w:r>
      <w:r w:rsidRPr="00136FBE">
        <w:rPr>
          <w:rFonts w:ascii="仿宋" w:eastAsia="仿宋" w:hAnsi="仿宋"/>
          <w:color w:val="000000"/>
          <w:sz w:val="32"/>
          <w:szCs w:val="32"/>
        </w:rPr>
        <w:t>R</w:t>
      </w:r>
      <w:r w:rsidRPr="00136FBE">
        <w:rPr>
          <w:rFonts w:ascii="仿宋" w:eastAsia="仿宋" w:hAnsi="仿宋" w:hint="eastAsia"/>
          <w:color w:val="000000"/>
          <w:sz w:val="32"/>
          <w:szCs w:val="32"/>
        </w:rPr>
        <w:t>阳性的乳腺癌患者曾接受过内分泌治疗且被认为不再适合继续接受内分泌治疗。</w:t>
      </w:r>
    </w:p>
    <w:p w14:paraId="445B4D5E" w14:textId="77777777" w:rsidR="006C7BCA" w:rsidRPr="00136FBE" w:rsidRDefault="006C7BCA" w:rsidP="006C7BCA">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7DB3DA00"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1.推荐剂量为每次300mg，</w:t>
      </w:r>
      <w:r w:rsidR="00EE767B" w:rsidRPr="00136FBE">
        <w:rPr>
          <w:rFonts w:ascii="仿宋" w:eastAsia="仿宋" w:hAnsi="仿宋" w:hint="eastAsia"/>
          <w:color w:val="000000"/>
          <w:sz w:val="32"/>
          <w:szCs w:val="32"/>
        </w:rPr>
        <w:t>每日两次</w:t>
      </w:r>
      <w:r w:rsidRPr="00136FBE">
        <w:rPr>
          <w:rFonts w:ascii="仿宋" w:eastAsia="仿宋" w:hAnsi="仿宋" w:hint="eastAsia"/>
          <w:color w:val="000000"/>
          <w:sz w:val="32"/>
          <w:szCs w:val="32"/>
        </w:rPr>
        <w:t>，即每日总剂量为</w:t>
      </w:r>
      <w:r w:rsidRPr="00136FBE">
        <w:rPr>
          <w:rFonts w:ascii="仿宋" w:eastAsia="仿宋" w:hAnsi="仿宋" w:hint="eastAsia"/>
          <w:color w:val="000000"/>
          <w:sz w:val="32"/>
          <w:szCs w:val="32"/>
        </w:rPr>
        <w:lastRenderedPageBreak/>
        <w:t>600mg，应在含铂化疗结束后的8周内开始本品治疗，对于复发性卵巢癌持续治疗直至疾病进展或发生不可接受的毒性反应，对于新诊断卵巢癌可持续治疗至疾病进展、发生不可耐受的毒性反应或完成2年治疗，2年治疗后，完全缓解（影像学无肿瘤证据）的患者应停止治疗，影像学显示有肿瘤且临床医师认为患者能从持续治疗中进一步获益的情况下可以继续治疗超过2年。</w:t>
      </w:r>
    </w:p>
    <w:p w14:paraId="77BF1D72"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2.应整片吞服，不应咀嚼、压碎、溶解或掰断药片。在进餐或空腹时均可服用。</w:t>
      </w:r>
    </w:p>
    <w:p w14:paraId="79D98A88"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3.如果患者漏服一剂药物，无需补服，仍按计划时间正常服用下一剂量，并不影响整体疗效。</w:t>
      </w:r>
    </w:p>
    <w:p w14:paraId="29A487CE"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4.患者应在既往抗肿瘤治疗引起的血液学毒性恢复之后（血红蛋白、血小板和中性粒细胞水平应恢复至≤CTCAE 1级），才开始本品治疗。在治疗最初的12个月内，推荐在基线进行全血细胞检测，随后每月</w:t>
      </w:r>
      <w:r w:rsidR="00EE767B" w:rsidRPr="00136FBE">
        <w:rPr>
          <w:rFonts w:ascii="仿宋" w:eastAsia="仿宋" w:hAnsi="仿宋" w:hint="eastAsia"/>
          <w:color w:val="000000"/>
          <w:sz w:val="32"/>
          <w:szCs w:val="32"/>
        </w:rPr>
        <w:t>检</w:t>
      </w:r>
      <w:r w:rsidRPr="00136FBE">
        <w:rPr>
          <w:rFonts w:ascii="仿宋" w:eastAsia="仿宋" w:hAnsi="仿宋" w:hint="eastAsia"/>
          <w:color w:val="000000"/>
          <w:sz w:val="32"/>
          <w:szCs w:val="32"/>
        </w:rPr>
        <w:t>测一次，之后定期监测治疗期间出现的具有临床意义的参数变化。</w:t>
      </w:r>
    </w:p>
    <w:p w14:paraId="27FAC22E"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用药期间常见的各类不良反应为贫血、血小板减少、中性粒细胞下降、恶心、呕吐、腹泻、上呼吸道感染、疲乏、食欲下降、关节痛、肌痛、味觉障碍和头痛等，其中发生率最高的不良反应依次为恶心、疲乏和贫血，大多为1～2级不良反应，3～4级的贫血发生率为20%。</w:t>
      </w:r>
    </w:p>
    <w:p w14:paraId="59F8181B"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6.3～4级不良反应可通过剂量中断来管理。待症状恢复</w:t>
      </w:r>
      <w:r w:rsidRPr="00136FBE">
        <w:rPr>
          <w:rFonts w:ascii="仿宋" w:eastAsia="仿宋" w:hAnsi="仿宋" w:hint="eastAsia"/>
          <w:color w:val="000000"/>
          <w:sz w:val="32"/>
          <w:szCs w:val="32"/>
        </w:rPr>
        <w:lastRenderedPageBreak/>
        <w:t>至≤1级时，重新开始原剂量或减量治疗。</w:t>
      </w:r>
    </w:p>
    <w:p w14:paraId="1DC1A2E5"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7.如果需要减量，推荐剂量减至每次250mg（1片150mg片剂，1片100mg片剂），每日两次，即每日总剂量为500mg。如果需要进一步减量，则推荐剂量减至每次200mg（2片100mg片剂），每日两次，即每日总剂量为400mg。</w:t>
      </w:r>
    </w:p>
    <w:p w14:paraId="2892F1ED" w14:textId="77777777" w:rsidR="006C7BCA" w:rsidRPr="00136FBE" w:rsidRDefault="006C7BCA" w:rsidP="006C7BCA">
      <w:pPr>
        <w:spacing w:line="360" w:lineRule="auto"/>
        <w:ind w:firstLineChars="181" w:firstLine="579"/>
      </w:pPr>
      <w:r w:rsidRPr="00136FBE">
        <w:rPr>
          <w:rFonts w:ascii="仿宋" w:eastAsia="仿宋" w:hAnsi="仿宋" w:hint="eastAsia"/>
          <w:color w:val="000000"/>
          <w:sz w:val="32"/>
          <w:szCs w:val="32"/>
        </w:rPr>
        <w:t>8.不推荐本品与强效或中效CYP3A抑制剂合并使用，如果必须合并使用强效或中效CYP3A抑制剂，推荐将本品剂量减至100mg，</w:t>
      </w:r>
      <w:r w:rsidR="00EE767B" w:rsidRPr="00136FBE">
        <w:rPr>
          <w:rFonts w:ascii="仿宋" w:eastAsia="仿宋" w:hAnsi="仿宋" w:hint="eastAsia"/>
          <w:color w:val="000000"/>
          <w:sz w:val="32"/>
          <w:szCs w:val="32"/>
        </w:rPr>
        <w:t>每日两次</w:t>
      </w:r>
      <w:r w:rsidRPr="00136FBE">
        <w:rPr>
          <w:rFonts w:ascii="仿宋" w:eastAsia="仿宋" w:hAnsi="仿宋" w:hint="eastAsia"/>
          <w:color w:val="000000"/>
          <w:sz w:val="32"/>
          <w:szCs w:val="32"/>
        </w:rPr>
        <w:t>，如果必须合并使用中效CYP3A抑制剂，推荐将本品剂量减至150mg，</w:t>
      </w:r>
      <w:r w:rsidR="00EE767B" w:rsidRPr="00136FBE">
        <w:rPr>
          <w:rFonts w:ascii="仿宋" w:eastAsia="仿宋" w:hAnsi="仿宋" w:hint="eastAsia"/>
          <w:color w:val="000000"/>
          <w:sz w:val="32"/>
          <w:szCs w:val="32"/>
        </w:rPr>
        <w:t>每日两次</w:t>
      </w:r>
      <w:r w:rsidRPr="00136FBE">
        <w:rPr>
          <w:rFonts w:ascii="仿宋" w:eastAsia="仿宋" w:hAnsi="仿宋" w:hint="eastAsia"/>
          <w:color w:val="000000"/>
          <w:sz w:val="32"/>
          <w:szCs w:val="32"/>
        </w:rPr>
        <w:t>。</w:t>
      </w:r>
    </w:p>
    <w:p w14:paraId="2857D68F" w14:textId="77777777" w:rsidR="006C7BCA" w:rsidRPr="00136FBE" w:rsidRDefault="006C7BCA" w:rsidP="006C7BCA">
      <w:pPr>
        <w:spacing w:line="360" w:lineRule="auto"/>
        <w:ind w:firstLineChars="200" w:firstLine="640"/>
        <w:rPr>
          <w:rFonts w:ascii="黑体" w:eastAsia="黑体" w:hAnsi="黑体"/>
          <w:color w:val="000000"/>
          <w:sz w:val="32"/>
          <w:szCs w:val="32"/>
        </w:rPr>
      </w:pPr>
      <w:r w:rsidRPr="00136FBE">
        <w:rPr>
          <w:rFonts w:ascii="黑体" w:eastAsia="黑体" w:hAnsi="黑体" w:hint="eastAsia"/>
          <w:color w:val="000000"/>
          <w:sz w:val="32"/>
          <w:szCs w:val="32"/>
        </w:rPr>
        <w:t>二、尼拉帕利 Niraparib</w:t>
      </w:r>
    </w:p>
    <w:p w14:paraId="4CCEEE09" w14:textId="77777777" w:rsidR="006C7BCA" w:rsidRPr="00136FBE" w:rsidRDefault="006C7BCA" w:rsidP="006C7BCA">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制剂与规格：</w:t>
      </w:r>
      <w:r w:rsidRPr="00136FBE">
        <w:rPr>
          <w:rFonts w:ascii="仿宋" w:eastAsia="仿宋" w:hAnsi="仿宋" w:hint="eastAsia"/>
          <w:color w:val="000000"/>
          <w:sz w:val="32"/>
          <w:szCs w:val="32"/>
        </w:rPr>
        <w:t>胶囊：100mg</w:t>
      </w:r>
    </w:p>
    <w:p w14:paraId="398EB10D" w14:textId="77777777" w:rsidR="006C7BCA" w:rsidRPr="00136FBE" w:rsidRDefault="006C7BCA" w:rsidP="006C7BCA">
      <w:pPr>
        <w:spacing w:line="360" w:lineRule="auto"/>
        <w:ind w:firstLineChars="200" w:firstLine="643"/>
        <w:rPr>
          <w:rFonts w:ascii="仿宋" w:eastAsia="仿宋" w:hAnsi="仿宋"/>
          <w:color w:val="000000"/>
          <w:sz w:val="32"/>
          <w:szCs w:val="32"/>
        </w:rPr>
      </w:pPr>
      <w:r w:rsidRPr="00136FBE">
        <w:rPr>
          <w:rFonts w:ascii="仿宋" w:eastAsia="仿宋" w:hAnsi="仿宋" w:hint="eastAsia"/>
          <w:b/>
          <w:color w:val="000000"/>
          <w:sz w:val="32"/>
          <w:szCs w:val="32"/>
        </w:rPr>
        <w:t>适应证：</w:t>
      </w:r>
      <w:r w:rsidRPr="00136FBE">
        <w:rPr>
          <w:rFonts w:ascii="仿宋" w:eastAsia="仿宋" w:hAnsi="仿宋" w:hint="eastAsia"/>
          <w:color w:val="000000"/>
          <w:sz w:val="32"/>
          <w:szCs w:val="32"/>
        </w:rPr>
        <w:t>铂敏感的复发性上皮性卵巢癌、输卵管癌或原发性腹膜癌成人患者在含铂化疗达到完全缓解或部分缓解后的维持治疗。</w:t>
      </w:r>
    </w:p>
    <w:p w14:paraId="322B1B23" w14:textId="77777777" w:rsidR="006C7BCA" w:rsidRPr="00136FBE" w:rsidRDefault="006C7BCA" w:rsidP="006C7BCA">
      <w:pPr>
        <w:spacing w:line="360" w:lineRule="auto"/>
        <w:ind w:firstLineChars="200" w:firstLine="643"/>
        <w:rPr>
          <w:rFonts w:ascii="仿宋" w:eastAsia="仿宋" w:hAnsi="仿宋"/>
          <w:b/>
          <w:color w:val="000000"/>
          <w:sz w:val="32"/>
          <w:szCs w:val="32"/>
        </w:rPr>
      </w:pPr>
      <w:r w:rsidRPr="00136FBE">
        <w:rPr>
          <w:rFonts w:ascii="仿宋" w:eastAsia="仿宋" w:hAnsi="仿宋" w:hint="eastAsia"/>
          <w:b/>
          <w:color w:val="000000"/>
          <w:sz w:val="32"/>
          <w:szCs w:val="32"/>
        </w:rPr>
        <w:t>合理用药要点：</w:t>
      </w:r>
    </w:p>
    <w:p w14:paraId="3ABCD845"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1.推荐剂量为每次300mg，</w:t>
      </w:r>
      <w:r w:rsidR="00EE767B" w:rsidRPr="00136FBE">
        <w:rPr>
          <w:rFonts w:ascii="仿宋" w:eastAsia="仿宋" w:hAnsi="仿宋" w:hint="eastAsia"/>
          <w:color w:val="000000"/>
          <w:sz w:val="32"/>
          <w:szCs w:val="32"/>
        </w:rPr>
        <w:t>每日一次</w:t>
      </w:r>
      <w:r w:rsidRPr="00136FBE">
        <w:rPr>
          <w:rFonts w:ascii="仿宋" w:eastAsia="仿宋" w:hAnsi="仿宋" w:hint="eastAsia"/>
          <w:color w:val="000000"/>
          <w:sz w:val="32"/>
          <w:szCs w:val="32"/>
        </w:rPr>
        <w:t>，应在含铂化疗结束后的8周内开始本品治疗，持续治疗直至疾病进展或发生不可耐受的毒性反应。对于基线体重＜</w:t>
      </w:r>
      <w:r w:rsidRPr="00136FBE">
        <w:rPr>
          <w:rFonts w:ascii="仿宋" w:eastAsia="仿宋" w:hAnsi="仿宋"/>
          <w:color w:val="000000"/>
          <w:sz w:val="32"/>
          <w:szCs w:val="32"/>
        </w:rPr>
        <w:t>77</w:t>
      </w:r>
      <w:r w:rsidRPr="00136FBE">
        <w:rPr>
          <w:rFonts w:ascii="仿宋" w:eastAsia="仿宋" w:hAnsi="仿宋" w:hint="eastAsia"/>
          <w:color w:val="000000"/>
          <w:sz w:val="32"/>
          <w:szCs w:val="32"/>
        </w:rPr>
        <w:t>kg或基线血小板计数＜1</w:t>
      </w:r>
      <w:r w:rsidRPr="00136FBE">
        <w:rPr>
          <w:rFonts w:ascii="仿宋" w:eastAsia="仿宋" w:hAnsi="仿宋"/>
          <w:color w:val="000000"/>
          <w:sz w:val="32"/>
          <w:szCs w:val="32"/>
        </w:rPr>
        <w:t>50</w:t>
      </w:r>
      <w:r w:rsidRPr="00136FBE">
        <w:rPr>
          <w:rFonts w:ascii="仿宋" w:eastAsia="仿宋" w:hAnsi="仿宋" w:hint="eastAsia"/>
          <w:color w:val="000000"/>
          <w:sz w:val="32"/>
          <w:szCs w:val="32"/>
        </w:rPr>
        <w:t>.0×</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的患者，推荐2</w:t>
      </w:r>
      <w:r w:rsidRPr="00136FBE">
        <w:rPr>
          <w:rFonts w:ascii="仿宋" w:eastAsia="仿宋" w:hAnsi="仿宋"/>
          <w:color w:val="000000"/>
          <w:sz w:val="32"/>
          <w:szCs w:val="32"/>
        </w:rPr>
        <w:t>00</w:t>
      </w:r>
      <w:r w:rsidRPr="00136FBE">
        <w:rPr>
          <w:rFonts w:ascii="仿宋" w:eastAsia="仿宋" w:hAnsi="仿宋" w:hint="eastAsia"/>
          <w:color w:val="000000"/>
          <w:sz w:val="32"/>
          <w:szCs w:val="32"/>
        </w:rPr>
        <w:t>mg作为起始剂量。</w:t>
      </w:r>
    </w:p>
    <w:p w14:paraId="79C19EA3"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2.在每天大致相同时间服用，应整粒吞服，不应溶解或打开胶囊。在进餐或空腹时均可服用。睡前给药可能会</w:t>
      </w:r>
      <w:r w:rsidR="00EE767B" w:rsidRPr="00136FBE">
        <w:rPr>
          <w:rFonts w:ascii="仿宋" w:eastAsia="仿宋" w:hAnsi="仿宋" w:hint="eastAsia"/>
          <w:color w:val="000000"/>
          <w:sz w:val="32"/>
          <w:szCs w:val="32"/>
        </w:rPr>
        <w:t>有利于</w:t>
      </w:r>
      <w:r w:rsidRPr="00136FBE">
        <w:rPr>
          <w:rFonts w:ascii="仿宋" w:eastAsia="仿宋" w:hAnsi="仿宋" w:hint="eastAsia"/>
          <w:color w:val="000000"/>
          <w:sz w:val="32"/>
          <w:szCs w:val="32"/>
        </w:rPr>
        <w:t>控制恶心。</w:t>
      </w:r>
    </w:p>
    <w:p w14:paraId="13EFCFAC"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3.如果患者呕吐或漏服一剂药物，不应补服，而应在第二天的常规时间服用下一次处方剂量。</w:t>
      </w:r>
    </w:p>
    <w:p w14:paraId="71FEC815"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4.患者应在既往抗肿瘤治疗引起的血液学毒性恢复之后（基线血液学参数必须符合以下标准：中性粒细胞绝对数≥1</w:t>
      </w:r>
      <w:r w:rsidRPr="00136FBE">
        <w:rPr>
          <w:rFonts w:ascii="仿宋" w:eastAsia="仿宋" w:hAnsi="仿宋"/>
          <w:color w:val="000000"/>
          <w:sz w:val="32"/>
          <w:szCs w:val="32"/>
        </w:rPr>
        <w:t>.5</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，血小板≥1</w:t>
      </w:r>
      <w:r w:rsidRPr="00136FBE">
        <w:rPr>
          <w:rFonts w:ascii="仿宋" w:eastAsia="仿宋" w:hAnsi="仿宋"/>
          <w:color w:val="000000"/>
          <w:sz w:val="32"/>
          <w:szCs w:val="32"/>
        </w:rPr>
        <w:t>00</w:t>
      </w:r>
      <w:r w:rsidRPr="00136FBE">
        <w:rPr>
          <w:rFonts w:ascii="仿宋" w:eastAsia="仿宋" w:hAnsi="仿宋" w:hint="eastAsia"/>
          <w:color w:val="000000"/>
          <w:sz w:val="32"/>
          <w:szCs w:val="32"/>
        </w:rPr>
        <w:t>.0×</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，且血红蛋白≥9</w:t>
      </w:r>
      <w:r w:rsidRPr="00136FBE">
        <w:rPr>
          <w:rFonts w:ascii="仿宋" w:eastAsia="仿宋" w:hAnsi="仿宋"/>
          <w:color w:val="000000"/>
          <w:sz w:val="32"/>
          <w:szCs w:val="32"/>
        </w:rPr>
        <w:t>0</w:t>
      </w:r>
      <w:r w:rsidRPr="00136FBE">
        <w:rPr>
          <w:rFonts w:ascii="仿宋" w:eastAsia="仿宋" w:hAnsi="仿宋" w:hint="eastAsia"/>
          <w:color w:val="000000"/>
          <w:sz w:val="32"/>
          <w:szCs w:val="32"/>
        </w:rPr>
        <w:t>.0g</w:t>
      </w:r>
      <w:r w:rsidRPr="00136FBE">
        <w:rPr>
          <w:rFonts w:ascii="仿宋" w:eastAsia="仿宋" w:hAnsi="仿宋"/>
          <w:color w:val="000000"/>
          <w:sz w:val="32"/>
          <w:szCs w:val="32"/>
        </w:rPr>
        <w:t>/</w:t>
      </w:r>
      <w:r w:rsidRPr="00136FBE">
        <w:rPr>
          <w:rFonts w:ascii="仿宋" w:eastAsia="仿宋" w:hAnsi="仿宋" w:hint="eastAsia"/>
          <w:color w:val="000000"/>
          <w:sz w:val="32"/>
          <w:szCs w:val="32"/>
        </w:rPr>
        <w:t>L），才开始本品治疗。在治疗最初的</w:t>
      </w:r>
      <w:r w:rsidRPr="00136FBE">
        <w:rPr>
          <w:rFonts w:ascii="仿宋" w:eastAsia="仿宋" w:hAnsi="仿宋"/>
          <w:color w:val="000000"/>
          <w:sz w:val="32"/>
          <w:szCs w:val="32"/>
        </w:rPr>
        <w:t>12</w:t>
      </w:r>
      <w:r w:rsidRPr="00136FBE">
        <w:rPr>
          <w:rFonts w:ascii="仿宋" w:eastAsia="仿宋" w:hAnsi="仿宋" w:hint="eastAsia"/>
          <w:color w:val="000000"/>
          <w:sz w:val="32"/>
          <w:szCs w:val="32"/>
        </w:rPr>
        <w:t>个月内，推荐第一个月内每周</w:t>
      </w:r>
      <w:r w:rsidR="00326050" w:rsidRPr="00136FBE">
        <w:rPr>
          <w:rFonts w:ascii="仿宋" w:eastAsia="仿宋" w:hAnsi="仿宋" w:hint="eastAsia"/>
          <w:color w:val="000000"/>
          <w:sz w:val="32"/>
          <w:szCs w:val="32"/>
        </w:rPr>
        <w:t>检</w:t>
      </w:r>
      <w:r w:rsidRPr="00136FBE">
        <w:rPr>
          <w:rFonts w:ascii="仿宋" w:eastAsia="仿宋" w:hAnsi="仿宋" w:hint="eastAsia"/>
          <w:color w:val="000000"/>
          <w:sz w:val="32"/>
          <w:szCs w:val="32"/>
        </w:rPr>
        <w:t>测一次全血细胞计数，随后每月</w:t>
      </w:r>
      <w:r w:rsidR="00326050" w:rsidRPr="00136FBE">
        <w:rPr>
          <w:rFonts w:ascii="仿宋" w:eastAsia="仿宋" w:hAnsi="仿宋" w:hint="eastAsia"/>
          <w:color w:val="000000"/>
          <w:sz w:val="32"/>
          <w:szCs w:val="32"/>
        </w:rPr>
        <w:t>检</w:t>
      </w:r>
      <w:r w:rsidRPr="00136FBE">
        <w:rPr>
          <w:rFonts w:ascii="仿宋" w:eastAsia="仿宋" w:hAnsi="仿宋" w:hint="eastAsia"/>
          <w:color w:val="000000"/>
          <w:sz w:val="32"/>
          <w:szCs w:val="32"/>
        </w:rPr>
        <w:t>测一次全血细胞计数，1年后定期</w:t>
      </w:r>
      <w:r w:rsidR="00326050" w:rsidRPr="00136FBE">
        <w:rPr>
          <w:rFonts w:ascii="仿宋" w:eastAsia="仿宋" w:hAnsi="仿宋" w:hint="eastAsia"/>
          <w:color w:val="000000"/>
          <w:sz w:val="32"/>
          <w:szCs w:val="32"/>
        </w:rPr>
        <w:t>检</w:t>
      </w:r>
      <w:r w:rsidRPr="00136FBE">
        <w:rPr>
          <w:rFonts w:ascii="仿宋" w:eastAsia="仿宋" w:hAnsi="仿宋" w:hint="eastAsia"/>
          <w:color w:val="000000"/>
          <w:sz w:val="32"/>
          <w:szCs w:val="32"/>
        </w:rPr>
        <w:t>测。根据个体实验室检测值，可能需要在第二个月内每周一次进行</w:t>
      </w:r>
      <w:r w:rsidR="00326050" w:rsidRPr="00136FBE">
        <w:rPr>
          <w:rFonts w:ascii="仿宋" w:eastAsia="仿宋" w:hAnsi="仿宋" w:hint="eastAsia"/>
          <w:color w:val="000000"/>
          <w:sz w:val="32"/>
          <w:szCs w:val="32"/>
        </w:rPr>
        <w:t>检</w:t>
      </w:r>
      <w:r w:rsidRPr="00136FBE">
        <w:rPr>
          <w:rFonts w:ascii="仿宋" w:eastAsia="仿宋" w:hAnsi="仿宋" w:hint="eastAsia"/>
          <w:color w:val="000000"/>
          <w:sz w:val="32"/>
          <w:szCs w:val="32"/>
        </w:rPr>
        <w:t>测。</w:t>
      </w:r>
    </w:p>
    <w:p w14:paraId="564EBC39"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5.用药期间常见的各类不良反应为贫血、血小板减少症、中性粒细胞减少症、心悸、恶心、呕吐、腹泻、便秘、腹痛/腹胀、消化不良、口干、疲乏、食欲减退、泌尿系统感染、A</w:t>
      </w:r>
      <w:r w:rsidRPr="00136FBE">
        <w:rPr>
          <w:rFonts w:ascii="仿宋" w:eastAsia="仿宋" w:hAnsi="仿宋"/>
          <w:color w:val="000000"/>
          <w:sz w:val="32"/>
          <w:szCs w:val="32"/>
        </w:rPr>
        <w:t>ST/ALT</w:t>
      </w:r>
      <w:r w:rsidRPr="00136FBE">
        <w:rPr>
          <w:rFonts w:ascii="仿宋" w:eastAsia="仿宋" w:hAnsi="仿宋" w:hint="eastAsia"/>
          <w:color w:val="000000"/>
          <w:sz w:val="32"/>
          <w:szCs w:val="32"/>
        </w:rPr>
        <w:t>水平升高、关节痛、肌痛、头痛、头晕、味觉障碍、失眠等，其中发生率最高的不良反应依次为恶心、血小板减少症和疲乏，大多为1～2级不良反应。尼拉帕利用于中国铂敏感复发卵巢癌维持治疗的N</w:t>
      </w:r>
      <w:r w:rsidRPr="00136FBE">
        <w:rPr>
          <w:rFonts w:ascii="仿宋" w:eastAsia="仿宋" w:hAnsi="仿宋"/>
          <w:color w:val="000000"/>
          <w:sz w:val="32"/>
          <w:szCs w:val="32"/>
        </w:rPr>
        <w:t>ORA</w:t>
      </w:r>
      <w:r w:rsidRPr="00136FBE">
        <w:rPr>
          <w:rFonts w:ascii="仿宋" w:eastAsia="仿宋" w:hAnsi="仿宋" w:hint="eastAsia"/>
          <w:color w:val="000000"/>
          <w:sz w:val="32"/>
          <w:szCs w:val="32"/>
        </w:rPr>
        <w:t>研究盲态数据显示3～4级的血小板减少症发生率为</w:t>
      </w:r>
      <w:r w:rsidRPr="00136FBE">
        <w:rPr>
          <w:rFonts w:ascii="仿宋" w:eastAsia="仿宋" w:hAnsi="仿宋"/>
          <w:color w:val="000000"/>
          <w:sz w:val="32"/>
          <w:szCs w:val="32"/>
        </w:rPr>
        <w:t>4.3</w:t>
      </w:r>
      <w:r w:rsidRPr="00136FBE">
        <w:rPr>
          <w:rFonts w:ascii="仿宋" w:eastAsia="仿宋" w:hAnsi="仿宋" w:hint="eastAsia"/>
          <w:color w:val="000000"/>
          <w:sz w:val="32"/>
          <w:szCs w:val="32"/>
        </w:rPr>
        <w:t>%。</w:t>
      </w:r>
    </w:p>
    <w:p w14:paraId="2597B472"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t>6.3～4级不良反应可通过剂量中断和对症处理来管理。对于非血液学毒性，待症状恢复至≤1级时，重新开始原剂量或减量治疗。对于血液学毒性，当中性粒细胞绝对数恢复至≥1</w:t>
      </w:r>
      <w:r w:rsidRPr="00136FBE">
        <w:rPr>
          <w:rFonts w:ascii="仿宋" w:eastAsia="仿宋" w:hAnsi="仿宋"/>
          <w:color w:val="000000"/>
          <w:sz w:val="32"/>
          <w:szCs w:val="32"/>
        </w:rPr>
        <w:t>.5</w:t>
      </w:r>
      <w:r w:rsidRPr="00136FBE">
        <w:rPr>
          <w:rFonts w:ascii="仿宋" w:eastAsia="仿宋" w:hAnsi="仿宋" w:hint="eastAsia"/>
          <w:color w:val="000000"/>
          <w:sz w:val="32"/>
          <w:szCs w:val="32"/>
        </w:rPr>
        <w:t>×</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，血小板恢复至≥1</w:t>
      </w:r>
      <w:r w:rsidRPr="00136FBE">
        <w:rPr>
          <w:rFonts w:ascii="仿宋" w:eastAsia="仿宋" w:hAnsi="仿宋"/>
          <w:color w:val="000000"/>
          <w:sz w:val="32"/>
          <w:szCs w:val="32"/>
        </w:rPr>
        <w:t>00</w:t>
      </w:r>
      <w:r w:rsidRPr="00136FBE">
        <w:rPr>
          <w:rFonts w:ascii="仿宋" w:eastAsia="仿宋" w:hAnsi="仿宋" w:hint="eastAsia"/>
          <w:color w:val="000000"/>
          <w:sz w:val="32"/>
          <w:szCs w:val="32"/>
        </w:rPr>
        <w:t>.0×</w:t>
      </w:r>
      <w:r w:rsidRPr="00136FBE">
        <w:rPr>
          <w:rFonts w:ascii="仿宋" w:eastAsia="仿宋" w:hAnsi="仿宋"/>
          <w:color w:val="000000"/>
          <w:sz w:val="32"/>
          <w:szCs w:val="32"/>
        </w:rPr>
        <w:t>10</w:t>
      </w:r>
      <w:r w:rsidRPr="00136FBE">
        <w:rPr>
          <w:rFonts w:ascii="仿宋" w:eastAsia="仿宋" w:hAnsi="仿宋"/>
          <w:color w:val="000000"/>
          <w:sz w:val="32"/>
          <w:szCs w:val="32"/>
          <w:vertAlign w:val="superscript"/>
        </w:rPr>
        <w:t>9</w:t>
      </w:r>
      <w:r w:rsidRPr="00136FBE">
        <w:rPr>
          <w:rFonts w:ascii="仿宋" w:eastAsia="仿宋" w:hAnsi="仿宋"/>
          <w:color w:val="000000"/>
          <w:sz w:val="32"/>
          <w:szCs w:val="32"/>
        </w:rPr>
        <w:t>/L</w:t>
      </w:r>
      <w:r w:rsidRPr="00136FBE">
        <w:rPr>
          <w:rFonts w:ascii="仿宋" w:eastAsia="仿宋" w:hAnsi="仿宋" w:hint="eastAsia"/>
          <w:color w:val="000000"/>
          <w:sz w:val="32"/>
          <w:szCs w:val="32"/>
        </w:rPr>
        <w:t>，且血红蛋白恢复至≥9</w:t>
      </w:r>
      <w:r w:rsidRPr="00136FBE">
        <w:rPr>
          <w:rFonts w:ascii="仿宋" w:eastAsia="仿宋" w:hAnsi="仿宋"/>
          <w:color w:val="000000"/>
          <w:sz w:val="32"/>
          <w:szCs w:val="32"/>
        </w:rPr>
        <w:t>0</w:t>
      </w:r>
      <w:r w:rsidRPr="00136FBE">
        <w:rPr>
          <w:rFonts w:ascii="仿宋" w:eastAsia="仿宋" w:hAnsi="仿宋" w:hint="eastAsia"/>
          <w:color w:val="000000"/>
          <w:sz w:val="32"/>
          <w:szCs w:val="32"/>
        </w:rPr>
        <w:t>.0g</w:t>
      </w:r>
      <w:r w:rsidRPr="00136FBE">
        <w:rPr>
          <w:rFonts w:ascii="仿宋" w:eastAsia="仿宋" w:hAnsi="仿宋"/>
          <w:color w:val="000000"/>
          <w:sz w:val="32"/>
          <w:szCs w:val="32"/>
        </w:rPr>
        <w:t>/</w:t>
      </w:r>
      <w:r w:rsidRPr="00136FBE">
        <w:rPr>
          <w:rFonts w:ascii="仿宋" w:eastAsia="仿宋" w:hAnsi="仿宋" w:hint="eastAsia"/>
          <w:color w:val="000000"/>
          <w:sz w:val="32"/>
          <w:szCs w:val="32"/>
        </w:rPr>
        <w:t>L时，重新开始原剂量或减量治疗。</w:t>
      </w:r>
    </w:p>
    <w:p w14:paraId="47F235CE"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hint="eastAsia"/>
          <w:color w:val="000000"/>
          <w:sz w:val="32"/>
          <w:szCs w:val="32"/>
        </w:rPr>
        <w:lastRenderedPageBreak/>
        <w:t>7.如果需要减量，推荐剂量减至每次2</w:t>
      </w:r>
      <w:r w:rsidRPr="00136FBE">
        <w:rPr>
          <w:rFonts w:ascii="仿宋" w:eastAsia="仿宋" w:hAnsi="仿宋"/>
          <w:color w:val="000000"/>
          <w:sz w:val="32"/>
          <w:szCs w:val="32"/>
        </w:rPr>
        <w:t>0</w:t>
      </w:r>
      <w:r w:rsidRPr="00136FBE">
        <w:rPr>
          <w:rFonts w:ascii="仿宋" w:eastAsia="仿宋" w:hAnsi="仿宋" w:hint="eastAsia"/>
          <w:color w:val="000000"/>
          <w:sz w:val="32"/>
          <w:szCs w:val="32"/>
        </w:rPr>
        <w:t>0mg，每日一次。需要进一步减量，则推荐剂量减至每次</w:t>
      </w:r>
      <w:r w:rsidRPr="00136FBE">
        <w:rPr>
          <w:rFonts w:ascii="仿宋" w:eastAsia="仿宋" w:hAnsi="仿宋"/>
          <w:color w:val="000000"/>
          <w:sz w:val="32"/>
          <w:szCs w:val="32"/>
        </w:rPr>
        <w:t>1</w:t>
      </w:r>
      <w:r w:rsidRPr="00136FBE">
        <w:rPr>
          <w:rFonts w:ascii="仿宋" w:eastAsia="仿宋" w:hAnsi="仿宋" w:hint="eastAsia"/>
          <w:color w:val="000000"/>
          <w:sz w:val="32"/>
          <w:szCs w:val="32"/>
        </w:rPr>
        <w:t>00mg，每日一次。</w:t>
      </w:r>
    </w:p>
    <w:p w14:paraId="3207091D"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8.</w:t>
      </w:r>
      <w:r w:rsidRPr="00136FBE">
        <w:rPr>
          <w:rFonts w:ascii="仿宋" w:eastAsia="仿宋" w:hAnsi="仿宋" w:hint="eastAsia"/>
          <w:color w:val="000000"/>
          <w:sz w:val="32"/>
          <w:szCs w:val="32"/>
        </w:rPr>
        <w:t>本品通过羧酸酯酶进行代谢，在与C</w:t>
      </w:r>
      <w:r w:rsidRPr="00136FBE">
        <w:rPr>
          <w:rFonts w:ascii="仿宋" w:eastAsia="仿宋" w:hAnsi="仿宋"/>
          <w:color w:val="000000"/>
          <w:sz w:val="32"/>
          <w:szCs w:val="32"/>
        </w:rPr>
        <w:t>YP</w:t>
      </w:r>
      <w:r w:rsidRPr="00136FBE">
        <w:rPr>
          <w:rFonts w:ascii="仿宋" w:eastAsia="仿宋" w:hAnsi="仿宋" w:hint="eastAsia"/>
          <w:color w:val="000000"/>
          <w:sz w:val="32"/>
          <w:szCs w:val="32"/>
        </w:rPr>
        <w:t>诱导剂和C</w:t>
      </w:r>
      <w:r w:rsidRPr="00136FBE">
        <w:rPr>
          <w:rFonts w:ascii="仿宋" w:eastAsia="仿宋" w:hAnsi="仿宋"/>
          <w:color w:val="000000"/>
          <w:sz w:val="32"/>
          <w:szCs w:val="32"/>
        </w:rPr>
        <w:t>YP</w:t>
      </w:r>
      <w:r w:rsidRPr="00136FBE">
        <w:rPr>
          <w:rFonts w:ascii="仿宋" w:eastAsia="仿宋" w:hAnsi="仿宋" w:hint="eastAsia"/>
          <w:color w:val="000000"/>
          <w:sz w:val="32"/>
          <w:szCs w:val="32"/>
        </w:rPr>
        <w:t>抑制剂合并使用时，不需要调整剂量。</w:t>
      </w:r>
    </w:p>
    <w:p w14:paraId="52F558E1" w14:textId="77777777" w:rsidR="006C7BCA" w:rsidRPr="00136FBE" w:rsidRDefault="006C7BCA" w:rsidP="006C7BCA">
      <w:pPr>
        <w:spacing w:line="360" w:lineRule="auto"/>
        <w:ind w:firstLineChars="200" w:firstLine="640"/>
        <w:rPr>
          <w:rFonts w:ascii="仿宋" w:eastAsia="仿宋" w:hAnsi="仿宋"/>
          <w:color w:val="000000"/>
          <w:sz w:val="32"/>
          <w:szCs w:val="32"/>
        </w:rPr>
      </w:pPr>
      <w:r w:rsidRPr="00136FBE">
        <w:rPr>
          <w:rFonts w:ascii="仿宋" w:eastAsia="仿宋" w:hAnsi="仿宋"/>
          <w:color w:val="000000"/>
          <w:sz w:val="32"/>
          <w:szCs w:val="32"/>
        </w:rPr>
        <w:t>9.</w:t>
      </w:r>
      <w:r w:rsidRPr="00136FBE">
        <w:rPr>
          <w:rFonts w:ascii="仿宋" w:eastAsia="仿宋" w:hAnsi="仿宋" w:hint="eastAsia"/>
          <w:color w:val="000000"/>
          <w:sz w:val="32"/>
          <w:szCs w:val="32"/>
        </w:rPr>
        <w:t>对于</w:t>
      </w:r>
      <w:r w:rsidR="001F03A4" w:rsidRPr="00136FBE">
        <w:rPr>
          <w:rFonts w:ascii="仿宋" w:eastAsia="仿宋" w:hAnsi="仿宋" w:hint="eastAsia"/>
          <w:color w:val="000000"/>
          <w:sz w:val="32"/>
          <w:szCs w:val="32"/>
        </w:rPr>
        <w:t>轻中度</w:t>
      </w:r>
      <w:r w:rsidRPr="00136FBE">
        <w:rPr>
          <w:rFonts w:ascii="仿宋" w:eastAsia="仿宋" w:hAnsi="仿宋" w:hint="eastAsia"/>
          <w:color w:val="000000"/>
          <w:sz w:val="32"/>
          <w:szCs w:val="32"/>
        </w:rPr>
        <w:t>肝肾功能损伤患者，不需要调整剂量。对于重度肝肾功能损伤患者，应慎用。</w:t>
      </w:r>
    </w:p>
    <w:p w14:paraId="295F842F" w14:textId="77777777" w:rsidR="009048EF" w:rsidRDefault="009048EF" w:rsidP="003A18A7">
      <w:pPr>
        <w:ind w:firstLineChars="200" w:firstLine="883"/>
        <w:rPr>
          <w:rFonts w:ascii="宋体" w:hAnsi="宋体" w:cs="宋体"/>
          <w:b/>
          <w:bCs/>
          <w:sz w:val="44"/>
          <w:szCs w:val="44"/>
        </w:rPr>
      </w:pPr>
    </w:p>
    <w:p w14:paraId="505ECDC0" w14:textId="77777777" w:rsidR="009048EF" w:rsidRDefault="009048EF" w:rsidP="003A18A7">
      <w:pPr>
        <w:ind w:firstLineChars="200" w:firstLine="883"/>
        <w:rPr>
          <w:rFonts w:ascii="宋体" w:hAnsi="宋体" w:cs="宋体"/>
          <w:b/>
          <w:bCs/>
          <w:sz w:val="44"/>
          <w:szCs w:val="44"/>
        </w:rPr>
      </w:pPr>
    </w:p>
    <w:p w14:paraId="7EB6BCAF" w14:textId="77777777" w:rsidR="00515A18" w:rsidRDefault="00515A18" w:rsidP="00515A18">
      <w:pPr>
        <w:rPr>
          <w:rFonts w:ascii="宋体" w:hAnsi="宋体" w:cs="宋体"/>
          <w:b/>
          <w:bCs/>
          <w:sz w:val="44"/>
          <w:szCs w:val="44"/>
        </w:rPr>
      </w:pPr>
    </w:p>
    <w:p w14:paraId="7317ECA1" w14:textId="77777777" w:rsidR="00515A18" w:rsidRDefault="00515A18" w:rsidP="00515A18">
      <w:pPr>
        <w:rPr>
          <w:rFonts w:ascii="宋体" w:hAnsi="宋体" w:cs="宋体"/>
          <w:b/>
          <w:bCs/>
          <w:sz w:val="44"/>
          <w:szCs w:val="44"/>
        </w:rPr>
      </w:pPr>
    </w:p>
    <w:p w14:paraId="135FFB89" w14:textId="77777777" w:rsidR="00515A18" w:rsidRDefault="00515A18" w:rsidP="00515A18">
      <w:pPr>
        <w:rPr>
          <w:rFonts w:ascii="宋体" w:hAnsi="宋体" w:cs="宋体"/>
          <w:b/>
          <w:bCs/>
          <w:sz w:val="44"/>
          <w:szCs w:val="44"/>
        </w:rPr>
      </w:pPr>
    </w:p>
    <w:p w14:paraId="3B6AD202" w14:textId="77777777" w:rsidR="00515A18" w:rsidRDefault="00515A18" w:rsidP="00515A18">
      <w:pPr>
        <w:rPr>
          <w:rFonts w:ascii="宋体" w:hAnsi="宋体" w:cs="宋体"/>
          <w:b/>
          <w:bCs/>
          <w:sz w:val="44"/>
          <w:szCs w:val="44"/>
        </w:rPr>
      </w:pPr>
    </w:p>
    <w:p w14:paraId="1561F1BF" w14:textId="77777777" w:rsidR="00515A18" w:rsidRDefault="00515A18" w:rsidP="00515A18">
      <w:pPr>
        <w:rPr>
          <w:rFonts w:ascii="宋体" w:hAnsi="宋体" w:cs="宋体"/>
          <w:b/>
          <w:bCs/>
          <w:sz w:val="44"/>
          <w:szCs w:val="44"/>
        </w:rPr>
      </w:pPr>
    </w:p>
    <w:p w14:paraId="04386710" w14:textId="77777777" w:rsidR="00515A18" w:rsidRDefault="00515A18" w:rsidP="00515A18">
      <w:pPr>
        <w:rPr>
          <w:rFonts w:ascii="宋体" w:hAnsi="宋体" w:cs="宋体"/>
          <w:b/>
          <w:bCs/>
          <w:sz w:val="44"/>
          <w:szCs w:val="44"/>
        </w:rPr>
      </w:pPr>
    </w:p>
    <w:p w14:paraId="7B391591" w14:textId="77777777" w:rsidR="00515A18" w:rsidRDefault="00515A18" w:rsidP="00515A18">
      <w:pPr>
        <w:rPr>
          <w:rFonts w:ascii="宋体" w:hAnsi="宋体" w:cs="宋体"/>
          <w:b/>
          <w:bCs/>
          <w:sz w:val="44"/>
          <w:szCs w:val="44"/>
        </w:rPr>
      </w:pPr>
    </w:p>
    <w:p w14:paraId="2ECEA300" w14:textId="77777777" w:rsidR="00515A18" w:rsidRDefault="00515A18" w:rsidP="00515A18">
      <w:pPr>
        <w:rPr>
          <w:rFonts w:ascii="宋体" w:hAnsi="宋体" w:cs="宋体"/>
          <w:b/>
          <w:bCs/>
          <w:sz w:val="44"/>
          <w:szCs w:val="44"/>
        </w:rPr>
      </w:pPr>
    </w:p>
    <w:p w14:paraId="3F69DEE5" w14:textId="77777777" w:rsidR="00515A18" w:rsidRDefault="00515A18" w:rsidP="00515A18">
      <w:pPr>
        <w:rPr>
          <w:rFonts w:ascii="宋体" w:hAnsi="宋体" w:cs="宋体"/>
          <w:b/>
          <w:bCs/>
          <w:sz w:val="44"/>
          <w:szCs w:val="44"/>
        </w:rPr>
      </w:pPr>
    </w:p>
    <w:p w14:paraId="0F8C9D9C" w14:textId="77777777" w:rsidR="00515A18" w:rsidRDefault="00515A18" w:rsidP="00515A18">
      <w:pPr>
        <w:rPr>
          <w:rFonts w:ascii="宋体" w:hAnsi="宋体" w:cs="宋体"/>
          <w:b/>
          <w:bCs/>
          <w:sz w:val="44"/>
          <w:szCs w:val="44"/>
        </w:rPr>
      </w:pPr>
    </w:p>
    <w:p w14:paraId="7A566DE5" w14:textId="77777777" w:rsidR="00515A18" w:rsidRDefault="00515A18" w:rsidP="00515A18">
      <w:pPr>
        <w:rPr>
          <w:rFonts w:ascii="宋体" w:hAnsi="宋体" w:cs="宋体"/>
          <w:b/>
          <w:bCs/>
          <w:sz w:val="44"/>
          <w:szCs w:val="44"/>
        </w:rPr>
      </w:pPr>
    </w:p>
    <w:p w14:paraId="31A10B43" w14:textId="77777777" w:rsidR="00515A18" w:rsidRDefault="00515A18" w:rsidP="00515A18">
      <w:pPr>
        <w:rPr>
          <w:rFonts w:ascii="宋体" w:hAnsi="宋体" w:cs="宋体"/>
          <w:b/>
          <w:bCs/>
          <w:sz w:val="44"/>
          <w:szCs w:val="44"/>
        </w:rPr>
      </w:pPr>
    </w:p>
    <w:p w14:paraId="69D5CCFE" w14:textId="77777777" w:rsidR="00515A18" w:rsidRDefault="00515A18" w:rsidP="00515A18">
      <w:pPr>
        <w:rPr>
          <w:rFonts w:ascii="宋体" w:hAnsi="宋体" w:cs="宋体"/>
          <w:b/>
          <w:bCs/>
          <w:sz w:val="44"/>
          <w:szCs w:val="44"/>
        </w:rPr>
      </w:pPr>
    </w:p>
    <w:p w14:paraId="33998C1C" w14:textId="77777777" w:rsidR="00515A18" w:rsidRDefault="00515A18" w:rsidP="00515A18">
      <w:pPr>
        <w:rPr>
          <w:rFonts w:ascii="宋体" w:hAnsi="宋体" w:cs="宋体"/>
          <w:b/>
          <w:bCs/>
          <w:sz w:val="44"/>
          <w:szCs w:val="44"/>
        </w:rPr>
      </w:pPr>
    </w:p>
    <w:p w14:paraId="60080DF3" w14:textId="4A261FAA" w:rsidR="00B23A40" w:rsidRPr="00515A18" w:rsidRDefault="001E72C3" w:rsidP="00515A18">
      <w:pPr>
        <w:rPr>
          <w:rFonts w:ascii="黑体" w:eastAsia="黑体" w:hAnsi="黑体" w:cs="宋体"/>
          <w:sz w:val="28"/>
          <w:szCs w:val="28"/>
        </w:rPr>
      </w:pPr>
      <w:r w:rsidRPr="00515A18">
        <w:rPr>
          <w:rFonts w:ascii="黑体" w:eastAsia="黑体" w:hAnsi="黑体" w:cs="宋体" w:hint="eastAsia"/>
          <w:sz w:val="28"/>
          <w:szCs w:val="28"/>
        </w:rPr>
        <w:lastRenderedPageBreak/>
        <w:t>附表</w:t>
      </w:r>
    </w:p>
    <w:p w14:paraId="300BFCE5" w14:textId="77777777" w:rsidR="001E72C3" w:rsidRPr="00136FBE" w:rsidRDefault="001E72C3" w:rsidP="001E72C3">
      <w:pPr>
        <w:spacing w:line="360" w:lineRule="auto"/>
        <w:ind w:firstLineChars="200" w:firstLine="482"/>
        <w:jc w:val="center"/>
        <w:rPr>
          <w:rFonts w:ascii="Times New Roman" w:eastAsiaTheme="minorEastAsia" w:hAnsiTheme="minorEastAsia" w:cs="Times New Roman"/>
          <w:b/>
          <w:color w:val="000000"/>
          <w:sz w:val="24"/>
          <w:szCs w:val="24"/>
        </w:rPr>
      </w:pPr>
    </w:p>
    <w:p w14:paraId="56F199F5" w14:textId="77777777" w:rsidR="009E6080" w:rsidRPr="00136FBE" w:rsidRDefault="004256F1" w:rsidP="009E6080">
      <w:pPr>
        <w:spacing w:line="360" w:lineRule="auto"/>
        <w:ind w:left="480" w:firstLineChars="850" w:firstLine="1792"/>
        <w:rPr>
          <w:rFonts w:ascii="仿宋" w:eastAsia="仿宋" w:hAnsi="仿宋" w:cs="Times New Roman"/>
          <w:b/>
          <w:color w:val="000000"/>
        </w:rPr>
      </w:pPr>
      <w:r w:rsidRPr="00136FBE">
        <w:rPr>
          <w:rFonts w:ascii="仿宋" w:eastAsia="仿宋" w:hAnsi="仿宋" w:cs="Times New Roman" w:hint="eastAsia"/>
          <w:b/>
          <w:color w:val="000000"/>
        </w:rPr>
        <w:t>附表</w:t>
      </w:r>
      <w:r w:rsidR="00AC4AC8" w:rsidRPr="00136FBE">
        <w:rPr>
          <w:rFonts w:ascii="仿宋" w:eastAsia="仿宋" w:hAnsi="仿宋" w:cs="Times New Roman" w:hint="eastAsia"/>
          <w:b/>
          <w:color w:val="000000"/>
        </w:rPr>
        <w:t>1</w:t>
      </w:r>
      <w:r w:rsidRPr="00136FBE">
        <w:rPr>
          <w:rFonts w:ascii="仿宋" w:eastAsia="仿宋" w:hAnsi="仿宋" w:hint="eastAsia"/>
          <w:b/>
          <w:color w:val="000000"/>
        </w:rPr>
        <w:t>免疫相关性不良反应和</w:t>
      </w:r>
      <w:r w:rsidRPr="00136FBE">
        <w:rPr>
          <w:rFonts w:ascii="仿宋" w:eastAsia="仿宋" w:hAnsi="仿宋" w:cs="Times New Roman" w:hint="eastAsia"/>
          <w:b/>
          <w:color w:val="000000"/>
        </w:rPr>
        <w:t>治疗调整方案</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36"/>
        <w:gridCol w:w="3402"/>
      </w:tblGrid>
      <w:tr w:rsidR="009E6080" w:rsidRPr="00136FBE" w14:paraId="7588890E" w14:textId="77777777" w:rsidTr="008438A0">
        <w:tc>
          <w:tcPr>
            <w:tcW w:w="1843" w:type="dxa"/>
          </w:tcPr>
          <w:p w14:paraId="0DAC31C3" w14:textId="77777777" w:rsidR="009E6080" w:rsidRPr="00136FBE" w:rsidRDefault="009E6080" w:rsidP="008438A0">
            <w:pPr>
              <w:rPr>
                <w:rFonts w:ascii="仿宋" w:eastAsia="仿宋" w:hAnsi="仿宋"/>
                <w:b/>
                <w:color w:val="000000"/>
              </w:rPr>
            </w:pPr>
            <w:r w:rsidRPr="00136FBE">
              <w:rPr>
                <w:rFonts w:ascii="仿宋" w:eastAsia="仿宋" w:hAnsi="仿宋" w:hint="eastAsia"/>
                <w:b/>
                <w:color w:val="000000"/>
              </w:rPr>
              <w:t>免疫相关性不良反应</w:t>
            </w:r>
          </w:p>
        </w:tc>
        <w:tc>
          <w:tcPr>
            <w:tcW w:w="4536" w:type="dxa"/>
          </w:tcPr>
          <w:p w14:paraId="21FDAC94" w14:textId="77777777" w:rsidR="009E6080" w:rsidRPr="00136FBE" w:rsidRDefault="009E6080" w:rsidP="008438A0">
            <w:pPr>
              <w:rPr>
                <w:rFonts w:ascii="仿宋" w:eastAsia="仿宋" w:hAnsi="仿宋"/>
                <w:b/>
                <w:color w:val="000000"/>
              </w:rPr>
            </w:pPr>
            <w:r w:rsidRPr="00136FBE">
              <w:rPr>
                <w:rFonts w:ascii="仿宋" w:eastAsia="仿宋" w:hAnsi="仿宋" w:hint="eastAsia"/>
                <w:b/>
                <w:color w:val="000000"/>
              </w:rPr>
              <w:t>严重程度</w:t>
            </w:r>
          </w:p>
        </w:tc>
        <w:tc>
          <w:tcPr>
            <w:tcW w:w="3402" w:type="dxa"/>
          </w:tcPr>
          <w:p w14:paraId="1BD28016" w14:textId="77777777" w:rsidR="009E6080" w:rsidRPr="00136FBE" w:rsidRDefault="009E6080" w:rsidP="008438A0">
            <w:pPr>
              <w:rPr>
                <w:rFonts w:ascii="仿宋" w:eastAsia="仿宋" w:hAnsi="仿宋"/>
                <w:b/>
                <w:color w:val="000000"/>
              </w:rPr>
            </w:pPr>
            <w:r w:rsidRPr="00136FBE">
              <w:rPr>
                <w:rFonts w:ascii="仿宋" w:eastAsia="仿宋" w:hAnsi="仿宋" w:hint="eastAsia"/>
                <w:b/>
                <w:color w:val="000000"/>
              </w:rPr>
              <w:t>治疗调整</w:t>
            </w:r>
          </w:p>
        </w:tc>
      </w:tr>
      <w:tr w:rsidR="009E6080" w:rsidRPr="00136FBE" w14:paraId="18062AD5" w14:textId="77777777" w:rsidTr="008438A0">
        <w:tc>
          <w:tcPr>
            <w:tcW w:w="1843" w:type="dxa"/>
            <w:vMerge w:val="restart"/>
          </w:tcPr>
          <w:p w14:paraId="11FEDFB7" w14:textId="77777777" w:rsidR="009E6080" w:rsidRPr="00136FBE" w:rsidRDefault="009E6080" w:rsidP="008438A0">
            <w:pPr>
              <w:rPr>
                <w:rFonts w:ascii="仿宋" w:eastAsia="仿宋" w:hAnsi="仿宋"/>
                <w:color w:val="000000"/>
                <w:vertAlign w:val="superscript"/>
              </w:rPr>
            </w:pPr>
            <w:r w:rsidRPr="00136FBE">
              <w:rPr>
                <w:rFonts w:ascii="仿宋" w:eastAsia="仿宋" w:hAnsi="仿宋" w:hint="eastAsia"/>
                <w:color w:val="000000"/>
              </w:rPr>
              <w:t>反应性毛细血管增生症</w:t>
            </w:r>
          </w:p>
        </w:tc>
        <w:tc>
          <w:tcPr>
            <w:tcW w:w="4536" w:type="dxa"/>
          </w:tcPr>
          <w:p w14:paraId="79D92C3E"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3级</w:t>
            </w:r>
          </w:p>
        </w:tc>
        <w:tc>
          <w:tcPr>
            <w:tcW w:w="3402" w:type="dxa"/>
          </w:tcPr>
          <w:p w14:paraId="1B8352A4"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暂停用药</w:t>
            </w:r>
          </w:p>
        </w:tc>
      </w:tr>
      <w:tr w:rsidR="009E6080" w:rsidRPr="00136FBE" w14:paraId="0F064411" w14:textId="77777777" w:rsidTr="008438A0">
        <w:tc>
          <w:tcPr>
            <w:tcW w:w="1843" w:type="dxa"/>
            <w:vMerge/>
          </w:tcPr>
          <w:p w14:paraId="3FA5EB45" w14:textId="77777777" w:rsidR="009E6080" w:rsidRPr="00136FBE" w:rsidRDefault="009E6080" w:rsidP="008438A0">
            <w:pPr>
              <w:rPr>
                <w:rFonts w:ascii="仿宋" w:eastAsia="仿宋" w:hAnsi="仿宋"/>
                <w:color w:val="000000"/>
              </w:rPr>
            </w:pPr>
          </w:p>
        </w:tc>
        <w:tc>
          <w:tcPr>
            <w:tcW w:w="4536" w:type="dxa"/>
          </w:tcPr>
          <w:p w14:paraId="5B3F9141"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w:t>
            </w:r>
          </w:p>
        </w:tc>
        <w:tc>
          <w:tcPr>
            <w:tcW w:w="3402" w:type="dxa"/>
          </w:tcPr>
          <w:p w14:paraId="30B446A0"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04F4F88F" w14:textId="77777777" w:rsidTr="008438A0">
        <w:tc>
          <w:tcPr>
            <w:tcW w:w="1843" w:type="dxa"/>
            <w:vMerge w:val="restart"/>
          </w:tcPr>
          <w:p w14:paraId="7E6DEEC7"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肺炎</w:t>
            </w:r>
          </w:p>
        </w:tc>
        <w:tc>
          <w:tcPr>
            <w:tcW w:w="4536" w:type="dxa"/>
          </w:tcPr>
          <w:p w14:paraId="5A6E47BF"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2级</w:t>
            </w:r>
          </w:p>
        </w:tc>
        <w:tc>
          <w:tcPr>
            <w:tcW w:w="3402" w:type="dxa"/>
          </w:tcPr>
          <w:p w14:paraId="53C3432D"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73110E02" w14:textId="77777777" w:rsidTr="008438A0">
        <w:tc>
          <w:tcPr>
            <w:tcW w:w="1843" w:type="dxa"/>
            <w:vMerge/>
          </w:tcPr>
          <w:p w14:paraId="44F025F2" w14:textId="77777777" w:rsidR="009E6080" w:rsidRPr="00136FBE" w:rsidRDefault="009E6080" w:rsidP="008438A0">
            <w:pPr>
              <w:rPr>
                <w:rFonts w:ascii="仿宋" w:eastAsia="仿宋" w:hAnsi="仿宋"/>
                <w:color w:val="000000"/>
              </w:rPr>
            </w:pPr>
          </w:p>
        </w:tc>
        <w:tc>
          <w:tcPr>
            <w:tcW w:w="4536" w:type="dxa"/>
          </w:tcPr>
          <w:p w14:paraId="4BEC7DE5"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w:t>
            </w:r>
            <w:r w:rsidRPr="00136FBE">
              <w:rPr>
                <w:rFonts w:ascii="仿宋" w:eastAsia="仿宋" w:hAnsi="仿宋"/>
                <w:color w:val="000000"/>
              </w:rPr>
              <w:t>4</w:t>
            </w:r>
            <w:r w:rsidRPr="00136FBE">
              <w:rPr>
                <w:rFonts w:ascii="仿宋" w:eastAsia="仿宋" w:hAnsi="仿宋" w:hint="eastAsia"/>
                <w:color w:val="000000"/>
              </w:rPr>
              <w:t>级或复发性2级</w:t>
            </w:r>
          </w:p>
        </w:tc>
        <w:tc>
          <w:tcPr>
            <w:tcW w:w="3402" w:type="dxa"/>
          </w:tcPr>
          <w:p w14:paraId="4AA690E2"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013B301B" w14:textId="77777777" w:rsidTr="008438A0">
        <w:tc>
          <w:tcPr>
            <w:tcW w:w="1843" w:type="dxa"/>
            <w:vMerge w:val="restart"/>
          </w:tcPr>
          <w:p w14:paraId="70534FBF"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腹泻及结肠炎</w:t>
            </w:r>
          </w:p>
        </w:tc>
        <w:tc>
          <w:tcPr>
            <w:tcW w:w="4536" w:type="dxa"/>
          </w:tcPr>
          <w:p w14:paraId="47273751"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2级或3级</w:t>
            </w:r>
          </w:p>
        </w:tc>
        <w:tc>
          <w:tcPr>
            <w:tcW w:w="3402" w:type="dxa"/>
          </w:tcPr>
          <w:p w14:paraId="4681EBAD"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16D49FE4" w14:textId="77777777" w:rsidTr="008438A0">
        <w:tc>
          <w:tcPr>
            <w:tcW w:w="1843" w:type="dxa"/>
            <w:vMerge/>
          </w:tcPr>
          <w:p w14:paraId="56B130A2" w14:textId="77777777" w:rsidR="009E6080" w:rsidRPr="00136FBE" w:rsidRDefault="009E6080" w:rsidP="008438A0">
            <w:pPr>
              <w:rPr>
                <w:rFonts w:ascii="仿宋" w:eastAsia="仿宋" w:hAnsi="仿宋"/>
                <w:color w:val="000000"/>
              </w:rPr>
            </w:pPr>
          </w:p>
        </w:tc>
        <w:tc>
          <w:tcPr>
            <w:tcW w:w="4536" w:type="dxa"/>
          </w:tcPr>
          <w:p w14:paraId="66A392DD"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w:t>
            </w:r>
          </w:p>
        </w:tc>
        <w:tc>
          <w:tcPr>
            <w:tcW w:w="3402" w:type="dxa"/>
          </w:tcPr>
          <w:p w14:paraId="2C460FB0"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05CB9AA5" w14:textId="77777777" w:rsidTr="008438A0">
        <w:tc>
          <w:tcPr>
            <w:tcW w:w="1843" w:type="dxa"/>
            <w:vMerge w:val="restart"/>
          </w:tcPr>
          <w:p w14:paraId="7606B635"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肝炎</w:t>
            </w:r>
          </w:p>
        </w:tc>
        <w:tc>
          <w:tcPr>
            <w:tcW w:w="4536" w:type="dxa"/>
          </w:tcPr>
          <w:p w14:paraId="7A88FAEC"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2级，天冬氨酸氨基转移酶（A</w:t>
            </w:r>
            <w:r w:rsidRPr="00136FBE">
              <w:rPr>
                <w:rFonts w:ascii="仿宋" w:eastAsia="仿宋" w:hAnsi="仿宋"/>
                <w:color w:val="000000"/>
              </w:rPr>
              <w:t>ST</w:t>
            </w:r>
            <w:r w:rsidRPr="00136FBE">
              <w:rPr>
                <w:rFonts w:ascii="仿宋" w:eastAsia="仿宋" w:hAnsi="仿宋" w:hint="eastAsia"/>
                <w:color w:val="000000"/>
              </w:rPr>
              <w:t>）或丙氨酸氨基转移酶（A</w:t>
            </w:r>
            <w:r w:rsidRPr="00136FBE">
              <w:rPr>
                <w:rFonts w:ascii="仿宋" w:eastAsia="仿宋" w:hAnsi="仿宋"/>
                <w:color w:val="000000"/>
              </w:rPr>
              <w:t>LT</w:t>
            </w:r>
            <w:r w:rsidRPr="00136FBE">
              <w:rPr>
                <w:rFonts w:ascii="仿宋" w:eastAsia="仿宋" w:hAnsi="仿宋" w:hint="eastAsia"/>
                <w:color w:val="000000"/>
              </w:rPr>
              <w:t>）在3～</w:t>
            </w:r>
            <w:r w:rsidRPr="00136FBE">
              <w:rPr>
                <w:rFonts w:ascii="仿宋" w:eastAsia="仿宋" w:hAnsi="仿宋"/>
                <w:color w:val="000000"/>
              </w:rPr>
              <w:t>5</w:t>
            </w:r>
            <w:r w:rsidRPr="00136FBE">
              <w:rPr>
                <w:rFonts w:ascii="仿宋" w:eastAsia="仿宋" w:hAnsi="仿宋" w:hint="eastAsia"/>
                <w:color w:val="000000"/>
              </w:rPr>
              <w:t>倍正常值上限（U</w:t>
            </w:r>
            <w:r w:rsidRPr="00136FBE">
              <w:rPr>
                <w:rFonts w:ascii="仿宋" w:eastAsia="仿宋" w:hAnsi="仿宋"/>
                <w:color w:val="000000"/>
              </w:rPr>
              <w:t>LN</w:t>
            </w:r>
            <w:r w:rsidRPr="00136FBE">
              <w:rPr>
                <w:rFonts w:ascii="仿宋" w:eastAsia="仿宋" w:hAnsi="仿宋" w:hint="eastAsia"/>
                <w:color w:val="000000"/>
              </w:rPr>
              <w:t>）或总胆红素（T</w:t>
            </w:r>
            <w:r w:rsidRPr="00136FBE">
              <w:rPr>
                <w:rFonts w:ascii="仿宋" w:eastAsia="仿宋" w:hAnsi="仿宋"/>
                <w:color w:val="000000"/>
              </w:rPr>
              <w:t>BIL</w:t>
            </w:r>
            <w:r w:rsidRPr="00136FBE">
              <w:rPr>
                <w:rFonts w:ascii="仿宋" w:eastAsia="仿宋" w:hAnsi="仿宋" w:hint="eastAsia"/>
                <w:color w:val="000000"/>
              </w:rPr>
              <w:t>）在1</w:t>
            </w:r>
            <w:r w:rsidRPr="00136FBE">
              <w:rPr>
                <w:rFonts w:ascii="仿宋" w:eastAsia="仿宋" w:hAnsi="仿宋"/>
                <w:color w:val="000000"/>
              </w:rPr>
              <w:t>.5</w:t>
            </w:r>
            <w:r w:rsidRPr="00136FBE">
              <w:rPr>
                <w:rFonts w:ascii="仿宋" w:eastAsia="仿宋" w:hAnsi="仿宋" w:hint="eastAsia"/>
                <w:color w:val="000000"/>
              </w:rPr>
              <w:t>～</w:t>
            </w:r>
            <w:r w:rsidRPr="00136FBE">
              <w:rPr>
                <w:rFonts w:ascii="仿宋" w:eastAsia="仿宋" w:hAnsi="仿宋"/>
                <w:color w:val="000000"/>
              </w:rPr>
              <w:t>3</w:t>
            </w:r>
            <w:r w:rsidRPr="00136FBE">
              <w:rPr>
                <w:rFonts w:ascii="仿宋" w:eastAsia="仿宋" w:hAnsi="仿宋" w:hint="eastAsia"/>
                <w:color w:val="000000"/>
              </w:rPr>
              <w:t>倍U</w:t>
            </w:r>
            <w:r w:rsidRPr="00136FBE">
              <w:rPr>
                <w:rFonts w:ascii="仿宋" w:eastAsia="仿宋" w:hAnsi="仿宋"/>
                <w:color w:val="000000"/>
              </w:rPr>
              <w:t>LN</w:t>
            </w:r>
          </w:p>
        </w:tc>
        <w:tc>
          <w:tcPr>
            <w:tcW w:w="3402" w:type="dxa"/>
          </w:tcPr>
          <w:p w14:paraId="740F30AF"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59AB5AD4" w14:textId="77777777" w:rsidTr="008438A0">
        <w:tc>
          <w:tcPr>
            <w:tcW w:w="1843" w:type="dxa"/>
            <w:vMerge/>
          </w:tcPr>
          <w:p w14:paraId="6EF86329" w14:textId="77777777" w:rsidR="009E6080" w:rsidRPr="00136FBE" w:rsidRDefault="009E6080" w:rsidP="008438A0">
            <w:pPr>
              <w:rPr>
                <w:rFonts w:ascii="仿宋" w:eastAsia="仿宋" w:hAnsi="仿宋"/>
                <w:color w:val="000000"/>
              </w:rPr>
            </w:pPr>
          </w:p>
        </w:tc>
        <w:tc>
          <w:tcPr>
            <w:tcW w:w="4536" w:type="dxa"/>
          </w:tcPr>
          <w:p w14:paraId="4A011714"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w:t>
            </w:r>
            <w:r w:rsidRPr="00136FBE">
              <w:rPr>
                <w:rFonts w:ascii="仿宋" w:eastAsia="仿宋" w:hAnsi="仿宋"/>
                <w:color w:val="000000"/>
              </w:rPr>
              <w:t>4</w:t>
            </w:r>
            <w:r w:rsidRPr="00136FBE">
              <w:rPr>
                <w:rFonts w:ascii="仿宋" w:eastAsia="仿宋" w:hAnsi="仿宋" w:hint="eastAsia"/>
                <w:color w:val="000000"/>
              </w:rPr>
              <w:t>级，A</w:t>
            </w:r>
            <w:r w:rsidRPr="00136FBE">
              <w:rPr>
                <w:rFonts w:ascii="仿宋" w:eastAsia="仿宋" w:hAnsi="仿宋"/>
                <w:color w:val="000000"/>
              </w:rPr>
              <w:t>ST</w:t>
            </w:r>
            <w:r w:rsidRPr="00136FBE">
              <w:rPr>
                <w:rFonts w:ascii="仿宋" w:eastAsia="仿宋" w:hAnsi="仿宋" w:hint="eastAsia"/>
                <w:color w:val="000000"/>
              </w:rPr>
              <w:t>或A</w:t>
            </w:r>
            <w:r w:rsidRPr="00136FBE">
              <w:rPr>
                <w:rFonts w:ascii="仿宋" w:eastAsia="仿宋" w:hAnsi="仿宋"/>
                <w:color w:val="000000"/>
              </w:rPr>
              <w:t>LT</w:t>
            </w:r>
            <w:r w:rsidRPr="00136FBE">
              <w:rPr>
                <w:rFonts w:ascii="仿宋" w:eastAsia="仿宋" w:hAnsi="仿宋" w:hint="eastAsia"/>
                <w:color w:val="000000"/>
              </w:rPr>
              <w:t>＞5倍U</w:t>
            </w:r>
            <w:r w:rsidRPr="00136FBE">
              <w:rPr>
                <w:rFonts w:ascii="仿宋" w:eastAsia="仿宋" w:hAnsi="仿宋"/>
                <w:color w:val="000000"/>
              </w:rPr>
              <w:t>LN</w:t>
            </w:r>
            <w:r w:rsidRPr="00136FBE">
              <w:rPr>
                <w:rFonts w:ascii="仿宋" w:eastAsia="仿宋" w:hAnsi="仿宋" w:hint="eastAsia"/>
                <w:color w:val="000000"/>
              </w:rPr>
              <w:t>，或T</w:t>
            </w:r>
            <w:r w:rsidRPr="00136FBE">
              <w:rPr>
                <w:rFonts w:ascii="仿宋" w:eastAsia="仿宋" w:hAnsi="仿宋"/>
                <w:color w:val="000000"/>
              </w:rPr>
              <w:t>BIL</w:t>
            </w:r>
            <w:r w:rsidRPr="00136FBE">
              <w:rPr>
                <w:rFonts w:ascii="仿宋" w:eastAsia="仿宋" w:hAnsi="仿宋" w:hint="eastAsia"/>
                <w:color w:val="000000"/>
              </w:rPr>
              <w:t>＞3倍U</w:t>
            </w:r>
            <w:r w:rsidRPr="00136FBE">
              <w:rPr>
                <w:rFonts w:ascii="仿宋" w:eastAsia="仿宋" w:hAnsi="仿宋"/>
                <w:color w:val="000000"/>
              </w:rPr>
              <w:t>LN</w:t>
            </w:r>
          </w:p>
        </w:tc>
        <w:tc>
          <w:tcPr>
            <w:tcW w:w="3402" w:type="dxa"/>
          </w:tcPr>
          <w:p w14:paraId="26DF256C"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1B51CC57" w14:textId="77777777" w:rsidTr="008438A0">
        <w:tc>
          <w:tcPr>
            <w:tcW w:w="1843" w:type="dxa"/>
            <w:vMerge w:val="restart"/>
          </w:tcPr>
          <w:p w14:paraId="1DC85281"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肾炎</w:t>
            </w:r>
          </w:p>
        </w:tc>
        <w:tc>
          <w:tcPr>
            <w:tcW w:w="4536" w:type="dxa"/>
          </w:tcPr>
          <w:p w14:paraId="2911F063"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w:t>
            </w:r>
            <w:r w:rsidRPr="00136FBE">
              <w:rPr>
                <w:rFonts w:ascii="仿宋" w:eastAsia="仿宋" w:hAnsi="仿宋"/>
                <w:color w:val="000000"/>
              </w:rPr>
              <w:t>3</w:t>
            </w:r>
            <w:r w:rsidRPr="00136FBE">
              <w:rPr>
                <w:rFonts w:ascii="仿宋" w:eastAsia="仿宋" w:hAnsi="仿宋" w:hint="eastAsia"/>
                <w:color w:val="000000"/>
              </w:rPr>
              <w:t>级血肌酐升高</w:t>
            </w:r>
          </w:p>
        </w:tc>
        <w:tc>
          <w:tcPr>
            <w:tcW w:w="3402" w:type="dxa"/>
          </w:tcPr>
          <w:p w14:paraId="303FD16B"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102B40AF" w14:textId="77777777" w:rsidTr="008438A0">
        <w:tc>
          <w:tcPr>
            <w:tcW w:w="1843" w:type="dxa"/>
            <w:vMerge/>
          </w:tcPr>
          <w:p w14:paraId="2C18F09C" w14:textId="77777777" w:rsidR="009E6080" w:rsidRPr="00136FBE" w:rsidRDefault="009E6080" w:rsidP="008438A0">
            <w:pPr>
              <w:rPr>
                <w:rFonts w:ascii="仿宋" w:eastAsia="仿宋" w:hAnsi="仿宋"/>
                <w:color w:val="000000"/>
              </w:rPr>
            </w:pPr>
          </w:p>
        </w:tc>
        <w:tc>
          <w:tcPr>
            <w:tcW w:w="4536" w:type="dxa"/>
          </w:tcPr>
          <w:p w14:paraId="53D363B1"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4级血肌酐升高</w:t>
            </w:r>
          </w:p>
        </w:tc>
        <w:tc>
          <w:tcPr>
            <w:tcW w:w="3402" w:type="dxa"/>
          </w:tcPr>
          <w:p w14:paraId="6FA46107"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13558DE5" w14:textId="77777777" w:rsidTr="008438A0">
        <w:tc>
          <w:tcPr>
            <w:tcW w:w="1843" w:type="dxa"/>
            <w:vMerge w:val="restart"/>
          </w:tcPr>
          <w:p w14:paraId="665D25DB"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内分泌疾病</w:t>
            </w:r>
          </w:p>
        </w:tc>
        <w:tc>
          <w:tcPr>
            <w:tcW w:w="4536" w:type="dxa"/>
          </w:tcPr>
          <w:p w14:paraId="1E8229D0"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症状性2～</w:t>
            </w:r>
            <w:r w:rsidRPr="00136FBE">
              <w:rPr>
                <w:rFonts w:ascii="仿宋" w:eastAsia="仿宋" w:hAnsi="仿宋"/>
                <w:color w:val="000000"/>
              </w:rPr>
              <w:t>3</w:t>
            </w:r>
            <w:r w:rsidRPr="00136FBE">
              <w:rPr>
                <w:rFonts w:ascii="仿宋" w:eastAsia="仿宋" w:hAnsi="仿宋" w:hint="eastAsia"/>
                <w:color w:val="000000"/>
              </w:rPr>
              <w:t>级甲状腺功能减退，2～</w:t>
            </w:r>
            <w:r w:rsidRPr="00136FBE">
              <w:rPr>
                <w:rFonts w:ascii="仿宋" w:eastAsia="仿宋" w:hAnsi="仿宋"/>
                <w:color w:val="000000"/>
              </w:rPr>
              <w:t>3</w:t>
            </w:r>
            <w:r w:rsidRPr="00136FBE">
              <w:rPr>
                <w:rFonts w:ascii="仿宋" w:eastAsia="仿宋" w:hAnsi="仿宋" w:hint="eastAsia"/>
                <w:color w:val="000000"/>
              </w:rPr>
              <w:t>级甲状腺功能亢进、</w:t>
            </w:r>
            <w:r w:rsidRPr="00136FBE">
              <w:rPr>
                <w:rFonts w:ascii="仿宋" w:eastAsia="仿宋" w:hAnsi="仿宋"/>
                <w:color w:val="000000"/>
              </w:rPr>
              <w:t>2</w:t>
            </w:r>
            <w:r w:rsidRPr="00136FBE">
              <w:rPr>
                <w:rFonts w:ascii="仿宋" w:eastAsia="仿宋" w:hAnsi="仿宋" w:hint="eastAsia"/>
                <w:color w:val="000000"/>
              </w:rPr>
              <w:t>～</w:t>
            </w:r>
            <w:r w:rsidRPr="00136FBE">
              <w:rPr>
                <w:rFonts w:ascii="仿宋" w:eastAsia="仿宋" w:hAnsi="仿宋"/>
                <w:color w:val="000000"/>
              </w:rPr>
              <w:t>3</w:t>
            </w:r>
            <w:r w:rsidRPr="00136FBE">
              <w:rPr>
                <w:rFonts w:ascii="仿宋" w:eastAsia="仿宋" w:hAnsi="仿宋" w:hint="eastAsia"/>
                <w:color w:val="000000"/>
              </w:rPr>
              <w:t>级垂体炎、2级肾上腺功能不全</w:t>
            </w:r>
          </w:p>
          <w:p w14:paraId="028ACF95"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3级高血糖症或1型糖尿病</w:t>
            </w:r>
          </w:p>
        </w:tc>
        <w:tc>
          <w:tcPr>
            <w:tcW w:w="3402" w:type="dxa"/>
          </w:tcPr>
          <w:p w14:paraId="224A3164"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2770C66E" w14:textId="77777777" w:rsidTr="008438A0">
        <w:tc>
          <w:tcPr>
            <w:tcW w:w="1843" w:type="dxa"/>
            <w:vMerge/>
          </w:tcPr>
          <w:p w14:paraId="54313606" w14:textId="77777777" w:rsidR="009E6080" w:rsidRPr="00136FBE" w:rsidRDefault="009E6080" w:rsidP="008438A0">
            <w:pPr>
              <w:rPr>
                <w:rFonts w:ascii="仿宋" w:eastAsia="仿宋" w:hAnsi="仿宋"/>
                <w:color w:val="000000"/>
              </w:rPr>
            </w:pPr>
          </w:p>
        </w:tc>
        <w:tc>
          <w:tcPr>
            <w:tcW w:w="4536" w:type="dxa"/>
          </w:tcPr>
          <w:p w14:paraId="7EF267FB"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4级甲状腺功能减退</w:t>
            </w:r>
          </w:p>
          <w:p w14:paraId="348C064A"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4级甲状腺功能亢进</w:t>
            </w:r>
          </w:p>
          <w:p w14:paraId="7ADA1354"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4级垂体炎</w:t>
            </w:r>
          </w:p>
          <w:p w14:paraId="1B24848A"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w:t>
            </w:r>
            <w:r w:rsidRPr="00136FBE">
              <w:rPr>
                <w:rFonts w:ascii="仿宋" w:eastAsia="仿宋" w:hAnsi="仿宋"/>
                <w:color w:val="000000"/>
              </w:rPr>
              <w:t>4</w:t>
            </w:r>
            <w:r w:rsidRPr="00136FBE">
              <w:rPr>
                <w:rFonts w:ascii="仿宋" w:eastAsia="仿宋" w:hAnsi="仿宋" w:hint="eastAsia"/>
                <w:color w:val="000000"/>
              </w:rPr>
              <w:t>级肾上腺功能不全</w:t>
            </w:r>
          </w:p>
          <w:p w14:paraId="62FD61E5"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4级高血糖症或1型糖尿病</w:t>
            </w:r>
          </w:p>
        </w:tc>
        <w:tc>
          <w:tcPr>
            <w:tcW w:w="3402" w:type="dxa"/>
          </w:tcPr>
          <w:p w14:paraId="2DA17E23"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4F763DCF" w14:textId="77777777" w:rsidTr="008438A0">
        <w:tc>
          <w:tcPr>
            <w:tcW w:w="1843" w:type="dxa"/>
            <w:vMerge w:val="restart"/>
          </w:tcPr>
          <w:p w14:paraId="2C7928E7"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皮肤不良反应</w:t>
            </w:r>
          </w:p>
        </w:tc>
        <w:tc>
          <w:tcPr>
            <w:tcW w:w="4536" w:type="dxa"/>
          </w:tcPr>
          <w:p w14:paraId="3F22EF93"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3级</w:t>
            </w:r>
          </w:p>
        </w:tc>
        <w:tc>
          <w:tcPr>
            <w:tcW w:w="3402" w:type="dxa"/>
          </w:tcPr>
          <w:p w14:paraId="3A4DA315"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645380D4" w14:textId="77777777" w:rsidTr="008438A0">
        <w:tc>
          <w:tcPr>
            <w:tcW w:w="1843" w:type="dxa"/>
            <w:vMerge/>
          </w:tcPr>
          <w:p w14:paraId="062E1E98" w14:textId="77777777" w:rsidR="009E6080" w:rsidRPr="00136FBE" w:rsidRDefault="009E6080" w:rsidP="008438A0">
            <w:pPr>
              <w:rPr>
                <w:rFonts w:ascii="仿宋" w:eastAsia="仿宋" w:hAnsi="仿宋"/>
                <w:color w:val="000000"/>
              </w:rPr>
            </w:pPr>
          </w:p>
        </w:tc>
        <w:tc>
          <w:tcPr>
            <w:tcW w:w="4536" w:type="dxa"/>
          </w:tcPr>
          <w:p w14:paraId="32587261"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4级，史蒂文斯-约翰逊综合征（S</w:t>
            </w:r>
            <w:r w:rsidRPr="00136FBE">
              <w:rPr>
                <w:rFonts w:ascii="仿宋" w:eastAsia="仿宋" w:hAnsi="仿宋"/>
                <w:color w:val="000000"/>
              </w:rPr>
              <w:t>JS</w:t>
            </w:r>
            <w:r w:rsidRPr="00136FBE">
              <w:rPr>
                <w:rFonts w:ascii="仿宋" w:eastAsia="仿宋" w:hAnsi="仿宋" w:hint="eastAsia"/>
                <w:color w:val="000000"/>
              </w:rPr>
              <w:t>）或中毒性表皮坏死松解症（T</w:t>
            </w:r>
            <w:r w:rsidRPr="00136FBE">
              <w:rPr>
                <w:rFonts w:ascii="仿宋" w:eastAsia="仿宋" w:hAnsi="仿宋"/>
                <w:color w:val="000000"/>
              </w:rPr>
              <w:t>EN</w:t>
            </w:r>
            <w:r w:rsidRPr="00136FBE">
              <w:rPr>
                <w:rFonts w:ascii="仿宋" w:eastAsia="仿宋" w:hAnsi="仿宋" w:hint="eastAsia"/>
                <w:color w:val="000000"/>
              </w:rPr>
              <w:t>）</w:t>
            </w:r>
          </w:p>
        </w:tc>
        <w:tc>
          <w:tcPr>
            <w:tcW w:w="3402" w:type="dxa"/>
          </w:tcPr>
          <w:p w14:paraId="0628BFD2"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70A31DF3" w14:textId="77777777" w:rsidTr="008438A0">
        <w:tc>
          <w:tcPr>
            <w:tcW w:w="1843" w:type="dxa"/>
            <w:vMerge w:val="restart"/>
          </w:tcPr>
          <w:p w14:paraId="72821EED"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血小板减少症</w:t>
            </w:r>
          </w:p>
        </w:tc>
        <w:tc>
          <w:tcPr>
            <w:tcW w:w="4536" w:type="dxa"/>
          </w:tcPr>
          <w:p w14:paraId="04E9691B"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3级</w:t>
            </w:r>
          </w:p>
        </w:tc>
        <w:tc>
          <w:tcPr>
            <w:tcW w:w="3402" w:type="dxa"/>
          </w:tcPr>
          <w:p w14:paraId="0971DFCB"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685EA417" w14:textId="77777777" w:rsidTr="008438A0">
        <w:tc>
          <w:tcPr>
            <w:tcW w:w="1843" w:type="dxa"/>
            <w:vMerge/>
          </w:tcPr>
          <w:p w14:paraId="3CC0DDC0" w14:textId="77777777" w:rsidR="009E6080" w:rsidRPr="00136FBE" w:rsidRDefault="009E6080" w:rsidP="008438A0">
            <w:pPr>
              <w:rPr>
                <w:rFonts w:ascii="仿宋" w:eastAsia="仿宋" w:hAnsi="仿宋"/>
                <w:color w:val="000000"/>
              </w:rPr>
            </w:pPr>
          </w:p>
        </w:tc>
        <w:tc>
          <w:tcPr>
            <w:tcW w:w="4536" w:type="dxa"/>
          </w:tcPr>
          <w:p w14:paraId="4E07ECEF"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w:t>
            </w:r>
          </w:p>
        </w:tc>
        <w:tc>
          <w:tcPr>
            <w:tcW w:w="3402" w:type="dxa"/>
          </w:tcPr>
          <w:p w14:paraId="21197307"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289DE1FB" w14:textId="77777777" w:rsidTr="008438A0">
        <w:tc>
          <w:tcPr>
            <w:tcW w:w="1843" w:type="dxa"/>
            <w:vMerge w:val="restart"/>
          </w:tcPr>
          <w:p w14:paraId="11C9EA50"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其他免疫相关性不良反应</w:t>
            </w:r>
          </w:p>
        </w:tc>
        <w:tc>
          <w:tcPr>
            <w:tcW w:w="4536" w:type="dxa"/>
          </w:tcPr>
          <w:p w14:paraId="0A2EBE61"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w:t>
            </w:r>
            <w:r w:rsidRPr="00136FBE">
              <w:rPr>
                <w:rFonts w:ascii="仿宋" w:eastAsia="仿宋" w:hAnsi="仿宋"/>
                <w:color w:val="000000"/>
              </w:rPr>
              <w:t>4</w:t>
            </w:r>
            <w:r w:rsidRPr="00136FBE">
              <w:rPr>
                <w:rFonts w:ascii="仿宋" w:eastAsia="仿宋" w:hAnsi="仿宋" w:hint="eastAsia"/>
                <w:color w:val="000000"/>
              </w:rPr>
              <w:t>级血淀粉酶升高或脂肪酶升高</w:t>
            </w:r>
          </w:p>
          <w:p w14:paraId="3E4A555F"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w:t>
            </w:r>
            <w:r w:rsidRPr="00136FBE">
              <w:rPr>
                <w:rFonts w:ascii="仿宋" w:eastAsia="仿宋" w:hAnsi="仿宋"/>
                <w:color w:val="000000"/>
              </w:rPr>
              <w:t>3</w:t>
            </w:r>
            <w:r w:rsidRPr="00136FBE">
              <w:rPr>
                <w:rFonts w:ascii="仿宋" w:eastAsia="仿宋" w:hAnsi="仿宋" w:hint="eastAsia"/>
                <w:color w:val="000000"/>
              </w:rPr>
              <w:t>级胰腺炎</w:t>
            </w:r>
          </w:p>
          <w:p w14:paraId="44B9F7F3"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2级心肌炎</w:t>
            </w:r>
          </w:p>
          <w:p w14:paraId="2D6A0856"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w:t>
            </w:r>
            <w:r w:rsidRPr="00136FBE">
              <w:rPr>
                <w:rFonts w:ascii="仿宋" w:eastAsia="仿宋" w:hAnsi="仿宋"/>
                <w:color w:val="000000"/>
              </w:rPr>
              <w:t>3</w:t>
            </w:r>
            <w:r w:rsidRPr="00136FBE">
              <w:rPr>
                <w:rFonts w:ascii="仿宋" w:eastAsia="仿宋" w:hAnsi="仿宋" w:hint="eastAsia"/>
                <w:color w:val="000000"/>
              </w:rPr>
              <w:t>级首次发生的其他免疫相关性不良反应</w:t>
            </w:r>
          </w:p>
        </w:tc>
        <w:tc>
          <w:tcPr>
            <w:tcW w:w="3402" w:type="dxa"/>
          </w:tcPr>
          <w:p w14:paraId="57CE83A9"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暂停给药，直至不良反应恢复至0～</w:t>
            </w:r>
            <w:r w:rsidRPr="00136FBE">
              <w:rPr>
                <w:rFonts w:ascii="仿宋" w:eastAsia="仿宋" w:hAnsi="仿宋"/>
                <w:color w:val="000000"/>
              </w:rPr>
              <w:t>1</w:t>
            </w:r>
            <w:r w:rsidRPr="00136FBE">
              <w:rPr>
                <w:rFonts w:ascii="仿宋" w:eastAsia="仿宋" w:hAnsi="仿宋" w:hint="eastAsia"/>
                <w:color w:val="000000"/>
              </w:rPr>
              <w:t>级</w:t>
            </w:r>
          </w:p>
        </w:tc>
      </w:tr>
      <w:tr w:rsidR="009E6080" w:rsidRPr="00136FBE" w14:paraId="7FBEF4CC" w14:textId="77777777" w:rsidTr="008438A0">
        <w:tc>
          <w:tcPr>
            <w:tcW w:w="1843" w:type="dxa"/>
            <w:vMerge/>
          </w:tcPr>
          <w:p w14:paraId="4BF33020" w14:textId="77777777" w:rsidR="009E6080" w:rsidRPr="00136FBE" w:rsidRDefault="009E6080" w:rsidP="008438A0">
            <w:pPr>
              <w:rPr>
                <w:rFonts w:ascii="仿宋" w:eastAsia="仿宋" w:hAnsi="仿宋"/>
                <w:color w:val="000000"/>
              </w:rPr>
            </w:pPr>
          </w:p>
        </w:tc>
        <w:tc>
          <w:tcPr>
            <w:tcW w:w="4536" w:type="dxa"/>
          </w:tcPr>
          <w:p w14:paraId="4B8A2293"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4级胰腺炎或任何级别的复发性胰腺炎</w:t>
            </w:r>
          </w:p>
          <w:p w14:paraId="0D5D5146"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w:t>
            </w:r>
            <w:r w:rsidRPr="00136FBE">
              <w:rPr>
                <w:rFonts w:ascii="仿宋" w:eastAsia="仿宋" w:hAnsi="仿宋"/>
                <w:color w:val="000000"/>
              </w:rPr>
              <w:t>4</w:t>
            </w:r>
            <w:r w:rsidRPr="00136FBE">
              <w:rPr>
                <w:rFonts w:ascii="仿宋" w:eastAsia="仿宋" w:hAnsi="仿宋" w:hint="eastAsia"/>
                <w:color w:val="000000"/>
              </w:rPr>
              <w:t>级心肌炎</w:t>
            </w:r>
          </w:p>
          <w:p w14:paraId="5003A52C"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lastRenderedPageBreak/>
              <w:t>3～</w:t>
            </w:r>
            <w:r w:rsidRPr="00136FBE">
              <w:rPr>
                <w:rFonts w:ascii="仿宋" w:eastAsia="仿宋" w:hAnsi="仿宋"/>
                <w:color w:val="000000"/>
              </w:rPr>
              <w:t>4</w:t>
            </w:r>
            <w:r w:rsidRPr="00136FBE">
              <w:rPr>
                <w:rFonts w:ascii="仿宋" w:eastAsia="仿宋" w:hAnsi="仿宋" w:hint="eastAsia"/>
                <w:color w:val="000000"/>
              </w:rPr>
              <w:t>级脑炎</w:t>
            </w:r>
          </w:p>
          <w:p w14:paraId="36E47269"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4级首次发生的其他免疫相关性不良反应</w:t>
            </w:r>
          </w:p>
        </w:tc>
        <w:tc>
          <w:tcPr>
            <w:tcW w:w="3402" w:type="dxa"/>
          </w:tcPr>
          <w:p w14:paraId="7505EF6C"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lastRenderedPageBreak/>
              <w:t>永久停药</w:t>
            </w:r>
          </w:p>
        </w:tc>
      </w:tr>
      <w:tr w:rsidR="009E6080" w:rsidRPr="00136FBE" w14:paraId="54B203A6" w14:textId="77777777" w:rsidTr="008438A0">
        <w:tc>
          <w:tcPr>
            <w:tcW w:w="1843" w:type="dxa"/>
          </w:tcPr>
          <w:p w14:paraId="5BC22BF8"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复发或持续的不良反应</w:t>
            </w:r>
          </w:p>
        </w:tc>
        <w:tc>
          <w:tcPr>
            <w:tcW w:w="4536" w:type="dxa"/>
          </w:tcPr>
          <w:p w14:paraId="431DBEA8"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复发性3～</w:t>
            </w:r>
            <w:r w:rsidRPr="00136FBE">
              <w:rPr>
                <w:rFonts w:ascii="仿宋" w:eastAsia="仿宋" w:hAnsi="仿宋"/>
                <w:color w:val="000000"/>
              </w:rPr>
              <w:t>4</w:t>
            </w:r>
            <w:r w:rsidRPr="00136FBE">
              <w:rPr>
                <w:rFonts w:ascii="仿宋" w:eastAsia="仿宋" w:hAnsi="仿宋" w:hint="eastAsia"/>
                <w:color w:val="000000"/>
              </w:rPr>
              <w:t>级（除外内分泌疾病）</w:t>
            </w:r>
          </w:p>
          <w:p w14:paraId="67280CA5"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末次给药后1</w:t>
            </w:r>
            <w:r w:rsidRPr="00136FBE">
              <w:rPr>
                <w:rFonts w:ascii="仿宋" w:eastAsia="仿宋" w:hAnsi="仿宋"/>
                <w:color w:val="000000"/>
              </w:rPr>
              <w:t>2</w:t>
            </w:r>
            <w:r w:rsidRPr="00136FBE">
              <w:rPr>
                <w:rFonts w:ascii="仿宋" w:eastAsia="仿宋" w:hAnsi="仿宋" w:hint="eastAsia"/>
                <w:color w:val="000000"/>
              </w:rPr>
              <w:t>周内2～</w:t>
            </w:r>
            <w:r w:rsidRPr="00136FBE">
              <w:rPr>
                <w:rFonts w:ascii="仿宋" w:eastAsia="仿宋" w:hAnsi="仿宋"/>
                <w:color w:val="000000"/>
              </w:rPr>
              <w:t>3</w:t>
            </w:r>
            <w:r w:rsidRPr="00136FBE">
              <w:rPr>
                <w:rFonts w:ascii="仿宋" w:eastAsia="仿宋" w:hAnsi="仿宋" w:hint="eastAsia"/>
                <w:color w:val="000000"/>
              </w:rPr>
              <w:t>级不良反应</w:t>
            </w:r>
          </w:p>
          <w:p w14:paraId="0679F913"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未改善到0～</w:t>
            </w:r>
            <w:r w:rsidRPr="00136FBE">
              <w:rPr>
                <w:rFonts w:ascii="仿宋" w:eastAsia="仿宋" w:hAnsi="仿宋"/>
                <w:color w:val="000000"/>
              </w:rPr>
              <w:t>1</w:t>
            </w:r>
            <w:r w:rsidRPr="00136FBE">
              <w:rPr>
                <w:rFonts w:ascii="仿宋" w:eastAsia="仿宋" w:hAnsi="仿宋" w:hint="eastAsia"/>
                <w:color w:val="000000"/>
              </w:rPr>
              <w:t>级（除外内分泌疾病）</w:t>
            </w:r>
          </w:p>
          <w:p w14:paraId="10550D4B"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末次给药后1</w:t>
            </w:r>
            <w:r w:rsidRPr="00136FBE">
              <w:rPr>
                <w:rFonts w:ascii="仿宋" w:eastAsia="仿宋" w:hAnsi="仿宋"/>
                <w:color w:val="000000"/>
              </w:rPr>
              <w:t>2</w:t>
            </w:r>
            <w:r w:rsidRPr="00136FBE">
              <w:rPr>
                <w:rFonts w:ascii="仿宋" w:eastAsia="仿宋" w:hAnsi="仿宋" w:hint="eastAsia"/>
                <w:color w:val="000000"/>
              </w:rPr>
              <w:t>周内糖皮质激素未能降至≤</w:t>
            </w:r>
            <w:r w:rsidRPr="00136FBE">
              <w:rPr>
                <w:rFonts w:ascii="仿宋" w:eastAsia="仿宋" w:hAnsi="仿宋"/>
                <w:color w:val="000000"/>
              </w:rPr>
              <w:t>10</w:t>
            </w:r>
            <w:r w:rsidRPr="00136FBE">
              <w:rPr>
                <w:rFonts w:ascii="仿宋" w:eastAsia="仿宋" w:hAnsi="仿宋" w:hint="eastAsia"/>
                <w:color w:val="000000"/>
              </w:rPr>
              <w:t>mg</w:t>
            </w:r>
            <w:r w:rsidRPr="00136FBE">
              <w:rPr>
                <w:rFonts w:ascii="仿宋" w:eastAsia="仿宋" w:hAnsi="仿宋"/>
                <w:color w:val="000000"/>
              </w:rPr>
              <w:t>/</w:t>
            </w:r>
            <w:r w:rsidRPr="00136FBE">
              <w:rPr>
                <w:rFonts w:ascii="仿宋" w:eastAsia="仿宋" w:hAnsi="仿宋" w:hint="eastAsia"/>
                <w:color w:val="000000"/>
              </w:rPr>
              <w:t>天的强的松等效剂量</w:t>
            </w:r>
          </w:p>
        </w:tc>
        <w:tc>
          <w:tcPr>
            <w:tcW w:w="3402" w:type="dxa"/>
          </w:tcPr>
          <w:p w14:paraId="29EBC359"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r w:rsidR="009E6080" w:rsidRPr="00136FBE" w14:paraId="4A875347" w14:textId="77777777" w:rsidTr="008438A0">
        <w:tc>
          <w:tcPr>
            <w:tcW w:w="1843" w:type="dxa"/>
            <w:vMerge w:val="restart"/>
          </w:tcPr>
          <w:p w14:paraId="4C42DABC"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输液反应</w:t>
            </w:r>
          </w:p>
        </w:tc>
        <w:tc>
          <w:tcPr>
            <w:tcW w:w="4536" w:type="dxa"/>
          </w:tcPr>
          <w:p w14:paraId="3BCE398F"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2级</w:t>
            </w:r>
          </w:p>
        </w:tc>
        <w:tc>
          <w:tcPr>
            <w:tcW w:w="3402" w:type="dxa"/>
          </w:tcPr>
          <w:p w14:paraId="718305ED"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降低滴速或暂停给药，当症状缓解后可考虑恢复用药并密切观察</w:t>
            </w:r>
          </w:p>
        </w:tc>
      </w:tr>
      <w:tr w:rsidR="009E6080" w:rsidRPr="00136FBE" w14:paraId="414C3699" w14:textId="77777777" w:rsidTr="008438A0">
        <w:tc>
          <w:tcPr>
            <w:tcW w:w="1843" w:type="dxa"/>
            <w:vMerge/>
          </w:tcPr>
          <w:p w14:paraId="4492A023" w14:textId="77777777" w:rsidR="009E6080" w:rsidRPr="00136FBE" w:rsidRDefault="009E6080" w:rsidP="008438A0">
            <w:pPr>
              <w:rPr>
                <w:rFonts w:ascii="仿宋" w:eastAsia="仿宋" w:hAnsi="仿宋"/>
                <w:color w:val="000000"/>
              </w:rPr>
            </w:pPr>
          </w:p>
        </w:tc>
        <w:tc>
          <w:tcPr>
            <w:tcW w:w="4536" w:type="dxa"/>
          </w:tcPr>
          <w:p w14:paraId="48163448"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3～</w:t>
            </w:r>
            <w:r w:rsidRPr="00136FBE">
              <w:rPr>
                <w:rFonts w:ascii="仿宋" w:eastAsia="仿宋" w:hAnsi="仿宋"/>
                <w:color w:val="000000"/>
              </w:rPr>
              <w:t>4</w:t>
            </w:r>
            <w:r w:rsidRPr="00136FBE">
              <w:rPr>
                <w:rFonts w:ascii="仿宋" w:eastAsia="仿宋" w:hAnsi="仿宋" w:hint="eastAsia"/>
                <w:color w:val="000000"/>
              </w:rPr>
              <w:t>级</w:t>
            </w:r>
          </w:p>
        </w:tc>
        <w:tc>
          <w:tcPr>
            <w:tcW w:w="3402" w:type="dxa"/>
          </w:tcPr>
          <w:p w14:paraId="16E098A2" w14:textId="77777777" w:rsidR="009E6080" w:rsidRPr="00136FBE" w:rsidRDefault="009E6080" w:rsidP="008438A0">
            <w:pPr>
              <w:rPr>
                <w:rFonts w:ascii="仿宋" w:eastAsia="仿宋" w:hAnsi="仿宋"/>
                <w:color w:val="000000"/>
              </w:rPr>
            </w:pPr>
            <w:r w:rsidRPr="00136FBE">
              <w:rPr>
                <w:rFonts w:ascii="仿宋" w:eastAsia="仿宋" w:hAnsi="仿宋" w:hint="eastAsia"/>
                <w:color w:val="000000"/>
              </w:rPr>
              <w:t>永久停药</w:t>
            </w:r>
          </w:p>
        </w:tc>
      </w:tr>
    </w:tbl>
    <w:p w14:paraId="23D76AD1" w14:textId="77777777" w:rsidR="00BF5907" w:rsidRPr="00136FBE" w:rsidRDefault="00BF5907" w:rsidP="00F8573B">
      <w:pPr>
        <w:spacing w:line="360" w:lineRule="auto"/>
        <w:ind w:firstLineChars="200" w:firstLine="422"/>
        <w:jc w:val="center"/>
        <w:rPr>
          <w:rFonts w:ascii="仿宋" w:eastAsia="仿宋" w:hAnsi="仿宋" w:cs="Times New Roman"/>
          <w:b/>
          <w:color w:val="000000"/>
        </w:rPr>
      </w:pPr>
    </w:p>
    <w:p w14:paraId="1A29A899" w14:textId="77777777" w:rsidR="001E72C3" w:rsidRPr="00136FBE" w:rsidRDefault="001E72C3" w:rsidP="00F8573B">
      <w:pPr>
        <w:spacing w:line="360" w:lineRule="auto"/>
        <w:ind w:firstLineChars="200" w:firstLine="422"/>
        <w:jc w:val="center"/>
        <w:rPr>
          <w:rFonts w:ascii="仿宋" w:eastAsia="仿宋" w:hAnsi="仿宋" w:cs="Times New Roman"/>
          <w:b/>
          <w:color w:val="000000"/>
        </w:rPr>
      </w:pPr>
      <w:r w:rsidRPr="00136FBE">
        <w:rPr>
          <w:rFonts w:ascii="仿宋" w:eastAsia="仿宋" w:hAnsi="仿宋" w:cs="Times New Roman" w:hint="eastAsia"/>
          <w:b/>
          <w:color w:val="000000"/>
        </w:rPr>
        <w:t>附表2</w:t>
      </w:r>
      <w:r w:rsidRPr="00136FBE">
        <w:rPr>
          <w:rFonts w:ascii="仿宋" w:eastAsia="仿宋" w:hAnsi="仿宋" w:cs="Times New Roman"/>
          <w:b/>
          <w:color w:val="000000"/>
        </w:rPr>
        <w:t>反应性毛细血管增生症分级标准和治疗建议</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20"/>
        <w:gridCol w:w="2521"/>
        <w:gridCol w:w="4081"/>
      </w:tblGrid>
      <w:tr w:rsidR="001E72C3" w:rsidRPr="00136FBE" w14:paraId="726AFB40" w14:textId="77777777" w:rsidTr="00D57BB1">
        <w:tc>
          <w:tcPr>
            <w:tcW w:w="1920" w:type="dxa"/>
            <w:tcBorders>
              <w:top w:val="single" w:sz="4" w:space="0" w:color="auto"/>
              <w:left w:val="single" w:sz="4" w:space="0" w:color="auto"/>
              <w:bottom w:val="single" w:sz="4" w:space="0" w:color="auto"/>
              <w:right w:val="single" w:sz="4" w:space="0" w:color="auto"/>
            </w:tcBorders>
            <w:vAlign w:val="center"/>
          </w:tcPr>
          <w:p w14:paraId="4B35B2CC" w14:textId="77777777" w:rsidR="001E72C3" w:rsidRPr="00136FBE" w:rsidRDefault="001E72C3" w:rsidP="00F8573B">
            <w:pPr>
              <w:spacing w:line="360" w:lineRule="auto"/>
              <w:jc w:val="left"/>
              <w:rPr>
                <w:rFonts w:ascii="仿宋" w:eastAsia="仿宋" w:hAnsi="仿宋" w:cs="Times New Roman"/>
                <w:b/>
                <w:color w:val="000000"/>
              </w:rPr>
            </w:pPr>
            <w:r w:rsidRPr="00136FBE">
              <w:rPr>
                <w:rFonts w:ascii="仿宋" w:eastAsia="仿宋" w:hAnsi="仿宋" w:cs="Times New Roman"/>
                <w:b/>
                <w:color w:val="000000"/>
              </w:rPr>
              <w:t xml:space="preserve">分级 </w:t>
            </w:r>
          </w:p>
        </w:tc>
        <w:tc>
          <w:tcPr>
            <w:tcW w:w="2521" w:type="dxa"/>
            <w:tcBorders>
              <w:top w:val="single" w:sz="4" w:space="0" w:color="auto"/>
              <w:left w:val="single" w:sz="4" w:space="0" w:color="auto"/>
              <w:bottom w:val="single" w:sz="4" w:space="0" w:color="auto"/>
              <w:right w:val="single" w:sz="4" w:space="0" w:color="auto"/>
            </w:tcBorders>
            <w:vAlign w:val="center"/>
          </w:tcPr>
          <w:p w14:paraId="6619254F" w14:textId="77777777" w:rsidR="001E72C3" w:rsidRPr="00136FBE" w:rsidRDefault="001E72C3" w:rsidP="00F8573B">
            <w:pPr>
              <w:spacing w:line="360" w:lineRule="auto"/>
              <w:jc w:val="left"/>
              <w:rPr>
                <w:rFonts w:ascii="仿宋" w:eastAsia="仿宋" w:hAnsi="仿宋" w:cs="Times New Roman"/>
                <w:b/>
                <w:color w:val="000000"/>
              </w:rPr>
            </w:pPr>
            <w:r w:rsidRPr="00136FBE">
              <w:rPr>
                <w:rFonts w:ascii="仿宋" w:eastAsia="仿宋" w:hAnsi="仿宋" w:cs="Times New Roman"/>
                <w:b/>
                <w:color w:val="000000"/>
              </w:rPr>
              <w:t xml:space="preserve">临床表现 </w:t>
            </w:r>
          </w:p>
        </w:tc>
        <w:tc>
          <w:tcPr>
            <w:tcW w:w="4081" w:type="dxa"/>
            <w:tcBorders>
              <w:top w:val="single" w:sz="4" w:space="0" w:color="auto"/>
              <w:left w:val="single" w:sz="4" w:space="0" w:color="auto"/>
              <w:bottom w:val="single" w:sz="4" w:space="0" w:color="auto"/>
              <w:right w:val="single" w:sz="4" w:space="0" w:color="auto"/>
            </w:tcBorders>
            <w:vAlign w:val="center"/>
          </w:tcPr>
          <w:p w14:paraId="6DB9226F" w14:textId="77777777" w:rsidR="001E72C3" w:rsidRPr="00136FBE" w:rsidRDefault="001E72C3" w:rsidP="00F8573B">
            <w:pPr>
              <w:spacing w:line="360" w:lineRule="auto"/>
              <w:jc w:val="left"/>
              <w:rPr>
                <w:rFonts w:ascii="仿宋" w:eastAsia="仿宋" w:hAnsi="仿宋" w:cs="Times New Roman"/>
                <w:b/>
                <w:color w:val="000000"/>
              </w:rPr>
            </w:pPr>
            <w:r w:rsidRPr="00136FBE">
              <w:rPr>
                <w:rFonts w:ascii="仿宋" w:eastAsia="仿宋" w:hAnsi="仿宋" w:cs="Times New Roman"/>
                <w:b/>
                <w:color w:val="000000"/>
              </w:rPr>
              <w:t>治疗建议</w:t>
            </w:r>
          </w:p>
        </w:tc>
      </w:tr>
      <w:tr w:rsidR="001E72C3" w:rsidRPr="00136FBE" w14:paraId="15D786F0" w14:textId="77777777" w:rsidTr="00D57BB1">
        <w:tc>
          <w:tcPr>
            <w:tcW w:w="1920" w:type="dxa"/>
            <w:tcBorders>
              <w:top w:val="single" w:sz="4" w:space="0" w:color="auto"/>
              <w:left w:val="single" w:sz="4" w:space="0" w:color="auto"/>
              <w:bottom w:val="single" w:sz="4" w:space="0" w:color="auto"/>
              <w:right w:val="single" w:sz="4" w:space="0" w:color="auto"/>
            </w:tcBorders>
            <w:vAlign w:val="center"/>
          </w:tcPr>
          <w:p w14:paraId="0D35BB11"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 xml:space="preserve">1级 </w:t>
            </w:r>
          </w:p>
        </w:tc>
        <w:tc>
          <w:tcPr>
            <w:tcW w:w="2521" w:type="dxa"/>
            <w:tcBorders>
              <w:top w:val="single" w:sz="4" w:space="0" w:color="auto"/>
              <w:left w:val="single" w:sz="4" w:space="0" w:color="auto"/>
              <w:bottom w:val="single" w:sz="4" w:space="0" w:color="auto"/>
              <w:right w:val="single" w:sz="4" w:space="0" w:color="auto"/>
            </w:tcBorders>
            <w:vAlign w:val="center"/>
          </w:tcPr>
          <w:p w14:paraId="6156358B"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单个最大直径≤10mm，伴或不伴破溃出血</w:t>
            </w:r>
          </w:p>
        </w:tc>
        <w:tc>
          <w:tcPr>
            <w:tcW w:w="4081" w:type="dxa"/>
            <w:tcBorders>
              <w:top w:val="single" w:sz="4" w:space="0" w:color="auto"/>
              <w:left w:val="single" w:sz="4" w:space="0" w:color="auto"/>
              <w:bottom w:val="single" w:sz="4" w:space="0" w:color="auto"/>
              <w:right w:val="single" w:sz="4" w:space="0" w:color="auto"/>
            </w:tcBorders>
            <w:vAlign w:val="center"/>
          </w:tcPr>
          <w:p w14:paraId="43510271"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继续用药，易摩擦部位可用纱布保护，避免出血。破溃出血者可采用局部压迫止血治疗</w:t>
            </w:r>
          </w:p>
        </w:tc>
      </w:tr>
      <w:tr w:rsidR="001E72C3" w:rsidRPr="00136FBE" w14:paraId="3F5D54EA" w14:textId="77777777" w:rsidTr="00D57BB1">
        <w:tc>
          <w:tcPr>
            <w:tcW w:w="1920" w:type="dxa"/>
            <w:tcBorders>
              <w:top w:val="single" w:sz="4" w:space="0" w:color="auto"/>
              <w:left w:val="single" w:sz="4" w:space="0" w:color="auto"/>
              <w:bottom w:val="single" w:sz="4" w:space="0" w:color="auto"/>
              <w:right w:val="single" w:sz="4" w:space="0" w:color="auto"/>
            </w:tcBorders>
            <w:vAlign w:val="center"/>
          </w:tcPr>
          <w:p w14:paraId="08606F85"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 xml:space="preserve">2级 </w:t>
            </w:r>
          </w:p>
        </w:tc>
        <w:tc>
          <w:tcPr>
            <w:tcW w:w="2521" w:type="dxa"/>
            <w:tcBorders>
              <w:top w:val="single" w:sz="4" w:space="0" w:color="auto"/>
              <w:left w:val="single" w:sz="4" w:space="0" w:color="auto"/>
              <w:bottom w:val="single" w:sz="4" w:space="0" w:color="auto"/>
              <w:right w:val="single" w:sz="4" w:space="0" w:color="auto"/>
            </w:tcBorders>
            <w:vAlign w:val="center"/>
          </w:tcPr>
          <w:p w14:paraId="76A2FBFB"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单个最大直径＞10mm，伴或不伴破溃出血</w:t>
            </w:r>
          </w:p>
        </w:tc>
        <w:tc>
          <w:tcPr>
            <w:tcW w:w="4081" w:type="dxa"/>
            <w:tcBorders>
              <w:top w:val="single" w:sz="4" w:space="0" w:color="auto"/>
              <w:left w:val="single" w:sz="4" w:space="0" w:color="auto"/>
              <w:bottom w:val="single" w:sz="4" w:space="0" w:color="auto"/>
              <w:right w:val="single" w:sz="4" w:space="0" w:color="auto"/>
            </w:tcBorders>
            <w:vAlign w:val="center"/>
          </w:tcPr>
          <w:p w14:paraId="65A9D500"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继续用药，易摩擦部位可用纱布保护，避免出血。破溃出血者可局部压迫止血，或采取局部治疗措施，如激光或手术切除等。避免破溃处感染</w:t>
            </w:r>
          </w:p>
        </w:tc>
      </w:tr>
      <w:tr w:rsidR="001E72C3" w:rsidRPr="00136FBE" w14:paraId="4F257D95" w14:textId="77777777" w:rsidTr="00D57BB1">
        <w:tc>
          <w:tcPr>
            <w:tcW w:w="1920" w:type="dxa"/>
            <w:tcBorders>
              <w:top w:val="single" w:sz="4" w:space="0" w:color="auto"/>
              <w:left w:val="single" w:sz="4" w:space="0" w:color="auto"/>
              <w:bottom w:val="single" w:sz="4" w:space="0" w:color="auto"/>
              <w:right w:val="single" w:sz="4" w:space="0" w:color="auto"/>
            </w:tcBorders>
            <w:vAlign w:val="center"/>
          </w:tcPr>
          <w:p w14:paraId="7A8F6EC5"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 xml:space="preserve">3级 </w:t>
            </w:r>
          </w:p>
        </w:tc>
        <w:tc>
          <w:tcPr>
            <w:tcW w:w="2521" w:type="dxa"/>
            <w:tcBorders>
              <w:top w:val="single" w:sz="4" w:space="0" w:color="auto"/>
              <w:left w:val="single" w:sz="4" w:space="0" w:color="auto"/>
              <w:bottom w:val="single" w:sz="4" w:space="0" w:color="auto"/>
              <w:right w:val="single" w:sz="4" w:space="0" w:color="auto"/>
            </w:tcBorders>
            <w:vAlign w:val="center"/>
          </w:tcPr>
          <w:p w14:paraId="6B996CA2"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呈泛发性，可以并发皮肤感染，可能需要住院治疗</w:t>
            </w:r>
          </w:p>
        </w:tc>
        <w:tc>
          <w:tcPr>
            <w:tcW w:w="4081" w:type="dxa"/>
            <w:tcBorders>
              <w:top w:val="single" w:sz="4" w:space="0" w:color="auto"/>
              <w:left w:val="single" w:sz="4" w:space="0" w:color="auto"/>
              <w:bottom w:val="single" w:sz="4" w:space="0" w:color="auto"/>
              <w:right w:val="single" w:sz="4" w:space="0" w:color="auto"/>
            </w:tcBorders>
            <w:vAlign w:val="center"/>
          </w:tcPr>
          <w:p w14:paraId="77E9606F"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暂停用药，待恢复至≤1级后恢复给药，易摩擦部位可用纱布保护，避免出血。破溃出血者可局部压迫止血，或采取局部治疗措施如激光或手术切除等，并发感染者给予抗感染治疗</w:t>
            </w:r>
          </w:p>
        </w:tc>
      </w:tr>
      <w:tr w:rsidR="001E72C3" w:rsidRPr="00136FBE" w14:paraId="5FACF9C3" w14:textId="77777777" w:rsidTr="00D57BB1">
        <w:tc>
          <w:tcPr>
            <w:tcW w:w="1920" w:type="dxa"/>
            <w:tcBorders>
              <w:top w:val="single" w:sz="4" w:space="0" w:color="auto"/>
              <w:left w:val="single" w:sz="4" w:space="0" w:color="auto"/>
              <w:bottom w:val="single" w:sz="4" w:space="0" w:color="auto"/>
              <w:right w:val="single" w:sz="4" w:space="0" w:color="auto"/>
            </w:tcBorders>
            <w:vAlign w:val="center"/>
          </w:tcPr>
          <w:p w14:paraId="6C4F8F53"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 xml:space="preserve">4级 </w:t>
            </w:r>
          </w:p>
        </w:tc>
        <w:tc>
          <w:tcPr>
            <w:tcW w:w="2521" w:type="dxa"/>
            <w:tcBorders>
              <w:top w:val="single" w:sz="4" w:space="0" w:color="auto"/>
              <w:left w:val="single" w:sz="4" w:space="0" w:color="auto"/>
              <w:bottom w:val="single" w:sz="4" w:space="0" w:color="auto"/>
              <w:right w:val="single" w:sz="4" w:space="0" w:color="auto"/>
            </w:tcBorders>
            <w:vAlign w:val="center"/>
          </w:tcPr>
          <w:p w14:paraId="433A46F5"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 xml:space="preserve">多发和泛发，威胁生命 </w:t>
            </w:r>
          </w:p>
        </w:tc>
        <w:tc>
          <w:tcPr>
            <w:tcW w:w="4081" w:type="dxa"/>
            <w:tcBorders>
              <w:top w:val="single" w:sz="4" w:space="0" w:color="auto"/>
              <w:left w:val="single" w:sz="4" w:space="0" w:color="auto"/>
              <w:bottom w:val="single" w:sz="4" w:space="0" w:color="auto"/>
              <w:right w:val="single" w:sz="4" w:space="0" w:color="auto"/>
            </w:tcBorders>
            <w:vAlign w:val="center"/>
          </w:tcPr>
          <w:p w14:paraId="2DC0FCBF"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永久停药</w:t>
            </w:r>
          </w:p>
        </w:tc>
      </w:tr>
      <w:tr w:rsidR="001E72C3" w:rsidRPr="00F8573B" w14:paraId="17CF3199" w14:textId="77777777" w:rsidTr="00D57BB1">
        <w:tc>
          <w:tcPr>
            <w:tcW w:w="1920" w:type="dxa"/>
            <w:tcBorders>
              <w:top w:val="single" w:sz="4" w:space="0" w:color="auto"/>
              <w:left w:val="single" w:sz="4" w:space="0" w:color="auto"/>
              <w:bottom w:val="single" w:sz="4" w:space="0" w:color="auto"/>
              <w:right w:val="single" w:sz="4" w:space="0" w:color="auto"/>
            </w:tcBorders>
            <w:vAlign w:val="center"/>
          </w:tcPr>
          <w:p w14:paraId="09F68788" w14:textId="77777777" w:rsidR="001E72C3" w:rsidRPr="00136FBE"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 xml:space="preserve">5级 </w:t>
            </w:r>
          </w:p>
        </w:tc>
        <w:tc>
          <w:tcPr>
            <w:tcW w:w="2521" w:type="dxa"/>
            <w:tcBorders>
              <w:top w:val="single" w:sz="4" w:space="0" w:color="auto"/>
              <w:left w:val="single" w:sz="4" w:space="0" w:color="auto"/>
              <w:bottom w:val="single" w:sz="4" w:space="0" w:color="auto"/>
              <w:right w:val="single" w:sz="4" w:space="0" w:color="auto"/>
            </w:tcBorders>
            <w:vAlign w:val="center"/>
          </w:tcPr>
          <w:p w14:paraId="51BA3024" w14:textId="77777777" w:rsidR="001E72C3" w:rsidRPr="00F8573B" w:rsidRDefault="001E72C3" w:rsidP="00F8573B">
            <w:pPr>
              <w:spacing w:line="360" w:lineRule="auto"/>
              <w:jc w:val="left"/>
              <w:rPr>
                <w:rFonts w:ascii="仿宋" w:eastAsia="仿宋" w:hAnsi="仿宋" w:cs="Times New Roman"/>
                <w:color w:val="000000"/>
              </w:rPr>
            </w:pPr>
            <w:r w:rsidRPr="00136FBE">
              <w:rPr>
                <w:rFonts w:ascii="仿宋" w:eastAsia="仿宋" w:hAnsi="仿宋" w:cs="Times New Roman"/>
                <w:color w:val="000000"/>
              </w:rPr>
              <w:t>死亡</w:t>
            </w:r>
          </w:p>
        </w:tc>
        <w:tc>
          <w:tcPr>
            <w:tcW w:w="4081" w:type="dxa"/>
            <w:vAlign w:val="center"/>
          </w:tcPr>
          <w:p w14:paraId="6ED5B6B5" w14:textId="77777777" w:rsidR="001E72C3" w:rsidRPr="00F8573B" w:rsidRDefault="001E72C3" w:rsidP="00F8573B">
            <w:pPr>
              <w:spacing w:line="360" w:lineRule="auto"/>
              <w:jc w:val="left"/>
              <w:rPr>
                <w:rFonts w:ascii="仿宋" w:eastAsia="仿宋" w:hAnsi="仿宋" w:cs="Times New Roman"/>
                <w:color w:val="000000"/>
              </w:rPr>
            </w:pPr>
          </w:p>
        </w:tc>
      </w:tr>
    </w:tbl>
    <w:p w14:paraId="02AE672B" w14:textId="77777777" w:rsidR="00B23A40" w:rsidRDefault="00B23A40">
      <w:pPr>
        <w:spacing w:line="480" w:lineRule="exact"/>
        <w:rPr>
          <w:rFonts w:ascii="仿宋_GB2312" w:eastAsia="仿宋_GB2312" w:hAnsi="宋体" w:cs="Times New Roman"/>
          <w:sz w:val="28"/>
          <w:szCs w:val="28"/>
        </w:rPr>
      </w:pPr>
    </w:p>
    <w:sectPr w:rsidR="00B23A40" w:rsidSect="005E449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1AC53" w14:textId="77777777" w:rsidR="003F393B" w:rsidRDefault="003F393B">
      <w:r>
        <w:separator/>
      </w:r>
    </w:p>
  </w:endnote>
  <w:endnote w:type="continuationSeparator" w:id="0">
    <w:p w14:paraId="21362A4D" w14:textId="77777777" w:rsidR="003F393B" w:rsidRDefault="003F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haker 2 Lancet">
    <w:altName w:val="微软雅黑"/>
    <w:charset w:val="86"/>
    <w:family w:val="swiss"/>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AFEE" w14:textId="77777777" w:rsidR="004F03F7" w:rsidRDefault="003F393B">
    <w:pPr>
      <w:pStyle w:val="af"/>
      <w:jc w:val="center"/>
    </w:pPr>
    <w:r>
      <w:fldChar w:fldCharType="begin"/>
    </w:r>
    <w:r>
      <w:instrText xml:space="preserve"> PAGE </w:instrText>
    </w:r>
    <w:r>
      <w:fldChar w:fldCharType="separate"/>
    </w:r>
    <w:r w:rsidR="00F94DDC">
      <w:rPr>
        <w:noProof/>
      </w:rPr>
      <w:t>4</w:t>
    </w:r>
    <w:r>
      <w:rPr>
        <w:noProof/>
      </w:rPr>
      <w:fldChar w:fldCharType="end"/>
    </w:r>
  </w:p>
  <w:p w14:paraId="397B04DF" w14:textId="77777777" w:rsidR="004F03F7" w:rsidRDefault="004F03F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37897" w14:textId="77777777" w:rsidR="003F393B" w:rsidRDefault="003F393B">
      <w:r>
        <w:separator/>
      </w:r>
    </w:p>
  </w:footnote>
  <w:footnote w:type="continuationSeparator" w:id="0">
    <w:p w14:paraId="15560645" w14:textId="77777777" w:rsidR="003F393B" w:rsidRDefault="003F3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75EB"/>
    <w:rsid w:val="D7FB3D84"/>
    <w:rsid w:val="000022BA"/>
    <w:rsid w:val="000034FC"/>
    <w:rsid w:val="00004C43"/>
    <w:rsid w:val="00010695"/>
    <w:rsid w:val="000117CE"/>
    <w:rsid w:val="00011814"/>
    <w:rsid w:val="00015DE6"/>
    <w:rsid w:val="000175C9"/>
    <w:rsid w:val="0001765A"/>
    <w:rsid w:val="00020185"/>
    <w:rsid w:val="00020E94"/>
    <w:rsid w:val="0002109A"/>
    <w:rsid w:val="000210CF"/>
    <w:rsid w:val="000213CA"/>
    <w:rsid w:val="00021C6E"/>
    <w:rsid w:val="00022455"/>
    <w:rsid w:val="00022912"/>
    <w:rsid w:val="00023897"/>
    <w:rsid w:val="000249D9"/>
    <w:rsid w:val="00024BC0"/>
    <w:rsid w:val="00024D5F"/>
    <w:rsid w:val="000253B0"/>
    <w:rsid w:val="00027232"/>
    <w:rsid w:val="00027242"/>
    <w:rsid w:val="00027D48"/>
    <w:rsid w:val="00027ED0"/>
    <w:rsid w:val="00030F03"/>
    <w:rsid w:val="0003127F"/>
    <w:rsid w:val="00031946"/>
    <w:rsid w:val="000319BF"/>
    <w:rsid w:val="00031C0B"/>
    <w:rsid w:val="00032E95"/>
    <w:rsid w:val="00034C03"/>
    <w:rsid w:val="000353DF"/>
    <w:rsid w:val="00036D44"/>
    <w:rsid w:val="00037101"/>
    <w:rsid w:val="00042D07"/>
    <w:rsid w:val="00044E7D"/>
    <w:rsid w:val="000464C2"/>
    <w:rsid w:val="00047CD8"/>
    <w:rsid w:val="0005029C"/>
    <w:rsid w:val="00052845"/>
    <w:rsid w:val="00057932"/>
    <w:rsid w:val="00060AED"/>
    <w:rsid w:val="000617CB"/>
    <w:rsid w:val="00061AF9"/>
    <w:rsid w:val="00061FA5"/>
    <w:rsid w:val="00062582"/>
    <w:rsid w:val="000632DA"/>
    <w:rsid w:val="0006332C"/>
    <w:rsid w:val="00067DD6"/>
    <w:rsid w:val="000731EE"/>
    <w:rsid w:val="000739D7"/>
    <w:rsid w:val="00076D01"/>
    <w:rsid w:val="00077D68"/>
    <w:rsid w:val="00080074"/>
    <w:rsid w:val="00081202"/>
    <w:rsid w:val="000814D5"/>
    <w:rsid w:val="000815D3"/>
    <w:rsid w:val="00082D63"/>
    <w:rsid w:val="00084F67"/>
    <w:rsid w:val="00084F9E"/>
    <w:rsid w:val="00085280"/>
    <w:rsid w:val="00085B84"/>
    <w:rsid w:val="00085C11"/>
    <w:rsid w:val="000876D4"/>
    <w:rsid w:val="0009469F"/>
    <w:rsid w:val="00094AF8"/>
    <w:rsid w:val="000A04F6"/>
    <w:rsid w:val="000A191E"/>
    <w:rsid w:val="000A49F8"/>
    <w:rsid w:val="000A6079"/>
    <w:rsid w:val="000A75A6"/>
    <w:rsid w:val="000B0043"/>
    <w:rsid w:val="000B21F5"/>
    <w:rsid w:val="000B3B9C"/>
    <w:rsid w:val="000B4648"/>
    <w:rsid w:val="000B6EE2"/>
    <w:rsid w:val="000C03C8"/>
    <w:rsid w:val="000C1EC3"/>
    <w:rsid w:val="000D176E"/>
    <w:rsid w:val="000D238F"/>
    <w:rsid w:val="000D6C6E"/>
    <w:rsid w:val="000E2993"/>
    <w:rsid w:val="000E2E19"/>
    <w:rsid w:val="000E34FA"/>
    <w:rsid w:val="000E3ADB"/>
    <w:rsid w:val="000E5976"/>
    <w:rsid w:val="000F0C5B"/>
    <w:rsid w:val="000F29B8"/>
    <w:rsid w:val="000F2EC4"/>
    <w:rsid w:val="000F3450"/>
    <w:rsid w:val="000F375A"/>
    <w:rsid w:val="000F6B2D"/>
    <w:rsid w:val="0010266A"/>
    <w:rsid w:val="00103225"/>
    <w:rsid w:val="00105124"/>
    <w:rsid w:val="001125B3"/>
    <w:rsid w:val="00113865"/>
    <w:rsid w:val="0011497E"/>
    <w:rsid w:val="0011540A"/>
    <w:rsid w:val="00121EA3"/>
    <w:rsid w:val="00122F51"/>
    <w:rsid w:val="00123AA1"/>
    <w:rsid w:val="00123BB2"/>
    <w:rsid w:val="00125247"/>
    <w:rsid w:val="001253AE"/>
    <w:rsid w:val="00127929"/>
    <w:rsid w:val="0013033A"/>
    <w:rsid w:val="0013273F"/>
    <w:rsid w:val="00133DBA"/>
    <w:rsid w:val="00135022"/>
    <w:rsid w:val="00135AC5"/>
    <w:rsid w:val="0013632B"/>
    <w:rsid w:val="00136FBE"/>
    <w:rsid w:val="001420E3"/>
    <w:rsid w:val="00143404"/>
    <w:rsid w:val="001446E1"/>
    <w:rsid w:val="00144DAF"/>
    <w:rsid w:val="00145BDC"/>
    <w:rsid w:val="00146E9D"/>
    <w:rsid w:val="001476BA"/>
    <w:rsid w:val="0014797D"/>
    <w:rsid w:val="00151D7F"/>
    <w:rsid w:val="00154CBD"/>
    <w:rsid w:val="0015542F"/>
    <w:rsid w:val="00155C5E"/>
    <w:rsid w:val="00156049"/>
    <w:rsid w:val="001608B0"/>
    <w:rsid w:val="001702CC"/>
    <w:rsid w:val="001716E7"/>
    <w:rsid w:val="00172F37"/>
    <w:rsid w:val="001736C3"/>
    <w:rsid w:val="00181808"/>
    <w:rsid w:val="001850C6"/>
    <w:rsid w:val="00195F50"/>
    <w:rsid w:val="00196401"/>
    <w:rsid w:val="0019664F"/>
    <w:rsid w:val="00197D58"/>
    <w:rsid w:val="001A0F34"/>
    <w:rsid w:val="001A20E2"/>
    <w:rsid w:val="001A3C34"/>
    <w:rsid w:val="001A43B8"/>
    <w:rsid w:val="001A46D0"/>
    <w:rsid w:val="001A46F2"/>
    <w:rsid w:val="001A4902"/>
    <w:rsid w:val="001A5075"/>
    <w:rsid w:val="001A58CC"/>
    <w:rsid w:val="001A6002"/>
    <w:rsid w:val="001A6174"/>
    <w:rsid w:val="001A7066"/>
    <w:rsid w:val="001B785E"/>
    <w:rsid w:val="001C0861"/>
    <w:rsid w:val="001C08B9"/>
    <w:rsid w:val="001C21AA"/>
    <w:rsid w:val="001C222C"/>
    <w:rsid w:val="001C4AF4"/>
    <w:rsid w:val="001D2593"/>
    <w:rsid w:val="001D4982"/>
    <w:rsid w:val="001D4AD1"/>
    <w:rsid w:val="001D63F4"/>
    <w:rsid w:val="001D7BEA"/>
    <w:rsid w:val="001D7EC3"/>
    <w:rsid w:val="001E4D24"/>
    <w:rsid w:val="001E5BAD"/>
    <w:rsid w:val="001E6072"/>
    <w:rsid w:val="001E62D0"/>
    <w:rsid w:val="001E646A"/>
    <w:rsid w:val="001E72C3"/>
    <w:rsid w:val="001F03A4"/>
    <w:rsid w:val="001F0994"/>
    <w:rsid w:val="001F2662"/>
    <w:rsid w:val="001F2F03"/>
    <w:rsid w:val="001F321D"/>
    <w:rsid w:val="001F4053"/>
    <w:rsid w:val="001F5206"/>
    <w:rsid w:val="001F5F58"/>
    <w:rsid w:val="001F6F4D"/>
    <w:rsid w:val="00203011"/>
    <w:rsid w:val="00207628"/>
    <w:rsid w:val="00213169"/>
    <w:rsid w:val="002154E4"/>
    <w:rsid w:val="00220F4A"/>
    <w:rsid w:val="00227414"/>
    <w:rsid w:val="00227F6E"/>
    <w:rsid w:val="00232935"/>
    <w:rsid w:val="002334FE"/>
    <w:rsid w:val="00233F56"/>
    <w:rsid w:val="00236D8F"/>
    <w:rsid w:val="00240460"/>
    <w:rsid w:val="0024463E"/>
    <w:rsid w:val="00246321"/>
    <w:rsid w:val="002465B7"/>
    <w:rsid w:val="00247CA2"/>
    <w:rsid w:val="0025119D"/>
    <w:rsid w:val="00251E9B"/>
    <w:rsid w:val="00254589"/>
    <w:rsid w:val="0025507D"/>
    <w:rsid w:val="00257819"/>
    <w:rsid w:val="002579FC"/>
    <w:rsid w:val="002612BE"/>
    <w:rsid w:val="0026133F"/>
    <w:rsid w:val="00261B42"/>
    <w:rsid w:val="00262878"/>
    <w:rsid w:val="002654DD"/>
    <w:rsid w:val="0026563A"/>
    <w:rsid w:val="00265DFC"/>
    <w:rsid w:val="00273F9A"/>
    <w:rsid w:val="002742C3"/>
    <w:rsid w:val="002744B6"/>
    <w:rsid w:val="002817B8"/>
    <w:rsid w:val="00281CF1"/>
    <w:rsid w:val="00283011"/>
    <w:rsid w:val="002858AB"/>
    <w:rsid w:val="00286AED"/>
    <w:rsid w:val="002907E5"/>
    <w:rsid w:val="00292850"/>
    <w:rsid w:val="00294CBD"/>
    <w:rsid w:val="00294D70"/>
    <w:rsid w:val="00296041"/>
    <w:rsid w:val="002978D4"/>
    <w:rsid w:val="00297BEA"/>
    <w:rsid w:val="002A0C50"/>
    <w:rsid w:val="002A524E"/>
    <w:rsid w:val="002A5D31"/>
    <w:rsid w:val="002A648C"/>
    <w:rsid w:val="002A70A9"/>
    <w:rsid w:val="002B0037"/>
    <w:rsid w:val="002B25D9"/>
    <w:rsid w:val="002B38E2"/>
    <w:rsid w:val="002B4C40"/>
    <w:rsid w:val="002C1D47"/>
    <w:rsid w:val="002C3BC4"/>
    <w:rsid w:val="002C4AB3"/>
    <w:rsid w:val="002C6836"/>
    <w:rsid w:val="002C6AE4"/>
    <w:rsid w:val="002C6BD0"/>
    <w:rsid w:val="002D278F"/>
    <w:rsid w:val="002D2992"/>
    <w:rsid w:val="002D3F85"/>
    <w:rsid w:val="002D5D9F"/>
    <w:rsid w:val="002D6555"/>
    <w:rsid w:val="002D6BAE"/>
    <w:rsid w:val="002E0F69"/>
    <w:rsid w:val="002E2F19"/>
    <w:rsid w:val="002E3CD3"/>
    <w:rsid w:val="002E584B"/>
    <w:rsid w:val="002E71E7"/>
    <w:rsid w:val="002F034F"/>
    <w:rsid w:val="002F0C77"/>
    <w:rsid w:val="002F22E8"/>
    <w:rsid w:val="002F5C57"/>
    <w:rsid w:val="002F5D96"/>
    <w:rsid w:val="003004D9"/>
    <w:rsid w:val="0030069E"/>
    <w:rsid w:val="00306834"/>
    <w:rsid w:val="00306F2F"/>
    <w:rsid w:val="003109DB"/>
    <w:rsid w:val="00310B1B"/>
    <w:rsid w:val="0031378F"/>
    <w:rsid w:val="00313C5E"/>
    <w:rsid w:val="00315649"/>
    <w:rsid w:val="00316BA4"/>
    <w:rsid w:val="00320017"/>
    <w:rsid w:val="00320C42"/>
    <w:rsid w:val="003243E0"/>
    <w:rsid w:val="00326050"/>
    <w:rsid w:val="00326B02"/>
    <w:rsid w:val="00337FFD"/>
    <w:rsid w:val="00346351"/>
    <w:rsid w:val="003473BD"/>
    <w:rsid w:val="003504EB"/>
    <w:rsid w:val="00352626"/>
    <w:rsid w:val="00353237"/>
    <w:rsid w:val="00354AA1"/>
    <w:rsid w:val="00354AF9"/>
    <w:rsid w:val="003574B2"/>
    <w:rsid w:val="00357CA0"/>
    <w:rsid w:val="00357D48"/>
    <w:rsid w:val="00360C63"/>
    <w:rsid w:val="00362E85"/>
    <w:rsid w:val="0036434E"/>
    <w:rsid w:val="00364D5A"/>
    <w:rsid w:val="00365F85"/>
    <w:rsid w:val="003804BA"/>
    <w:rsid w:val="00381374"/>
    <w:rsid w:val="00382073"/>
    <w:rsid w:val="003835A1"/>
    <w:rsid w:val="00392393"/>
    <w:rsid w:val="00392753"/>
    <w:rsid w:val="0039637E"/>
    <w:rsid w:val="00397FAE"/>
    <w:rsid w:val="003A0D8F"/>
    <w:rsid w:val="003A18A7"/>
    <w:rsid w:val="003A5C08"/>
    <w:rsid w:val="003B0B23"/>
    <w:rsid w:val="003B456C"/>
    <w:rsid w:val="003C119E"/>
    <w:rsid w:val="003C230F"/>
    <w:rsid w:val="003C3254"/>
    <w:rsid w:val="003C3ABC"/>
    <w:rsid w:val="003C4D37"/>
    <w:rsid w:val="003C4EA9"/>
    <w:rsid w:val="003C5609"/>
    <w:rsid w:val="003C6BF5"/>
    <w:rsid w:val="003C7FB4"/>
    <w:rsid w:val="003D32B6"/>
    <w:rsid w:val="003D66B8"/>
    <w:rsid w:val="003D6778"/>
    <w:rsid w:val="003D6937"/>
    <w:rsid w:val="003D6E47"/>
    <w:rsid w:val="003E157A"/>
    <w:rsid w:val="003E2B32"/>
    <w:rsid w:val="003E51F4"/>
    <w:rsid w:val="003E5E30"/>
    <w:rsid w:val="003E7C82"/>
    <w:rsid w:val="003F1CDC"/>
    <w:rsid w:val="003F2357"/>
    <w:rsid w:val="003F393B"/>
    <w:rsid w:val="003F6159"/>
    <w:rsid w:val="003F6F2D"/>
    <w:rsid w:val="0040184E"/>
    <w:rsid w:val="004021D5"/>
    <w:rsid w:val="004048B2"/>
    <w:rsid w:val="00404D24"/>
    <w:rsid w:val="00404FF6"/>
    <w:rsid w:val="00405FA9"/>
    <w:rsid w:val="00411324"/>
    <w:rsid w:val="00413B79"/>
    <w:rsid w:val="00416493"/>
    <w:rsid w:val="00421CE4"/>
    <w:rsid w:val="00422744"/>
    <w:rsid w:val="00422946"/>
    <w:rsid w:val="00423E19"/>
    <w:rsid w:val="004244D4"/>
    <w:rsid w:val="00424E11"/>
    <w:rsid w:val="004256F1"/>
    <w:rsid w:val="00427E5C"/>
    <w:rsid w:val="00431E36"/>
    <w:rsid w:val="00431F51"/>
    <w:rsid w:val="0044011C"/>
    <w:rsid w:val="0044035B"/>
    <w:rsid w:val="00440F03"/>
    <w:rsid w:val="004413C1"/>
    <w:rsid w:val="00441816"/>
    <w:rsid w:val="00442501"/>
    <w:rsid w:val="00442B7F"/>
    <w:rsid w:val="00444D77"/>
    <w:rsid w:val="004450DC"/>
    <w:rsid w:val="004467A6"/>
    <w:rsid w:val="004468FB"/>
    <w:rsid w:val="00446910"/>
    <w:rsid w:val="00447816"/>
    <w:rsid w:val="0045057D"/>
    <w:rsid w:val="00451486"/>
    <w:rsid w:val="004524F0"/>
    <w:rsid w:val="0045394B"/>
    <w:rsid w:val="0045455C"/>
    <w:rsid w:val="004577AF"/>
    <w:rsid w:val="004616A2"/>
    <w:rsid w:val="00471A80"/>
    <w:rsid w:val="00471B7A"/>
    <w:rsid w:val="00471ED4"/>
    <w:rsid w:val="00474F38"/>
    <w:rsid w:val="00476A64"/>
    <w:rsid w:val="0048041E"/>
    <w:rsid w:val="00480A7D"/>
    <w:rsid w:val="00481B37"/>
    <w:rsid w:val="004825B9"/>
    <w:rsid w:val="00482A22"/>
    <w:rsid w:val="00483D90"/>
    <w:rsid w:val="00484425"/>
    <w:rsid w:val="00486236"/>
    <w:rsid w:val="004873CD"/>
    <w:rsid w:val="00487A1C"/>
    <w:rsid w:val="00490DA0"/>
    <w:rsid w:val="00496B47"/>
    <w:rsid w:val="004B2B1D"/>
    <w:rsid w:val="004B47A6"/>
    <w:rsid w:val="004B53A2"/>
    <w:rsid w:val="004B59C4"/>
    <w:rsid w:val="004B663F"/>
    <w:rsid w:val="004B6887"/>
    <w:rsid w:val="004B6B9B"/>
    <w:rsid w:val="004B71F2"/>
    <w:rsid w:val="004C1E08"/>
    <w:rsid w:val="004C2385"/>
    <w:rsid w:val="004C30D3"/>
    <w:rsid w:val="004C47CB"/>
    <w:rsid w:val="004C68CF"/>
    <w:rsid w:val="004D12DF"/>
    <w:rsid w:val="004D1B84"/>
    <w:rsid w:val="004D33BA"/>
    <w:rsid w:val="004D3A24"/>
    <w:rsid w:val="004D3C7F"/>
    <w:rsid w:val="004D456C"/>
    <w:rsid w:val="004D4630"/>
    <w:rsid w:val="004D712A"/>
    <w:rsid w:val="004D7257"/>
    <w:rsid w:val="004E270F"/>
    <w:rsid w:val="004E523A"/>
    <w:rsid w:val="004E67CE"/>
    <w:rsid w:val="004F03F7"/>
    <w:rsid w:val="004F08D7"/>
    <w:rsid w:val="004F35BB"/>
    <w:rsid w:val="004F5369"/>
    <w:rsid w:val="004F5BC5"/>
    <w:rsid w:val="00502BEA"/>
    <w:rsid w:val="00513799"/>
    <w:rsid w:val="00513C7E"/>
    <w:rsid w:val="00515A18"/>
    <w:rsid w:val="005178AA"/>
    <w:rsid w:val="005200D6"/>
    <w:rsid w:val="005240DA"/>
    <w:rsid w:val="005268DA"/>
    <w:rsid w:val="00526DAF"/>
    <w:rsid w:val="00526F2A"/>
    <w:rsid w:val="00532726"/>
    <w:rsid w:val="00542BB5"/>
    <w:rsid w:val="00543B77"/>
    <w:rsid w:val="00543DBF"/>
    <w:rsid w:val="00544739"/>
    <w:rsid w:val="00553501"/>
    <w:rsid w:val="00565AE9"/>
    <w:rsid w:val="00565C8F"/>
    <w:rsid w:val="00570317"/>
    <w:rsid w:val="00574A0C"/>
    <w:rsid w:val="00576A87"/>
    <w:rsid w:val="00576AAB"/>
    <w:rsid w:val="00580975"/>
    <w:rsid w:val="00585386"/>
    <w:rsid w:val="00591B52"/>
    <w:rsid w:val="00591E9E"/>
    <w:rsid w:val="005930FA"/>
    <w:rsid w:val="005945BD"/>
    <w:rsid w:val="00595B35"/>
    <w:rsid w:val="00596DAD"/>
    <w:rsid w:val="005A1123"/>
    <w:rsid w:val="005A2166"/>
    <w:rsid w:val="005A449A"/>
    <w:rsid w:val="005A4DF9"/>
    <w:rsid w:val="005A53B9"/>
    <w:rsid w:val="005A762D"/>
    <w:rsid w:val="005A76B6"/>
    <w:rsid w:val="005B0D21"/>
    <w:rsid w:val="005B361C"/>
    <w:rsid w:val="005B7187"/>
    <w:rsid w:val="005B7DB7"/>
    <w:rsid w:val="005C185B"/>
    <w:rsid w:val="005C2C9F"/>
    <w:rsid w:val="005C30A7"/>
    <w:rsid w:val="005C319F"/>
    <w:rsid w:val="005C3B7E"/>
    <w:rsid w:val="005C3FB7"/>
    <w:rsid w:val="005C4483"/>
    <w:rsid w:val="005C53ED"/>
    <w:rsid w:val="005C606C"/>
    <w:rsid w:val="005C72C1"/>
    <w:rsid w:val="005D1E46"/>
    <w:rsid w:val="005D39D2"/>
    <w:rsid w:val="005D439E"/>
    <w:rsid w:val="005D6DB4"/>
    <w:rsid w:val="005E4491"/>
    <w:rsid w:val="005E5A74"/>
    <w:rsid w:val="005E6A2B"/>
    <w:rsid w:val="005E6CDA"/>
    <w:rsid w:val="005E79F6"/>
    <w:rsid w:val="005E7FC7"/>
    <w:rsid w:val="005F1B43"/>
    <w:rsid w:val="005F26EF"/>
    <w:rsid w:val="005F3654"/>
    <w:rsid w:val="006019E9"/>
    <w:rsid w:val="00601D3A"/>
    <w:rsid w:val="00605F75"/>
    <w:rsid w:val="00606E59"/>
    <w:rsid w:val="00611840"/>
    <w:rsid w:val="00612306"/>
    <w:rsid w:val="0061497F"/>
    <w:rsid w:val="00615E95"/>
    <w:rsid w:val="00616411"/>
    <w:rsid w:val="00617E0D"/>
    <w:rsid w:val="00617F86"/>
    <w:rsid w:val="00621709"/>
    <w:rsid w:val="006222C0"/>
    <w:rsid w:val="00623C9E"/>
    <w:rsid w:val="00624B72"/>
    <w:rsid w:val="006250F2"/>
    <w:rsid w:val="00626661"/>
    <w:rsid w:val="00626972"/>
    <w:rsid w:val="00627C47"/>
    <w:rsid w:val="00634010"/>
    <w:rsid w:val="0063479D"/>
    <w:rsid w:val="00634965"/>
    <w:rsid w:val="00636AFF"/>
    <w:rsid w:val="0064405D"/>
    <w:rsid w:val="006535B3"/>
    <w:rsid w:val="00654764"/>
    <w:rsid w:val="00655FD5"/>
    <w:rsid w:val="00660240"/>
    <w:rsid w:val="00660B4C"/>
    <w:rsid w:val="0066690D"/>
    <w:rsid w:val="0066756F"/>
    <w:rsid w:val="00671887"/>
    <w:rsid w:val="006744CA"/>
    <w:rsid w:val="006768C8"/>
    <w:rsid w:val="00677642"/>
    <w:rsid w:val="00680390"/>
    <w:rsid w:val="00680442"/>
    <w:rsid w:val="00682343"/>
    <w:rsid w:val="0068514A"/>
    <w:rsid w:val="006879F4"/>
    <w:rsid w:val="006916FC"/>
    <w:rsid w:val="00692AD8"/>
    <w:rsid w:val="00693F83"/>
    <w:rsid w:val="0069444A"/>
    <w:rsid w:val="00694E16"/>
    <w:rsid w:val="00695C47"/>
    <w:rsid w:val="00695DBF"/>
    <w:rsid w:val="00696AA1"/>
    <w:rsid w:val="006A2BB2"/>
    <w:rsid w:val="006A32CD"/>
    <w:rsid w:val="006A7C79"/>
    <w:rsid w:val="006B2519"/>
    <w:rsid w:val="006B5E17"/>
    <w:rsid w:val="006B7557"/>
    <w:rsid w:val="006C019C"/>
    <w:rsid w:val="006C2B13"/>
    <w:rsid w:val="006C3D55"/>
    <w:rsid w:val="006C5E10"/>
    <w:rsid w:val="006C765F"/>
    <w:rsid w:val="006C7BCA"/>
    <w:rsid w:val="006D11AF"/>
    <w:rsid w:val="006D1532"/>
    <w:rsid w:val="006D2D16"/>
    <w:rsid w:val="006D3083"/>
    <w:rsid w:val="006D4CDE"/>
    <w:rsid w:val="006D57FD"/>
    <w:rsid w:val="006D6B9C"/>
    <w:rsid w:val="006D71A5"/>
    <w:rsid w:val="006D72D9"/>
    <w:rsid w:val="006D76B9"/>
    <w:rsid w:val="006E39F5"/>
    <w:rsid w:val="006E446B"/>
    <w:rsid w:val="006E518F"/>
    <w:rsid w:val="006E60F2"/>
    <w:rsid w:val="006E67E9"/>
    <w:rsid w:val="006F0A68"/>
    <w:rsid w:val="006F153E"/>
    <w:rsid w:val="006F21BF"/>
    <w:rsid w:val="006F29AD"/>
    <w:rsid w:val="006F2C97"/>
    <w:rsid w:val="006F5207"/>
    <w:rsid w:val="006F72CA"/>
    <w:rsid w:val="00703B53"/>
    <w:rsid w:val="00704143"/>
    <w:rsid w:val="00704E9F"/>
    <w:rsid w:val="007073E2"/>
    <w:rsid w:val="00707717"/>
    <w:rsid w:val="007078CA"/>
    <w:rsid w:val="00707AAE"/>
    <w:rsid w:val="007124FA"/>
    <w:rsid w:val="007129B0"/>
    <w:rsid w:val="00712A89"/>
    <w:rsid w:val="0071704F"/>
    <w:rsid w:val="00720B94"/>
    <w:rsid w:val="00721087"/>
    <w:rsid w:val="00721589"/>
    <w:rsid w:val="007315C6"/>
    <w:rsid w:val="00731D8C"/>
    <w:rsid w:val="00732DA2"/>
    <w:rsid w:val="007356D5"/>
    <w:rsid w:val="0073580E"/>
    <w:rsid w:val="00735A26"/>
    <w:rsid w:val="00741516"/>
    <w:rsid w:val="007441F5"/>
    <w:rsid w:val="00744366"/>
    <w:rsid w:val="00744D68"/>
    <w:rsid w:val="00747003"/>
    <w:rsid w:val="00747C75"/>
    <w:rsid w:val="00750278"/>
    <w:rsid w:val="00753A3E"/>
    <w:rsid w:val="00754F51"/>
    <w:rsid w:val="00756274"/>
    <w:rsid w:val="00756A6E"/>
    <w:rsid w:val="007638D7"/>
    <w:rsid w:val="00770819"/>
    <w:rsid w:val="0077210C"/>
    <w:rsid w:val="007725A2"/>
    <w:rsid w:val="0077285B"/>
    <w:rsid w:val="00773D1F"/>
    <w:rsid w:val="00774909"/>
    <w:rsid w:val="007779D6"/>
    <w:rsid w:val="00780427"/>
    <w:rsid w:val="007834ED"/>
    <w:rsid w:val="00785886"/>
    <w:rsid w:val="00785C07"/>
    <w:rsid w:val="007867E6"/>
    <w:rsid w:val="00787F60"/>
    <w:rsid w:val="007918F4"/>
    <w:rsid w:val="0079324D"/>
    <w:rsid w:val="00793E28"/>
    <w:rsid w:val="007945F2"/>
    <w:rsid w:val="00794A29"/>
    <w:rsid w:val="00794EDC"/>
    <w:rsid w:val="007952C8"/>
    <w:rsid w:val="00795467"/>
    <w:rsid w:val="007A05CC"/>
    <w:rsid w:val="007A0D27"/>
    <w:rsid w:val="007A4559"/>
    <w:rsid w:val="007A477C"/>
    <w:rsid w:val="007A5B0E"/>
    <w:rsid w:val="007A7E20"/>
    <w:rsid w:val="007B2FAE"/>
    <w:rsid w:val="007B3A91"/>
    <w:rsid w:val="007B49E9"/>
    <w:rsid w:val="007B6453"/>
    <w:rsid w:val="007B7E29"/>
    <w:rsid w:val="007B7EFC"/>
    <w:rsid w:val="007C3AA6"/>
    <w:rsid w:val="007C3BA5"/>
    <w:rsid w:val="007C3F2F"/>
    <w:rsid w:val="007C5D69"/>
    <w:rsid w:val="007C6CE9"/>
    <w:rsid w:val="007D02FC"/>
    <w:rsid w:val="007D175E"/>
    <w:rsid w:val="007D5176"/>
    <w:rsid w:val="007D5B27"/>
    <w:rsid w:val="007D7077"/>
    <w:rsid w:val="007D75CA"/>
    <w:rsid w:val="007D7FE4"/>
    <w:rsid w:val="007E0FB4"/>
    <w:rsid w:val="007E15DD"/>
    <w:rsid w:val="007E5B68"/>
    <w:rsid w:val="007E5F6F"/>
    <w:rsid w:val="007F0BB6"/>
    <w:rsid w:val="007F2219"/>
    <w:rsid w:val="007F2320"/>
    <w:rsid w:val="007F2C09"/>
    <w:rsid w:val="007F2D33"/>
    <w:rsid w:val="007F43A3"/>
    <w:rsid w:val="00807440"/>
    <w:rsid w:val="00811166"/>
    <w:rsid w:val="008130C0"/>
    <w:rsid w:val="00815719"/>
    <w:rsid w:val="00816958"/>
    <w:rsid w:val="00817D82"/>
    <w:rsid w:val="0082133E"/>
    <w:rsid w:val="008215C9"/>
    <w:rsid w:val="00823C61"/>
    <w:rsid w:val="00832B06"/>
    <w:rsid w:val="008375F9"/>
    <w:rsid w:val="00837C76"/>
    <w:rsid w:val="00843358"/>
    <w:rsid w:val="008438A0"/>
    <w:rsid w:val="00843FCC"/>
    <w:rsid w:val="00844523"/>
    <w:rsid w:val="0084503C"/>
    <w:rsid w:val="00846EBB"/>
    <w:rsid w:val="00850AF7"/>
    <w:rsid w:val="0085684F"/>
    <w:rsid w:val="00856C5B"/>
    <w:rsid w:val="00860DE8"/>
    <w:rsid w:val="008614AE"/>
    <w:rsid w:val="008628C0"/>
    <w:rsid w:val="00863722"/>
    <w:rsid w:val="00872755"/>
    <w:rsid w:val="00875953"/>
    <w:rsid w:val="00875ABA"/>
    <w:rsid w:val="00875F26"/>
    <w:rsid w:val="00876E72"/>
    <w:rsid w:val="008778DB"/>
    <w:rsid w:val="00880285"/>
    <w:rsid w:val="008810E7"/>
    <w:rsid w:val="00890BE7"/>
    <w:rsid w:val="00891A36"/>
    <w:rsid w:val="00892470"/>
    <w:rsid w:val="00892E96"/>
    <w:rsid w:val="00893B76"/>
    <w:rsid w:val="0089432A"/>
    <w:rsid w:val="00895BD5"/>
    <w:rsid w:val="00896558"/>
    <w:rsid w:val="00897E77"/>
    <w:rsid w:val="008A1EF7"/>
    <w:rsid w:val="008A43A9"/>
    <w:rsid w:val="008A5628"/>
    <w:rsid w:val="008A6482"/>
    <w:rsid w:val="008A65EC"/>
    <w:rsid w:val="008B061F"/>
    <w:rsid w:val="008B117E"/>
    <w:rsid w:val="008B18DC"/>
    <w:rsid w:val="008B1A1C"/>
    <w:rsid w:val="008C17CD"/>
    <w:rsid w:val="008C2CB6"/>
    <w:rsid w:val="008C6B94"/>
    <w:rsid w:val="008C74BE"/>
    <w:rsid w:val="008C7A36"/>
    <w:rsid w:val="008C7D59"/>
    <w:rsid w:val="008D4461"/>
    <w:rsid w:val="008D77C5"/>
    <w:rsid w:val="008E06AC"/>
    <w:rsid w:val="008E0947"/>
    <w:rsid w:val="008E19C2"/>
    <w:rsid w:val="008E3C5C"/>
    <w:rsid w:val="008E3E01"/>
    <w:rsid w:val="008E4AE1"/>
    <w:rsid w:val="008E69C8"/>
    <w:rsid w:val="008E76BD"/>
    <w:rsid w:val="008F1118"/>
    <w:rsid w:val="008F25B1"/>
    <w:rsid w:val="008F28C4"/>
    <w:rsid w:val="008F37F6"/>
    <w:rsid w:val="008F525B"/>
    <w:rsid w:val="008F5C55"/>
    <w:rsid w:val="008F744A"/>
    <w:rsid w:val="00902105"/>
    <w:rsid w:val="009024CF"/>
    <w:rsid w:val="00903792"/>
    <w:rsid w:val="009048EF"/>
    <w:rsid w:val="0090525B"/>
    <w:rsid w:val="0090534F"/>
    <w:rsid w:val="009056F8"/>
    <w:rsid w:val="0091108A"/>
    <w:rsid w:val="00911EFB"/>
    <w:rsid w:val="00915184"/>
    <w:rsid w:val="00915A29"/>
    <w:rsid w:val="0091787D"/>
    <w:rsid w:val="00921BD8"/>
    <w:rsid w:val="009250AC"/>
    <w:rsid w:val="00925136"/>
    <w:rsid w:val="00925F80"/>
    <w:rsid w:val="00927AA9"/>
    <w:rsid w:val="0093082A"/>
    <w:rsid w:val="00931E5F"/>
    <w:rsid w:val="0093301E"/>
    <w:rsid w:val="00935E5D"/>
    <w:rsid w:val="00935F3E"/>
    <w:rsid w:val="00937BE8"/>
    <w:rsid w:val="00941475"/>
    <w:rsid w:val="00950F3D"/>
    <w:rsid w:val="00952D80"/>
    <w:rsid w:val="00953D32"/>
    <w:rsid w:val="00954546"/>
    <w:rsid w:val="00955F3B"/>
    <w:rsid w:val="00956FB7"/>
    <w:rsid w:val="00962597"/>
    <w:rsid w:val="00962D00"/>
    <w:rsid w:val="009633A7"/>
    <w:rsid w:val="00963877"/>
    <w:rsid w:val="00965872"/>
    <w:rsid w:val="0097019E"/>
    <w:rsid w:val="0097033D"/>
    <w:rsid w:val="00971D33"/>
    <w:rsid w:val="00972B16"/>
    <w:rsid w:val="0097339B"/>
    <w:rsid w:val="00981559"/>
    <w:rsid w:val="00983FB7"/>
    <w:rsid w:val="00985C52"/>
    <w:rsid w:val="00986BF1"/>
    <w:rsid w:val="009905A1"/>
    <w:rsid w:val="009965A0"/>
    <w:rsid w:val="009A174C"/>
    <w:rsid w:val="009A40DA"/>
    <w:rsid w:val="009A54D7"/>
    <w:rsid w:val="009A5D83"/>
    <w:rsid w:val="009A7608"/>
    <w:rsid w:val="009A7F82"/>
    <w:rsid w:val="009B5E4D"/>
    <w:rsid w:val="009B7002"/>
    <w:rsid w:val="009C1C22"/>
    <w:rsid w:val="009C4BC5"/>
    <w:rsid w:val="009C5438"/>
    <w:rsid w:val="009C6717"/>
    <w:rsid w:val="009C6780"/>
    <w:rsid w:val="009D29C5"/>
    <w:rsid w:val="009D43AC"/>
    <w:rsid w:val="009D69C0"/>
    <w:rsid w:val="009D6D37"/>
    <w:rsid w:val="009D71B5"/>
    <w:rsid w:val="009D7E54"/>
    <w:rsid w:val="009E19A7"/>
    <w:rsid w:val="009E26A7"/>
    <w:rsid w:val="009E26AF"/>
    <w:rsid w:val="009E2815"/>
    <w:rsid w:val="009E6080"/>
    <w:rsid w:val="009E641A"/>
    <w:rsid w:val="009F046B"/>
    <w:rsid w:val="009F0960"/>
    <w:rsid w:val="009F2D73"/>
    <w:rsid w:val="009F677F"/>
    <w:rsid w:val="009F6CEC"/>
    <w:rsid w:val="009F74F0"/>
    <w:rsid w:val="00A034F2"/>
    <w:rsid w:val="00A04B86"/>
    <w:rsid w:val="00A0731D"/>
    <w:rsid w:val="00A106E5"/>
    <w:rsid w:val="00A10898"/>
    <w:rsid w:val="00A12A59"/>
    <w:rsid w:val="00A1500F"/>
    <w:rsid w:val="00A1533B"/>
    <w:rsid w:val="00A21E47"/>
    <w:rsid w:val="00A22A1B"/>
    <w:rsid w:val="00A23A57"/>
    <w:rsid w:val="00A26F83"/>
    <w:rsid w:val="00A273A7"/>
    <w:rsid w:val="00A30124"/>
    <w:rsid w:val="00A3414A"/>
    <w:rsid w:val="00A3594B"/>
    <w:rsid w:val="00A35A43"/>
    <w:rsid w:val="00A36032"/>
    <w:rsid w:val="00A400BA"/>
    <w:rsid w:val="00A406CE"/>
    <w:rsid w:val="00A408FA"/>
    <w:rsid w:val="00A43CEE"/>
    <w:rsid w:val="00A46342"/>
    <w:rsid w:val="00A505E0"/>
    <w:rsid w:val="00A50C4B"/>
    <w:rsid w:val="00A513F9"/>
    <w:rsid w:val="00A52070"/>
    <w:rsid w:val="00A531A8"/>
    <w:rsid w:val="00A55859"/>
    <w:rsid w:val="00A569D0"/>
    <w:rsid w:val="00A62C49"/>
    <w:rsid w:val="00A66D37"/>
    <w:rsid w:val="00A66EE1"/>
    <w:rsid w:val="00A703DE"/>
    <w:rsid w:val="00A73B2A"/>
    <w:rsid w:val="00A73CCD"/>
    <w:rsid w:val="00A73ED7"/>
    <w:rsid w:val="00A74FCC"/>
    <w:rsid w:val="00A75B30"/>
    <w:rsid w:val="00A801E2"/>
    <w:rsid w:val="00A8091E"/>
    <w:rsid w:val="00A81084"/>
    <w:rsid w:val="00A8472B"/>
    <w:rsid w:val="00A8689E"/>
    <w:rsid w:val="00A915CE"/>
    <w:rsid w:val="00A93A94"/>
    <w:rsid w:val="00A95D4A"/>
    <w:rsid w:val="00A963AD"/>
    <w:rsid w:val="00A97B3C"/>
    <w:rsid w:val="00AA00F5"/>
    <w:rsid w:val="00AA08EA"/>
    <w:rsid w:val="00AA2E96"/>
    <w:rsid w:val="00AA5AD5"/>
    <w:rsid w:val="00AA5E85"/>
    <w:rsid w:val="00AA6B0E"/>
    <w:rsid w:val="00AA755D"/>
    <w:rsid w:val="00AB23DE"/>
    <w:rsid w:val="00AB2DF6"/>
    <w:rsid w:val="00AB5D95"/>
    <w:rsid w:val="00AB6F05"/>
    <w:rsid w:val="00AC182A"/>
    <w:rsid w:val="00AC2FA7"/>
    <w:rsid w:val="00AC4AC8"/>
    <w:rsid w:val="00AC5D58"/>
    <w:rsid w:val="00AC6D42"/>
    <w:rsid w:val="00AD0EF1"/>
    <w:rsid w:val="00AD1D82"/>
    <w:rsid w:val="00AD2586"/>
    <w:rsid w:val="00AD2EAB"/>
    <w:rsid w:val="00AD4379"/>
    <w:rsid w:val="00AD4DF9"/>
    <w:rsid w:val="00AD5DAE"/>
    <w:rsid w:val="00AD66BD"/>
    <w:rsid w:val="00AE045B"/>
    <w:rsid w:val="00AE090E"/>
    <w:rsid w:val="00AE476C"/>
    <w:rsid w:val="00AE5578"/>
    <w:rsid w:val="00AE7ACE"/>
    <w:rsid w:val="00AF04B6"/>
    <w:rsid w:val="00AF0551"/>
    <w:rsid w:val="00AF118A"/>
    <w:rsid w:val="00AF5A08"/>
    <w:rsid w:val="00AF5BDA"/>
    <w:rsid w:val="00AF5F46"/>
    <w:rsid w:val="00AF60EF"/>
    <w:rsid w:val="00AF6B7A"/>
    <w:rsid w:val="00B003F6"/>
    <w:rsid w:val="00B00559"/>
    <w:rsid w:val="00B02F2D"/>
    <w:rsid w:val="00B044C0"/>
    <w:rsid w:val="00B04958"/>
    <w:rsid w:val="00B10AC9"/>
    <w:rsid w:val="00B1149C"/>
    <w:rsid w:val="00B11865"/>
    <w:rsid w:val="00B11C2C"/>
    <w:rsid w:val="00B120B3"/>
    <w:rsid w:val="00B135A7"/>
    <w:rsid w:val="00B17675"/>
    <w:rsid w:val="00B23A40"/>
    <w:rsid w:val="00B24611"/>
    <w:rsid w:val="00B30A84"/>
    <w:rsid w:val="00B30F1F"/>
    <w:rsid w:val="00B31467"/>
    <w:rsid w:val="00B3191A"/>
    <w:rsid w:val="00B32B53"/>
    <w:rsid w:val="00B32C20"/>
    <w:rsid w:val="00B335FD"/>
    <w:rsid w:val="00B339A8"/>
    <w:rsid w:val="00B34FB6"/>
    <w:rsid w:val="00B35FB8"/>
    <w:rsid w:val="00B377AC"/>
    <w:rsid w:val="00B40595"/>
    <w:rsid w:val="00B407E4"/>
    <w:rsid w:val="00B40E41"/>
    <w:rsid w:val="00B44728"/>
    <w:rsid w:val="00B46A28"/>
    <w:rsid w:val="00B52418"/>
    <w:rsid w:val="00B56D67"/>
    <w:rsid w:val="00B61C5B"/>
    <w:rsid w:val="00B61FFC"/>
    <w:rsid w:val="00B632D9"/>
    <w:rsid w:val="00B6412F"/>
    <w:rsid w:val="00B6474D"/>
    <w:rsid w:val="00B664AF"/>
    <w:rsid w:val="00B67F68"/>
    <w:rsid w:val="00B71632"/>
    <w:rsid w:val="00B71E92"/>
    <w:rsid w:val="00B73A0E"/>
    <w:rsid w:val="00B74F09"/>
    <w:rsid w:val="00B75C17"/>
    <w:rsid w:val="00B7658D"/>
    <w:rsid w:val="00B777F7"/>
    <w:rsid w:val="00B806FF"/>
    <w:rsid w:val="00B8087E"/>
    <w:rsid w:val="00B80F5E"/>
    <w:rsid w:val="00B82001"/>
    <w:rsid w:val="00B8291D"/>
    <w:rsid w:val="00B8356B"/>
    <w:rsid w:val="00B839DF"/>
    <w:rsid w:val="00B85148"/>
    <w:rsid w:val="00B86589"/>
    <w:rsid w:val="00B87317"/>
    <w:rsid w:val="00B92033"/>
    <w:rsid w:val="00B9216E"/>
    <w:rsid w:val="00B92BC6"/>
    <w:rsid w:val="00B93098"/>
    <w:rsid w:val="00B93F7A"/>
    <w:rsid w:val="00B948B0"/>
    <w:rsid w:val="00B97C70"/>
    <w:rsid w:val="00BA2272"/>
    <w:rsid w:val="00BA4B67"/>
    <w:rsid w:val="00BB1437"/>
    <w:rsid w:val="00BB1AE9"/>
    <w:rsid w:val="00BB26CF"/>
    <w:rsid w:val="00BB3B10"/>
    <w:rsid w:val="00BB46CD"/>
    <w:rsid w:val="00BB788B"/>
    <w:rsid w:val="00BC3688"/>
    <w:rsid w:val="00BC3B37"/>
    <w:rsid w:val="00BC466A"/>
    <w:rsid w:val="00BD1624"/>
    <w:rsid w:val="00BD1E35"/>
    <w:rsid w:val="00BD4472"/>
    <w:rsid w:val="00BD60EC"/>
    <w:rsid w:val="00BE1C0C"/>
    <w:rsid w:val="00BE38A9"/>
    <w:rsid w:val="00BE4AB8"/>
    <w:rsid w:val="00BE5CB5"/>
    <w:rsid w:val="00BE7B83"/>
    <w:rsid w:val="00BF38D1"/>
    <w:rsid w:val="00BF4F36"/>
    <w:rsid w:val="00BF511A"/>
    <w:rsid w:val="00BF51D0"/>
    <w:rsid w:val="00BF5907"/>
    <w:rsid w:val="00BF7ADA"/>
    <w:rsid w:val="00C010B6"/>
    <w:rsid w:val="00C01494"/>
    <w:rsid w:val="00C060D0"/>
    <w:rsid w:val="00C0680E"/>
    <w:rsid w:val="00C07741"/>
    <w:rsid w:val="00C128C3"/>
    <w:rsid w:val="00C14A22"/>
    <w:rsid w:val="00C15ACE"/>
    <w:rsid w:val="00C222A6"/>
    <w:rsid w:val="00C24440"/>
    <w:rsid w:val="00C32FF4"/>
    <w:rsid w:val="00C34AC9"/>
    <w:rsid w:val="00C40B6C"/>
    <w:rsid w:val="00C43AD8"/>
    <w:rsid w:val="00C46D0E"/>
    <w:rsid w:val="00C53C9F"/>
    <w:rsid w:val="00C53DB8"/>
    <w:rsid w:val="00C55DBD"/>
    <w:rsid w:val="00C576DD"/>
    <w:rsid w:val="00C6014D"/>
    <w:rsid w:val="00C62D83"/>
    <w:rsid w:val="00C63A1F"/>
    <w:rsid w:val="00C6563B"/>
    <w:rsid w:val="00C71B6D"/>
    <w:rsid w:val="00C74CFA"/>
    <w:rsid w:val="00C75E6E"/>
    <w:rsid w:val="00C76845"/>
    <w:rsid w:val="00C80F1F"/>
    <w:rsid w:val="00C8328B"/>
    <w:rsid w:val="00C83FFA"/>
    <w:rsid w:val="00C87133"/>
    <w:rsid w:val="00C9076A"/>
    <w:rsid w:val="00C946BD"/>
    <w:rsid w:val="00C9615D"/>
    <w:rsid w:val="00CA1D16"/>
    <w:rsid w:val="00CA3680"/>
    <w:rsid w:val="00CB14E3"/>
    <w:rsid w:val="00CB3BF3"/>
    <w:rsid w:val="00CB4807"/>
    <w:rsid w:val="00CB52DD"/>
    <w:rsid w:val="00CB6503"/>
    <w:rsid w:val="00CC03AD"/>
    <w:rsid w:val="00CC0554"/>
    <w:rsid w:val="00CC3443"/>
    <w:rsid w:val="00CC3E48"/>
    <w:rsid w:val="00CC4A98"/>
    <w:rsid w:val="00CC5125"/>
    <w:rsid w:val="00CC53AB"/>
    <w:rsid w:val="00CC584E"/>
    <w:rsid w:val="00CC7689"/>
    <w:rsid w:val="00CD143E"/>
    <w:rsid w:val="00CD23E2"/>
    <w:rsid w:val="00CD7D0F"/>
    <w:rsid w:val="00CE2836"/>
    <w:rsid w:val="00CE293B"/>
    <w:rsid w:val="00CE6011"/>
    <w:rsid w:val="00CE6442"/>
    <w:rsid w:val="00CF1593"/>
    <w:rsid w:val="00CF15A9"/>
    <w:rsid w:val="00CF1B8F"/>
    <w:rsid w:val="00CF37C8"/>
    <w:rsid w:val="00CF59DD"/>
    <w:rsid w:val="00CF5BA9"/>
    <w:rsid w:val="00CF67AE"/>
    <w:rsid w:val="00D00352"/>
    <w:rsid w:val="00D01805"/>
    <w:rsid w:val="00D11AA6"/>
    <w:rsid w:val="00D1215F"/>
    <w:rsid w:val="00D13C3A"/>
    <w:rsid w:val="00D20715"/>
    <w:rsid w:val="00D20CEC"/>
    <w:rsid w:val="00D21F25"/>
    <w:rsid w:val="00D243E0"/>
    <w:rsid w:val="00D254B5"/>
    <w:rsid w:val="00D27AAC"/>
    <w:rsid w:val="00D31B16"/>
    <w:rsid w:val="00D320DF"/>
    <w:rsid w:val="00D33926"/>
    <w:rsid w:val="00D34130"/>
    <w:rsid w:val="00D41EA0"/>
    <w:rsid w:val="00D42494"/>
    <w:rsid w:val="00D44562"/>
    <w:rsid w:val="00D44A0B"/>
    <w:rsid w:val="00D45D5F"/>
    <w:rsid w:val="00D51E1C"/>
    <w:rsid w:val="00D5231A"/>
    <w:rsid w:val="00D533B4"/>
    <w:rsid w:val="00D54999"/>
    <w:rsid w:val="00D54B51"/>
    <w:rsid w:val="00D56F08"/>
    <w:rsid w:val="00D57BB1"/>
    <w:rsid w:val="00D57D9A"/>
    <w:rsid w:val="00D6104B"/>
    <w:rsid w:val="00D61425"/>
    <w:rsid w:val="00D62728"/>
    <w:rsid w:val="00D62D90"/>
    <w:rsid w:val="00D63500"/>
    <w:rsid w:val="00D63D78"/>
    <w:rsid w:val="00D6503C"/>
    <w:rsid w:val="00D70648"/>
    <w:rsid w:val="00D8058D"/>
    <w:rsid w:val="00D819F0"/>
    <w:rsid w:val="00D82CE4"/>
    <w:rsid w:val="00D832B9"/>
    <w:rsid w:val="00D852AB"/>
    <w:rsid w:val="00D85DE4"/>
    <w:rsid w:val="00D9000D"/>
    <w:rsid w:val="00D91CE7"/>
    <w:rsid w:val="00D92390"/>
    <w:rsid w:val="00D94AAC"/>
    <w:rsid w:val="00D94B84"/>
    <w:rsid w:val="00D94CEB"/>
    <w:rsid w:val="00D95884"/>
    <w:rsid w:val="00DA1FE7"/>
    <w:rsid w:val="00DA32CE"/>
    <w:rsid w:val="00DA3659"/>
    <w:rsid w:val="00DA43FB"/>
    <w:rsid w:val="00DA5437"/>
    <w:rsid w:val="00DA5608"/>
    <w:rsid w:val="00DA7731"/>
    <w:rsid w:val="00DB15FD"/>
    <w:rsid w:val="00DB2BFF"/>
    <w:rsid w:val="00DB46AA"/>
    <w:rsid w:val="00DB4EF8"/>
    <w:rsid w:val="00DC1227"/>
    <w:rsid w:val="00DC17A8"/>
    <w:rsid w:val="00DC3092"/>
    <w:rsid w:val="00DC5BA6"/>
    <w:rsid w:val="00DC5D64"/>
    <w:rsid w:val="00DD11F7"/>
    <w:rsid w:val="00DD132E"/>
    <w:rsid w:val="00DD1A0D"/>
    <w:rsid w:val="00DE25BC"/>
    <w:rsid w:val="00DE260F"/>
    <w:rsid w:val="00DE2A55"/>
    <w:rsid w:val="00DE4546"/>
    <w:rsid w:val="00DE4D59"/>
    <w:rsid w:val="00DE740C"/>
    <w:rsid w:val="00DF01E6"/>
    <w:rsid w:val="00DF0A0F"/>
    <w:rsid w:val="00DF0D48"/>
    <w:rsid w:val="00DF1E72"/>
    <w:rsid w:val="00DF2524"/>
    <w:rsid w:val="00DF4D52"/>
    <w:rsid w:val="00DF56E0"/>
    <w:rsid w:val="00DF6E80"/>
    <w:rsid w:val="00E011EA"/>
    <w:rsid w:val="00E01512"/>
    <w:rsid w:val="00E031C7"/>
    <w:rsid w:val="00E07833"/>
    <w:rsid w:val="00E11B03"/>
    <w:rsid w:val="00E12F52"/>
    <w:rsid w:val="00E13F8F"/>
    <w:rsid w:val="00E16D41"/>
    <w:rsid w:val="00E171C1"/>
    <w:rsid w:val="00E1756D"/>
    <w:rsid w:val="00E2083C"/>
    <w:rsid w:val="00E22B2A"/>
    <w:rsid w:val="00E25C0C"/>
    <w:rsid w:val="00E26416"/>
    <w:rsid w:val="00E26573"/>
    <w:rsid w:val="00E26C43"/>
    <w:rsid w:val="00E302FE"/>
    <w:rsid w:val="00E3136C"/>
    <w:rsid w:val="00E33281"/>
    <w:rsid w:val="00E33589"/>
    <w:rsid w:val="00E33B7C"/>
    <w:rsid w:val="00E33EA0"/>
    <w:rsid w:val="00E36960"/>
    <w:rsid w:val="00E3720B"/>
    <w:rsid w:val="00E430AD"/>
    <w:rsid w:val="00E440A8"/>
    <w:rsid w:val="00E4410C"/>
    <w:rsid w:val="00E44CFC"/>
    <w:rsid w:val="00E517EB"/>
    <w:rsid w:val="00E51E8C"/>
    <w:rsid w:val="00E52595"/>
    <w:rsid w:val="00E52F7B"/>
    <w:rsid w:val="00E55377"/>
    <w:rsid w:val="00E56AE2"/>
    <w:rsid w:val="00E65D0D"/>
    <w:rsid w:val="00E66334"/>
    <w:rsid w:val="00E66441"/>
    <w:rsid w:val="00E6792C"/>
    <w:rsid w:val="00E72584"/>
    <w:rsid w:val="00E73F3F"/>
    <w:rsid w:val="00E7693B"/>
    <w:rsid w:val="00E76BA7"/>
    <w:rsid w:val="00E771F5"/>
    <w:rsid w:val="00E819D0"/>
    <w:rsid w:val="00E82F91"/>
    <w:rsid w:val="00E843B8"/>
    <w:rsid w:val="00E853F1"/>
    <w:rsid w:val="00E8555E"/>
    <w:rsid w:val="00E90FB3"/>
    <w:rsid w:val="00E92638"/>
    <w:rsid w:val="00E92EE7"/>
    <w:rsid w:val="00E93308"/>
    <w:rsid w:val="00E9416F"/>
    <w:rsid w:val="00E96549"/>
    <w:rsid w:val="00E9713C"/>
    <w:rsid w:val="00EA3783"/>
    <w:rsid w:val="00EA59CB"/>
    <w:rsid w:val="00EA6A29"/>
    <w:rsid w:val="00EA6BC7"/>
    <w:rsid w:val="00EB1AAF"/>
    <w:rsid w:val="00EB1BC0"/>
    <w:rsid w:val="00EB4B9F"/>
    <w:rsid w:val="00EC014E"/>
    <w:rsid w:val="00EC037A"/>
    <w:rsid w:val="00EC3363"/>
    <w:rsid w:val="00EC57AA"/>
    <w:rsid w:val="00EC617D"/>
    <w:rsid w:val="00ED037F"/>
    <w:rsid w:val="00ED1B23"/>
    <w:rsid w:val="00ED1DDD"/>
    <w:rsid w:val="00ED64E7"/>
    <w:rsid w:val="00ED6768"/>
    <w:rsid w:val="00ED6A6F"/>
    <w:rsid w:val="00ED6B7E"/>
    <w:rsid w:val="00EE3775"/>
    <w:rsid w:val="00EE4844"/>
    <w:rsid w:val="00EE5C77"/>
    <w:rsid w:val="00EE62F4"/>
    <w:rsid w:val="00EE767B"/>
    <w:rsid w:val="00EE7E19"/>
    <w:rsid w:val="00EF1FC5"/>
    <w:rsid w:val="00EF4294"/>
    <w:rsid w:val="00EF5E02"/>
    <w:rsid w:val="00EF7879"/>
    <w:rsid w:val="00F06145"/>
    <w:rsid w:val="00F075EB"/>
    <w:rsid w:val="00F07CA7"/>
    <w:rsid w:val="00F111D5"/>
    <w:rsid w:val="00F1137B"/>
    <w:rsid w:val="00F11DC9"/>
    <w:rsid w:val="00F12440"/>
    <w:rsid w:val="00F12633"/>
    <w:rsid w:val="00F1372A"/>
    <w:rsid w:val="00F13B6A"/>
    <w:rsid w:val="00F14B40"/>
    <w:rsid w:val="00F20CB0"/>
    <w:rsid w:val="00F23FFE"/>
    <w:rsid w:val="00F2585B"/>
    <w:rsid w:val="00F26006"/>
    <w:rsid w:val="00F26E4E"/>
    <w:rsid w:val="00F304BA"/>
    <w:rsid w:val="00F30E93"/>
    <w:rsid w:val="00F319F1"/>
    <w:rsid w:val="00F322A8"/>
    <w:rsid w:val="00F344F2"/>
    <w:rsid w:val="00F346ED"/>
    <w:rsid w:val="00F3557B"/>
    <w:rsid w:val="00F3590E"/>
    <w:rsid w:val="00F37616"/>
    <w:rsid w:val="00F37D4F"/>
    <w:rsid w:val="00F417A2"/>
    <w:rsid w:val="00F4540E"/>
    <w:rsid w:val="00F46546"/>
    <w:rsid w:val="00F50A26"/>
    <w:rsid w:val="00F50ABF"/>
    <w:rsid w:val="00F50C1E"/>
    <w:rsid w:val="00F513B5"/>
    <w:rsid w:val="00F52D91"/>
    <w:rsid w:val="00F5445B"/>
    <w:rsid w:val="00F57B1B"/>
    <w:rsid w:val="00F624FF"/>
    <w:rsid w:val="00F6389C"/>
    <w:rsid w:val="00F65208"/>
    <w:rsid w:val="00F66F79"/>
    <w:rsid w:val="00F67EDE"/>
    <w:rsid w:val="00F70E80"/>
    <w:rsid w:val="00F74A24"/>
    <w:rsid w:val="00F82620"/>
    <w:rsid w:val="00F82D61"/>
    <w:rsid w:val="00F83654"/>
    <w:rsid w:val="00F8573B"/>
    <w:rsid w:val="00F85781"/>
    <w:rsid w:val="00F923CE"/>
    <w:rsid w:val="00F923D4"/>
    <w:rsid w:val="00F94DDC"/>
    <w:rsid w:val="00F976EE"/>
    <w:rsid w:val="00FA065A"/>
    <w:rsid w:val="00FA16A9"/>
    <w:rsid w:val="00FA3CC6"/>
    <w:rsid w:val="00FA5540"/>
    <w:rsid w:val="00FA6179"/>
    <w:rsid w:val="00FA7374"/>
    <w:rsid w:val="00FA7A79"/>
    <w:rsid w:val="00FA7EB0"/>
    <w:rsid w:val="00FB2301"/>
    <w:rsid w:val="00FB5D51"/>
    <w:rsid w:val="00FB65DD"/>
    <w:rsid w:val="00FB7FDB"/>
    <w:rsid w:val="00FC0BD2"/>
    <w:rsid w:val="00FC17B8"/>
    <w:rsid w:val="00FC186C"/>
    <w:rsid w:val="00FC1F39"/>
    <w:rsid w:val="00FC248E"/>
    <w:rsid w:val="00FC32DC"/>
    <w:rsid w:val="00FC352C"/>
    <w:rsid w:val="00FC53B7"/>
    <w:rsid w:val="00FC5857"/>
    <w:rsid w:val="00FD376B"/>
    <w:rsid w:val="00FD75C8"/>
    <w:rsid w:val="00FD7D4C"/>
    <w:rsid w:val="00FE0C2F"/>
    <w:rsid w:val="00FE43E2"/>
    <w:rsid w:val="00FE4994"/>
    <w:rsid w:val="00FE55AB"/>
    <w:rsid w:val="00FE5B14"/>
    <w:rsid w:val="00FF0424"/>
    <w:rsid w:val="00FF2814"/>
    <w:rsid w:val="00FF29BE"/>
    <w:rsid w:val="00FF2AE8"/>
    <w:rsid w:val="00FF3CB7"/>
    <w:rsid w:val="00FF4676"/>
    <w:rsid w:val="06045B89"/>
    <w:rsid w:val="0DE74B18"/>
    <w:rsid w:val="0E8A61DB"/>
    <w:rsid w:val="0ED3147E"/>
    <w:rsid w:val="0FEB30D1"/>
    <w:rsid w:val="14252BA3"/>
    <w:rsid w:val="19F14654"/>
    <w:rsid w:val="1C0870A9"/>
    <w:rsid w:val="23297278"/>
    <w:rsid w:val="23CD0428"/>
    <w:rsid w:val="29D157BD"/>
    <w:rsid w:val="2A6F604A"/>
    <w:rsid w:val="2E7A0B38"/>
    <w:rsid w:val="34802589"/>
    <w:rsid w:val="387959DC"/>
    <w:rsid w:val="3B3A455F"/>
    <w:rsid w:val="3C5477DF"/>
    <w:rsid w:val="3CBF6C41"/>
    <w:rsid w:val="3D7266DB"/>
    <w:rsid w:val="3FFD6636"/>
    <w:rsid w:val="409F59E4"/>
    <w:rsid w:val="4218721B"/>
    <w:rsid w:val="435C1FB1"/>
    <w:rsid w:val="44121283"/>
    <w:rsid w:val="48CD1F75"/>
    <w:rsid w:val="4FF97139"/>
    <w:rsid w:val="512A2463"/>
    <w:rsid w:val="53650008"/>
    <w:rsid w:val="56E73CA5"/>
    <w:rsid w:val="57A26CBB"/>
    <w:rsid w:val="59105022"/>
    <w:rsid w:val="5BAB0900"/>
    <w:rsid w:val="5D991188"/>
    <w:rsid w:val="648905D0"/>
    <w:rsid w:val="64FE491A"/>
    <w:rsid w:val="693715E8"/>
    <w:rsid w:val="699179DF"/>
    <w:rsid w:val="6A743F0A"/>
    <w:rsid w:val="7434554F"/>
    <w:rsid w:val="7BB96BA2"/>
    <w:rsid w:val="7FA30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5B05ADE"/>
  <w15:docId w15:val="{179AC773-ADD7-4731-9D78-A56E49EA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semiHidden="1" w:uiPriority="59"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91"/>
    <w:pPr>
      <w:widowControl w:val="0"/>
      <w:jc w:val="both"/>
    </w:pPr>
    <w:rPr>
      <w:rFonts w:cs="Calibri"/>
      <w:kern w:val="2"/>
      <w:sz w:val="21"/>
      <w:szCs w:val="21"/>
    </w:rPr>
  </w:style>
  <w:style w:type="paragraph" w:styleId="1">
    <w:name w:val="heading 1"/>
    <w:basedOn w:val="a"/>
    <w:next w:val="a"/>
    <w:link w:val="10"/>
    <w:uiPriority w:val="99"/>
    <w:qFormat/>
    <w:locked/>
    <w:rsid w:val="005E4491"/>
    <w:pPr>
      <w:spacing w:before="100" w:beforeAutospacing="1" w:after="100" w:afterAutospacing="1"/>
      <w:jc w:val="left"/>
      <w:outlineLvl w:val="0"/>
    </w:pPr>
    <w:rPr>
      <w:rFonts w:ascii="宋体"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5E4491"/>
  </w:style>
  <w:style w:type="paragraph" w:styleId="a4">
    <w:name w:val="annotation text"/>
    <w:basedOn w:val="a"/>
    <w:link w:val="a6"/>
    <w:qFormat/>
    <w:rsid w:val="005E4491"/>
    <w:pPr>
      <w:jc w:val="left"/>
    </w:pPr>
    <w:rPr>
      <w:rFonts w:cs="Times New Roman"/>
      <w:sz w:val="22"/>
      <w:szCs w:val="22"/>
    </w:rPr>
  </w:style>
  <w:style w:type="paragraph" w:styleId="a7">
    <w:name w:val="Body Text"/>
    <w:basedOn w:val="a"/>
    <w:link w:val="a8"/>
    <w:uiPriority w:val="99"/>
    <w:qFormat/>
    <w:locked/>
    <w:rsid w:val="005E4491"/>
    <w:pPr>
      <w:widowControl/>
      <w:spacing w:line="259" w:lineRule="auto"/>
      <w:ind w:left="537" w:hanging="420"/>
      <w:jc w:val="left"/>
    </w:pPr>
    <w:rPr>
      <w:rFonts w:ascii="宋体" w:cs="Times New Roman"/>
      <w:kern w:val="0"/>
      <w:lang w:eastAsia="en-US"/>
    </w:rPr>
  </w:style>
  <w:style w:type="paragraph" w:styleId="a9">
    <w:name w:val="Body Text Indent"/>
    <w:basedOn w:val="a"/>
    <w:link w:val="aa"/>
    <w:uiPriority w:val="99"/>
    <w:qFormat/>
    <w:rsid w:val="005E4491"/>
    <w:pPr>
      <w:adjustRightInd w:val="0"/>
      <w:snapToGrid w:val="0"/>
      <w:ind w:firstLineChars="200" w:firstLine="480"/>
    </w:pPr>
    <w:rPr>
      <w:rFonts w:ascii="Times New Roman" w:eastAsia="楷体_GB2312" w:hAnsi="Times New Roman" w:cs="Times New Roman"/>
      <w:sz w:val="24"/>
      <w:szCs w:val="24"/>
    </w:rPr>
  </w:style>
  <w:style w:type="paragraph" w:styleId="ab">
    <w:name w:val="Date"/>
    <w:basedOn w:val="a"/>
    <w:next w:val="a"/>
    <w:link w:val="ac"/>
    <w:uiPriority w:val="99"/>
    <w:qFormat/>
    <w:rsid w:val="005E4491"/>
    <w:pPr>
      <w:ind w:leftChars="2500" w:left="100"/>
    </w:pPr>
  </w:style>
  <w:style w:type="paragraph" w:styleId="ad">
    <w:name w:val="Balloon Text"/>
    <w:basedOn w:val="a"/>
    <w:link w:val="ae"/>
    <w:uiPriority w:val="99"/>
    <w:semiHidden/>
    <w:qFormat/>
    <w:rsid w:val="005E4491"/>
    <w:rPr>
      <w:rFonts w:cs="Times New Roman"/>
      <w:kern w:val="0"/>
      <w:sz w:val="18"/>
      <w:szCs w:val="18"/>
    </w:rPr>
  </w:style>
  <w:style w:type="paragraph" w:styleId="af">
    <w:name w:val="footer"/>
    <w:basedOn w:val="a"/>
    <w:link w:val="af0"/>
    <w:uiPriority w:val="99"/>
    <w:qFormat/>
    <w:rsid w:val="005E4491"/>
    <w:pPr>
      <w:tabs>
        <w:tab w:val="center" w:pos="4153"/>
        <w:tab w:val="right" w:pos="8306"/>
      </w:tabs>
      <w:snapToGrid w:val="0"/>
      <w:jc w:val="left"/>
    </w:pPr>
    <w:rPr>
      <w:rFonts w:cs="Times New Roman"/>
      <w:kern w:val="0"/>
      <w:sz w:val="18"/>
      <w:szCs w:val="18"/>
    </w:rPr>
  </w:style>
  <w:style w:type="paragraph" w:styleId="af1">
    <w:name w:val="header"/>
    <w:basedOn w:val="a"/>
    <w:link w:val="af2"/>
    <w:uiPriority w:val="99"/>
    <w:qFormat/>
    <w:rsid w:val="005E4491"/>
    <w:pPr>
      <w:pBdr>
        <w:bottom w:val="single" w:sz="6" w:space="1" w:color="auto"/>
      </w:pBdr>
      <w:tabs>
        <w:tab w:val="center" w:pos="4153"/>
        <w:tab w:val="right" w:pos="8306"/>
      </w:tabs>
      <w:snapToGrid w:val="0"/>
      <w:jc w:val="center"/>
    </w:pPr>
    <w:rPr>
      <w:rFonts w:cs="Times New Roman"/>
      <w:kern w:val="0"/>
      <w:sz w:val="18"/>
      <w:szCs w:val="18"/>
    </w:rPr>
  </w:style>
  <w:style w:type="paragraph" w:styleId="af3">
    <w:name w:val="Subtitle"/>
    <w:basedOn w:val="a"/>
    <w:next w:val="a"/>
    <w:link w:val="af4"/>
    <w:uiPriority w:val="99"/>
    <w:qFormat/>
    <w:rsid w:val="005E4491"/>
    <w:pPr>
      <w:spacing w:before="240" w:after="60" w:line="312" w:lineRule="auto"/>
      <w:jc w:val="center"/>
      <w:outlineLvl w:val="1"/>
    </w:pPr>
    <w:rPr>
      <w:rFonts w:ascii="Cambria" w:hAnsi="Cambria" w:cs="Times New Roman"/>
      <w:b/>
      <w:bCs/>
      <w:kern w:val="28"/>
      <w:sz w:val="32"/>
      <w:szCs w:val="32"/>
    </w:rPr>
  </w:style>
  <w:style w:type="character" w:styleId="af5">
    <w:name w:val="page number"/>
    <w:basedOn w:val="a0"/>
    <w:uiPriority w:val="99"/>
    <w:qFormat/>
    <w:locked/>
    <w:rsid w:val="005E4491"/>
  </w:style>
  <w:style w:type="character" w:styleId="af6">
    <w:name w:val="Hyperlink"/>
    <w:uiPriority w:val="99"/>
    <w:qFormat/>
    <w:rsid w:val="005E4491"/>
    <w:rPr>
      <w:color w:val="0000FF"/>
      <w:u w:val="single"/>
    </w:rPr>
  </w:style>
  <w:style w:type="character" w:styleId="af7">
    <w:name w:val="annotation reference"/>
    <w:qFormat/>
    <w:rsid w:val="005E4491"/>
    <w:rPr>
      <w:sz w:val="21"/>
      <w:szCs w:val="21"/>
    </w:rPr>
  </w:style>
  <w:style w:type="table" w:styleId="af8">
    <w:name w:val="Table Grid"/>
    <w:basedOn w:val="a1"/>
    <w:uiPriority w:val="59"/>
    <w:qFormat/>
    <w:locked/>
    <w:rsid w:val="005E449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5E4491"/>
    <w:rPr>
      <w:rFonts w:ascii="宋体" w:eastAsia="宋体" w:cs="宋体"/>
      <w:b/>
      <w:bCs/>
      <w:kern w:val="44"/>
      <w:sz w:val="48"/>
      <w:szCs w:val="48"/>
    </w:rPr>
  </w:style>
  <w:style w:type="character" w:customStyle="1" w:styleId="a6">
    <w:name w:val="批注文字 字符"/>
    <w:link w:val="a4"/>
    <w:qFormat/>
    <w:locked/>
    <w:rsid w:val="005E4491"/>
    <w:rPr>
      <w:kern w:val="2"/>
      <w:sz w:val="22"/>
      <w:szCs w:val="22"/>
    </w:rPr>
  </w:style>
  <w:style w:type="character" w:customStyle="1" w:styleId="a5">
    <w:name w:val="批注主题 字符"/>
    <w:link w:val="a3"/>
    <w:uiPriority w:val="99"/>
    <w:qFormat/>
    <w:locked/>
    <w:rsid w:val="005E4491"/>
    <w:rPr>
      <w:kern w:val="2"/>
      <w:sz w:val="22"/>
      <w:szCs w:val="22"/>
    </w:rPr>
  </w:style>
  <w:style w:type="character" w:customStyle="1" w:styleId="aa">
    <w:name w:val="正文文本缩进 字符"/>
    <w:basedOn w:val="a0"/>
    <w:link w:val="a9"/>
    <w:uiPriority w:val="99"/>
    <w:semiHidden/>
    <w:qFormat/>
    <w:locked/>
    <w:rsid w:val="005E4491"/>
  </w:style>
  <w:style w:type="character" w:customStyle="1" w:styleId="ac">
    <w:name w:val="日期 字符"/>
    <w:basedOn w:val="a0"/>
    <w:link w:val="ab"/>
    <w:uiPriority w:val="99"/>
    <w:semiHidden/>
    <w:qFormat/>
    <w:locked/>
    <w:rsid w:val="005E4491"/>
  </w:style>
  <w:style w:type="character" w:customStyle="1" w:styleId="ae">
    <w:name w:val="批注框文本 字符"/>
    <w:link w:val="ad"/>
    <w:uiPriority w:val="99"/>
    <w:semiHidden/>
    <w:qFormat/>
    <w:locked/>
    <w:rsid w:val="005E4491"/>
    <w:rPr>
      <w:sz w:val="18"/>
      <w:szCs w:val="18"/>
    </w:rPr>
  </w:style>
  <w:style w:type="character" w:customStyle="1" w:styleId="af0">
    <w:name w:val="页脚 字符"/>
    <w:link w:val="af"/>
    <w:uiPriority w:val="99"/>
    <w:qFormat/>
    <w:locked/>
    <w:rsid w:val="005E4491"/>
    <w:rPr>
      <w:sz w:val="18"/>
      <w:szCs w:val="18"/>
    </w:rPr>
  </w:style>
  <w:style w:type="character" w:customStyle="1" w:styleId="af2">
    <w:name w:val="页眉 字符"/>
    <w:link w:val="af1"/>
    <w:uiPriority w:val="99"/>
    <w:qFormat/>
    <w:locked/>
    <w:rsid w:val="005E4491"/>
    <w:rPr>
      <w:sz w:val="18"/>
      <w:szCs w:val="18"/>
    </w:rPr>
  </w:style>
  <w:style w:type="character" w:customStyle="1" w:styleId="af4">
    <w:name w:val="副标题 字符"/>
    <w:link w:val="af3"/>
    <w:uiPriority w:val="99"/>
    <w:qFormat/>
    <w:locked/>
    <w:rsid w:val="005E4491"/>
    <w:rPr>
      <w:rFonts w:ascii="Cambria" w:eastAsia="宋体" w:hAnsi="Cambria" w:cs="Cambria"/>
      <w:b/>
      <w:bCs/>
      <w:kern w:val="28"/>
      <w:sz w:val="32"/>
      <w:szCs w:val="32"/>
    </w:rPr>
  </w:style>
  <w:style w:type="character" w:customStyle="1" w:styleId="Char">
    <w:name w:val="副标题 Char"/>
    <w:uiPriority w:val="99"/>
    <w:qFormat/>
    <w:rsid w:val="005E4491"/>
    <w:rPr>
      <w:rFonts w:ascii="Cambria" w:eastAsia="宋体" w:hAnsi="Cambria" w:cs="Cambria"/>
      <w:b/>
      <w:bCs/>
      <w:kern w:val="28"/>
      <w:sz w:val="32"/>
      <w:szCs w:val="32"/>
    </w:rPr>
  </w:style>
  <w:style w:type="character" w:customStyle="1" w:styleId="Char0">
    <w:name w:val="正文文本缩进 Char"/>
    <w:uiPriority w:val="99"/>
    <w:qFormat/>
    <w:rsid w:val="005E4491"/>
    <w:rPr>
      <w:rFonts w:ascii="Times New Roman" w:eastAsia="楷体_GB2312" w:hAnsi="Times New Roman" w:cs="Times New Roman"/>
      <w:sz w:val="28"/>
      <w:szCs w:val="28"/>
    </w:rPr>
  </w:style>
  <w:style w:type="paragraph" w:customStyle="1" w:styleId="11">
    <w:name w:val="修订1"/>
    <w:hidden/>
    <w:uiPriority w:val="99"/>
    <w:qFormat/>
    <w:rsid w:val="005E4491"/>
    <w:rPr>
      <w:rFonts w:cs="Calibri"/>
      <w:kern w:val="2"/>
      <w:sz w:val="21"/>
      <w:szCs w:val="21"/>
    </w:rPr>
  </w:style>
  <w:style w:type="character" w:customStyle="1" w:styleId="2">
    <w:name w:val="正文文本 (2)_"/>
    <w:link w:val="21"/>
    <w:uiPriority w:val="99"/>
    <w:qFormat/>
    <w:locked/>
    <w:rsid w:val="005E4491"/>
    <w:rPr>
      <w:rFonts w:ascii="Times New Roman" w:hAnsi="Times New Roman" w:cs="Times New Roman"/>
      <w:shd w:val="clear" w:color="auto" w:fill="FFFFFF"/>
    </w:rPr>
  </w:style>
  <w:style w:type="paragraph" w:customStyle="1" w:styleId="21">
    <w:name w:val="正文文本 (2)1"/>
    <w:basedOn w:val="a"/>
    <w:link w:val="2"/>
    <w:uiPriority w:val="99"/>
    <w:qFormat/>
    <w:rsid w:val="005E4491"/>
    <w:pPr>
      <w:widowControl/>
      <w:shd w:val="clear" w:color="auto" w:fill="FFFFFF"/>
      <w:spacing w:after="480" w:line="254" w:lineRule="exact"/>
      <w:ind w:hanging="560"/>
      <w:jc w:val="left"/>
    </w:pPr>
    <w:rPr>
      <w:rFonts w:ascii="Times New Roman" w:hAnsi="Times New Roman" w:cs="Times New Roman"/>
      <w:kern w:val="0"/>
      <w:sz w:val="20"/>
      <w:szCs w:val="20"/>
    </w:rPr>
  </w:style>
  <w:style w:type="character" w:customStyle="1" w:styleId="a8">
    <w:name w:val="正文文本 字符"/>
    <w:link w:val="a7"/>
    <w:uiPriority w:val="99"/>
    <w:qFormat/>
    <w:locked/>
    <w:rsid w:val="005E4491"/>
    <w:rPr>
      <w:rFonts w:ascii="宋体" w:eastAsia="宋体" w:cs="宋体"/>
      <w:sz w:val="21"/>
      <w:szCs w:val="21"/>
      <w:lang w:eastAsia="en-US"/>
    </w:rPr>
  </w:style>
  <w:style w:type="character" w:customStyle="1" w:styleId="BodyTextChar1">
    <w:name w:val="Body Text Char1"/>
    <w:uiPriority w:val="99"/>
    <w:semiHidden/>
    <w:qFormat/>
    <w:rsid w:val="005E4491"/>
    <w:rPr>
      <w:rFonts w:cs="Calibri"/>
      <w:szCs w:val="21"/>
    </w:rPr>
  </w:style>
  <w:style w:type="character" w:customStyle="1" w:styleId="Char1">
    <w:name w:val="正文文本 Char1"/>
    <w:uiPriority w:val="99"/>
    <w:semiHidden/>
    <w:qFormat/>
    <w:locked/>
    <w:rsid w:val="005E4491"/>
    <w:rPr>
      <w:kern w:val="2"/>
      <w:sz w:val="22"/>
      <w:szCs w:val="22"/>
    </w:rPr>
  </w:style>
  <w:style w:type="paragraph" w:styleId="af9">
    <w:name w:val="List Paragraph"/>
    <w:basedOn w:val="a"/>
    <w:uiPriority w:val="34"/>
    <w:qFormat/>
    <w:rsid w:val="005E4491"/>
    <w:pPr>
      <w:ind w:firstLineChars="200" w:firstLine="420"/>
    </w:pPr>
  </w:style>
  <w:style w:type="paragraph" w:customStyle="1" w:styleId="Default">
    <w:name w:val="Default"/>
    <w:uiPriority w:val="99"/>
    <w:qFormat/>
    <w:rsid w:val="005E4491"/>
    <w:pPr>
      <w:autoSpaceDE w:val="0"/>
      <w:autoSpaceDN w:val="0"/>
      <w:adjustRightInd w:val="0"/>
    </w:pPr>
    <w:rPr>
      <w:rFonts w:ascii="Shaker 2 Lancet" w:eastAsia="Shaker 2 Lancet" w:hAnsi="Arial" w:cs="Shaker 2 Lancet"/>
      <w:color w:val="000000"/>
      <w:sz w:val="24"/>
      <w:szCs w:val="24"/>
    </w:rPr>
  </w:style>
  <w:style w:type="character" w:customStyle="1" w:styleId="commonicon162">
    <w:name w:val="common_icon_162"/>
    <w:basedOn w:val="a0"/>
    <w:uiPriority w:val="99"/>
    <w:qFormat/>
    <w:rsid w:val="005E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4ge4.com/aizheng/xinyao/493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B8F8D-D4BA-424C-9448-EB63E244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146</Pages>
  <Words>11023</Words>
  <Characters>62834</Characters>
  <Application>Microsoft Office Word</Application>
  <DocSecurity>0</DocSecurity>
  <Lines>523</Lines>
  <Paragraphs>147</Paragraphs>
  <ScaleCrop>false</ScaleCrop>
  <Company>user</Company>
  <LinksUpToDate>false</LinksUpToDate>
  <CharactersWithSpaces>73710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40</cp:revision>
  <cp:lastPrinted>2020-12-23T07:30:00Z</cp:lastPrinted>
  <dcterms:created xsi:type="dcterms:W3CDTF">2020-12-23T06:03:00Z</dcterms:created>
  <dcterms:modified xsi:type="dcterms:W3CDTF">2020-12-23T08:45:00Z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