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adjustRightInd w:val="0"/>
        <w:spacing w:line="600" w:lineRule="exact"/>
        <w:rPr>
          <w:rFonts w:ascii="黑体" w:hAnsi="黑体" w:eastAsia="黑体"/>
          <w:sz w:val="32"/>
          <w:szCs w:val="28"/>
        </w:rPr>
      </w:pPr>
      <w:r>
        <w:rPr>
          <w:rFonts w:hint="eastAsia" w:ascii="黑体" w:hAnsi="黑体" w:eastAsia="黑体"/>
          <w:sz w:val="32"/>
          <w:szCs w:val="28"/>
        </w:rPr>
        <w:t>附件1</w:t>
      </w:r>
    </w:p>
    <w:p>
      <w:pPr>
        <w:widowControl/>
        <w:adjustRightInd w:val="0"/>
        <w:spacing w:line="600" w:lineRule="exact"/>
        <w:jc w:val="center"/>
        <w:rPr>
          <w:rFonts w:ascii="宋体" w:hAnsi="宋体" w:eastAsia="宋体" w:cs="宋体"/>
          <w:b/>
          <w:bCs/>
          <w:kern w:val="0"/>
          <w:sz w:val="44"/>
          <w:szCs w:val="44"/>
          <w:lang w:val="zh-CN"/>
        </w:rPr>
      </w:pPr>
      <w:r>
        <w:rPr>
          <w:rFonts w:hint="eastAsia" w:ascii="宋体" w:hAnsi="宋体" w:eastAsia="宋体"/>
          <w:b/>
          <w:sz w:val="44"/>
          <w:szCs w:val="44"/>
        </w:rPr>
        <w:t>全国真菌病监测网方案</w:t>
      </w:r>
      <w:r>
        <w:rPr>
          <w:rFonts w:hint="eastAsia" w:ascii="宋体" w:hAnsi="宋体" w:eastAsia="宋体" w:cs="宋体"/>
          <w:b/>
          <w:bCs/>
          <w:kern w:val="0"/>
          <w:sz w:val="44"/>
          <w:szCs w:val="44"/>
          <w:lang w:val="zh-CN"/>
        </w:rPr>
        <w:t>（2019版）</w:t>
      </w:r>
    </w:p>
    <w:p>
      <w:pPr>
        <w:widowControl/>
        <w:adjustRightInd w:val="0"/>
        <w:spacing w:line="600" w:lineRule="exact"/>
        <w:ind w:firstLine="883" w:firstLineChars="200"/>
        <w:jc w:val="center"/>
        <w:rPr>
          <w:rFonts w:ascii="宋体" w:hAnsi="宋体" w:eastAsia="宋体" w:cs="宋体"/>
          <w:b/>
          <w:bCs/>
          <w:kern w:val="0"/>
          <w:sz w:val="44"/>
          <w:szCs w:val="44"/>
          <w:lang w:val="zh-CN"/>
        </w:rPr>
      </w:pPr>
    </w:p>
    <w:p>
      <w:pPr>
        <w:spacing w:line="600" w:lineRule="exact"/>
        <w:ind w:firstLine="640" w:firstLineChars="200"/>
        <w:jc w:val="left"/>
        <w:rPr>
          <w:rFonts w:hint="eastAsia" w:ascii="仿宋_GB2312" w:hAnsi="宋体" w:cs="宋体"/>
          <w:kern w:val="0"/>
          <w:szCs w:val="32"/>
        </w:rPr>
      </w:pPr>
      <w:r>
        <w:rPr>
          <w:rFonts w:hint="eastAsia" w:ascii="仿宋_GB2312" w:hAnsi="宋体" w:cs="宋体"/>
          <w:kern w:val="0"/>
          <w:szCs w:val="32"/>
        </w:rPr>
        <w:t>全国真菌病监测网</w:t>
      </w:r>
      <w:r>
        <w:rPr>
          <w:rFonts w:hint="eastAsia" w:ascii="仿宋_GB2312" w:hAnsi="Calibri"/>
          <w:szCs w:val="32"/>
        </w:rPr>
        <w:t>（以下</w:t>
      </w:r>
      <w:r>
        <w:rPr>
          <w:rFonts w:ascii="仿宋_GB2312" w:hAnsi="Calibri"/>
          <w:szCs w:val="32"/>
        </w:rPr>
        <w:t>简称</w:t>
      </w:r>
      <w:r>
        <w:rPr>
          <w:rFonts w:hint="eastAsia" w:ascii="仿宋_GB2312" w:hAnsi="Calibri"/>
          <w:szCs w:val="32"/>
        </w:rPr>
        <w:t>监测网）</w:t>
      </w:r>
      <w:r>
        <w:rPr>
          <w:rFonts w:hint="eastAsia" w:ascii="仿宋_GB2312" w:hAnsi="宋体" w:cs="宋体"/>
          <w:kern w:val="0"/>
          <w:szCs w:val="32"/>
        </w:rPr>
        <w:t>是由符合一定条件的三级医疗机构组成的国家级真菌病监测网。</w:t>
      </w:r>
    </w:p>
    <w:p>
      <w:pPr>
        <w:spacing w:line="600" w:lineRule="exact"/>
        <w:ind w:firstLine="640" w:firstLineChars="200"/>
        <w:jc w:val="left"/>
        <w:rPr>
          <w:rFonts w:ascii="黑体" w:hAnsi="黑体" w:eastAsia="黑体" w:cs="宋体"/>
          <w:kern w:val="0"/>
          <w:szCs w:val="32"/>
        </w:rPr>
      </w:pPr>
      <w:r>
        <w:rPr>
          <w:rFonts w:hint="eastAsia" w:ascii="黑体" w:hAnsi="黑体" w:eastAsia="黑体" w:cs="宋体"/>
          <w:kern w:val="0"/>
          <w:szCs w:val="32"/>
        </w:rPr>
        <w:t>一、监测网构成</w:t>
      </w:r>
    </w:p>
    <w:p>
      <w:pPr>
        <w:spacing w:line="600" w:lineRule="exact"/>
        <w:ind w:firstLine="640" w:firstLineChars="200"/>
        <w:jc w:val="left"/>
        <w:rPr>
          <w:rFonts w:ascii="仿宋_GB2312" w:hAnsi="宋体" w:cs="宋体"/>
          <w:kern w:val="0"/>
          <w:szCs w:val="32"/>
        </w:rPr>
      </w:pPr>
      <w:r>
        <w:rPr>
          <w:rFonts w:hint="eastAsia" w:ascii="仿宋_GB2312" w:hAnsi="宋体" w:cs="宋体"/>
          <w:kern w:val="0"/>
          <w:szCs w:val="32"/>
        </w:rPr>
        <w:t>监测网采用分级运行管理机制，包括国家中心、省级中心和监测单位。国家中心及省级中心可设立专门部门，负责网络运行、数据分析、质量管理、能力建设等工作；监测单位应当指定专门部门和专兼职人员负责上述工作。</w:t>
      </w:r>
    </w:p>
    <w:p>
      <w:pPr>
        <w:numPr>
          <w:ilvl w:val="0"/>
          <w:numId w:val="1"/>
        </w:numPr>
        <w:spacing w:line="600" w:lineRule="exact"/>
        <w:ind w:firstLine="640" w:firstLineChars="200"/>
        <w:rPr>
          <w:rFonts w:ascii="仿宋_GB2312" w:hAnsi="宋体" w:cs="宋体"/>
          <w:kern w:val="0"/>
          <w:szCs w:val="32"/>
        </w:rPr>
      </w:pPr>
      <w:r>
        <w:rPr>
          <w:rFonts w:hint="eastAsia" w:ascii="仿宋_GB2312" w:hAnsi="宋体" w:cs="宋体"/>
          <w:kern w:val="0"/>
          <w:szCs w:val="32"/>
        </w:rPr>
        <w:t>国家中心：国家卫生健康委指定中国医学科学院北京协和医院为监测网国家</w:t>
      </w:r>
      <w:r>
        <w:rPr>
          <w:rFonts w:ascii="仿宋_GB2312" w:hAnsi="宋体" w:cs="宋体"/>
          <w:kern w:val="0"/>
          <w:szCs w:val="32"/>
        </w:rPr>
        <w:t>中心</w:t>
      </w:r>
      <w:r>
        <w:rPr>
          <w:rFonts w:hint="eastAsia" w:ascii="仿宋_GB2312" w:hAnsi="宋体" w:cs="宋体"/>
          <w:kern w:val="0"/>
          <w:szCs w:val="32"/>
        </w:rPr>
        <w:t>，负责监测网的总体规划设计和日常运行管理工作。国家中心设立监测网专家委员会，负责审议年度监测技术方案，并提供监测运行指导。</w:t>
      </w:r>
    </w:p>
    <w:p>
      <w:pPr>
        <w:spacing w:line="600" w:lineRule="exact"/>
        <w:ind w:firstLine="640" w:firstLineChars="200"/>
        <w:rPr>
          <w:rFonts w:ascii="仿宋_GB2312" w:hAnsi="宋体" w:cs="宋体"/>
          <w:kern w:val="0"/>
          <w:szCs w:val="32"/>
        </w:rPr>
      </w:pPr>
      <w:r>
        <w:rPr>
          <w:rFonts w:hint="eastAsia" w:ascii="仿宋_GB2312" w:hAnsi="宋体" w:cs="宋体"/>
          <w:kern w:val="0"/>
          <w:szCs w:val="32"/>
        </w:rPr>
        <w:t>（二）省级中心：各省级卫生健康行政部门从监测单位中遴选1所医疗机构作为监测网省级中心。</w:t>
      </w:r>
      <w:r>
        <w:rPr>
          <w:rFonts w:ascii="仿宋_GB2312" w:hAnsi="宋体" w:cs="宋体"/>
          <w:kern w:val="0"/>
          <w:szCs w:val="32"/>
        </w:rPr>
        <w:t>省级中心</w:t>
      </w:r>
      <w:r>
        <w:rPr>
          <w:rFonts w:hint="eastAsia" w:ascii="仿宋_GB2312" w:hAnsi="宋体" w:cs="宋体"/>
          <w:kern w:val="0"/>
          <w:szCs w:val="32"/>
        </w:rPr>
        <w:t>在省级</w:t>
      </w:r>
      <w:r>
        <w:rPr>
          <w:rFonts w:ascii="仿宋_GB2312" w:hAnsi="宋体" w:cs="宋体"/>
          <w:kern w:val="0"/>
          <w:szCs w:val="32"/>
        </w:rPr>
        <w:t>卫生</w:t>
      </w:r>
      <w:r>
        <w:rPr>
          <w:rFonts w:hint="eastAsia" w:ascii="仿宋_GB2312" w:hAnsi="宋体" w:cs="宋体"/>
          <w:kern w:val="0"/>
          <w:szCs w:val="32"/>
        </w:rPr>
        <w:t>健康</w:t>
      </w:r>
      <w:r>
        <w:rPr>
          <w:rFonts w:ascii="仿宋_GB2312" w:hAnsi="宋体" w:cs="宋体"/>
          <w:kern w:val="0"/>
          <w:szCs w:val="32"/>
        </w:rPr>
        <w:t>行政部门的</w:t>
      </w:r>
      <w:r>
        <w:rPr>
          <w:rFonts w:hint="eastAsia" w:ascii="仿宋_GB2312" w:hAnsi="宋体" w:cs="宋体"/>
          <w:kern w:val="0"/>
          <w:szCs w:val="32"/>
        </w:rPr>
        <w:t>指导</w:t>
      </w:r>
      <w:r>
        <w:rPr>
          <w:rFonts w:ascii="仿宋_GB2312" w:hAnsi="宋体" w:cs="宋体"/>
          <w:kern w:val="0"/>
          <w:szCs w:val="32"/>
        </w:rPr>
        <w:t>下，</w:t>
      </w:r>
      <w:r>
        <w:rPr>
          <w:rFonts w:hint="eastAsia" w:ascii="仿宋_GB2312" w:hAnsi="宋体" w:cs="宋体"/>
          <w:kern w:val="0"/>
          <w:szCs w:val="32"/>
        </w:rPr>
        <w:t>负责辖区</w:t>
      </w:r>
      <w:r>
        <w:rPr>
          <w:rFonts w:ascii="仿宋_GB2312" w:hAnsi="宋体" w:cs="宋体"/>
          <w:kern w:val="0"/>
          <w:szCs w:val="32"/>
        </w:rPr>
        <w:t>内监测网</w:t>
      </w:r>
      <w:r>
        <w:rPr>
          <w:rFonts w:hint="eastAsia" w:ascii="仿宋_GB2312" w:hAnsi="宋体" w:cs="宋体"/>
          <w:kern w:val="0"/>
          <w:szCs w:val="32"/>
        </w:rPr>
        <w:t>的</w:t>
      </w:r>
      <w:r>
        <w:rPr>
          <w:rFonts w:ascii="仿宋_GB2312" w:hAnsi="宋体" w:cs="宋体"/>
          <w:kern w:val="0"/>
          <w:szCs w:val="32"/>
        </w:rPr>
        <w:t>组织管理</w:t>
      </w:r>
      <w:r>
        <w:rPr>
          <w:rFonts w:hint="eastAsia" w:ascii="仿宋_GB2312" w:hAnsi="宋体" w:cs="宋体"/>
          <w:kern w:val="0"/>
          <w:szCs w:val="32"/>
        </w:rPr>
        <w:t>和日常</w:t>
      </w:r>
      <w:r>
        <w:rPr>
          <w:rFonts w:ascii="仿宋_GB2312" w:hAnsi="宋体" w:cs="宋体"/>
          <w:kern w:val="0"/>
          <w:szCs w:val="32"/>
        </w:rPr>
        <w:t>工作</w:t>
      </w:r>
      <w:r>
        <w:rPr>
          <w:rFonts w:hint="eastAsia" w:ascii="仿宋_GB2312" w:hAnsi="宋体" w:cs="宋体"/>
          <w:kern w:val="0"/>
          <w:szCs w:val="32"/>
        </w:rPr>
        <w:t>。</w:t>
      </w:r>
    </w:p>
    <w:p>
      <w:pPr>
        <w:spacing w:line="600" w:lineRule="exact"/>
        <w:ind w:firstLine="640" w:firstLineChars="200"/>
        <w:rPr>
          <w:rFonts w:hint="eastAsia" w:ascii="仿宋_GB2312" w:hAnsi="宋体" w:cs="宋体"/>
          <w:kern w:val="0"/>
          <w:szCs w:val="32"/>
        </w:rPr>
      </w:pPr>
      <w:r>
        <w:rPr>
          <w:rFonts w:hint="eastAsia" w:ascii="仿宋_GB2312" w:hAnsi="宋体" w:cs="宋体"/>
          <w:kern w:val="0"/>
          <w:szCs w:val="32"/>
        </w:rPr>
        <w:t>（三）监测单位：各省级卫生健康行政部门负责遴选本辖区内监测单位。监测单位应当同时符合以下条件：</w:t>
      </w:r>
    </w:p>
    <w:p>
      <w:pPr>
        <w:spacing w:line="600" w:lineRule="exact"/>
        <w:ind w:firstLine="640" w:firstLineChars="200"/>
        <w:rPr>
          <w:rFonts w:hint="eastAsia" w:ascii="仿宋_GB2312" w:hAnsi="Calibri"/>
          <w:szCs w:val="32"/>
        </w:rPr>
      </w:pPr>
      <w:r>
        <w:rPr>
          <w:rFonts w:hint="eastAsia" w:ascii="仿宋_GB2312" w:hAnsi="宋体" w:cs="宋体"/>
          <w:kern w:val="0"/>
          <w:szCs w:val="32"/>
        </w:rPr>
        <w:t>1.</w:t>
      </w:r>
      <w:r>
        <w:rPr>
          <w:rFonts w:hint="eastAsia" w:ascii="仿宋_GB2312" w:hAnsi="Calibri"/>
          <w:szCs w:val="32"/>
        </w:rPr>
        <w:t>三级医疗机构;</w:t>
      </w:r>
    </w:p>
    <w:p>
      <w:pPr>
        <w:spacing w:line="600" w:lineRule="exact"/>
        <w:ind w:firstLine="640" w:firstLineChars="200"/>
        <w:rPr>
          <w:rFonts w:hint="eastAsia" w:ascii="仿宋_GB2312" w:hAnsi="Calibri"/>
          <w:szCs w:val="32"/>
        </w:rPr>
      </w:pPr>
      <w:r>
        <w:rPr>
          <w:rFonts w:hint="eastAsia" w:ascii="仿宋_GB2312" w:hAnsi="Calibri"/>
          <w:szCs w:val="32"/>
        </w:rPr>
        <w:t>2.临床微生物实验室应当具备独立的真菌实验区域、完善的实验室信息管理系统、熟练应用WHONET软件的专职真菌检验技术人员;</w:t>
      </w:r>
    </w:p>
    <w:p>
      <w:pPr>
        <w:spacing w:line="600" w:lineRule="exact"/>
        <w:ind w:firstLine="640" w:firstLineChars="200"/>
        <w:rPr>
          <w:rFonts w:ascii="仿宋_GB2312" w:hAnsi="Calibri"/>
          <w:szCs w:val="32"/>
        </w:rPr>
      </w:pPr>
      <w:r>
        <w:rPr>
          <w:rFonts w:hint="eastAsia" w:ascii="仿宋_GB2312" w:hAnsi="Calibri"/>
          <w:szCs w:val="32"/>
        </w:rPr>
        <w:t>3.具备开展真菌形态学检测、分离培养、菌种鉴定、药物敏感性试验、血清学检测和</w:t>
      </w:r>
      <w:r>
        <w:rPr>
          <w:rFonts w:ascii="仿宋_GB2312" w:hAnsi="Calibri"/>
          <w:szCs w:val="32"/>
        </w:rPr>
        <w:t>临床菌种保留的</w:t>
      </w:r>
      <w:r>
        <w:rPr>
          <w:rFonts w:hint="eastAsia" w:ascii="仿宋_GB2312" w:hAnsi="Calibri"/>
          <w:szCs w:val="32"/>
        </w:rPr>
        <w:t>技术能力。</w:t>
      </w:r>
    </w:p>
    <w:p>
      <w:pPr>
        <w:spacing w:line="600" w:lineRule="exact"/>
        <w:ind w:firstLine="640" w:firstLineChars="200"/>
        <w:rPr>
          <w:rFonts w:hint="eastAsia" w:ascii="黑体" w:hAnsi="黑体" w:eastAsia="黑体" w:cs="宋体"/>
          <w:kern w:val="0"/>
          <w:szCs w:val="32"/>
        </w:rPr>
      </w:pPr>
      <w:r>
        <w:rPr>
          <w:rFonts w:hint="eastAsia" w:ascii="黑体" w:hAnsi="黑体" w:eastAsia="黑体" w:cs="宋体"/>
          <w:kern w:val="0"/>
          <w:szCs w:val="32"/>
        </w:rPr>
        <w:t>二、工作内容</w:t>
      </w:r>
    </w:p>
    <w:p>
      <w:pPr>
        <w:spacing w:line="600" w:lineRule="exact"/>
        <w:ind w:firstLine="640" w:firstLineChars="200"/>
        <w:rPr>
          <w:rFonts w:hint="eastAsia" w:ascii="仿宋_GB2312" w:hAnsi="Calibri"/>
          <w:szCs w:val="32"/>
        </w:rPr>
      </w:pPr>
      <w:r>
        <w:rPr>
          <w:rFonts w:hint="eastAsia" w:ascii="仿宋_GB2312" w:hAnsi="宋体" w:cs="宋体"/>
          <w:kern w:val="0"/>
          <w:szCs w:val="32"/>
        </w:rPr>
        <w:t>（一）</w:t>
      </w:r>
      <w:r>
        <w:rPr>
          <w:rFonts w:hint="eastAsia" w:ascii="仿宋_GB2312" w:hAnsi="Calibri"/>
          <w:szCs w:val="32"/>
        </w:rPr>
        <w:t>对我国真菌病的病原谱、耐药性，以及特殊、限制级抗真菌药物临床应用情况，开展定期监测；</w:t>
      </w:r>
    </w:p>
    <w:p>
      <w:pPr>
        <w:numPr>
          <w:ilvl w:val="0"/>
          <w:numId w:val="2"/>
        </w:numPr>
        <w:spacing w:line="600" w:lineRule="exact"/>
        <w:ind w:firstLine="640" w:firstLineChars="200"/>
        <w:rPr>
          <w:rFonts w:hint="eastAsia" w:ascii="仿宋_GB2312" w:hAnsi="Calibri"/>
          <w:szCs w:val="32"/>
        </w:rPr>
      </w:pPr>
      <w:r>
        <w:rPr>
          <w:rFonts w:hint="eastAsia" w:ascii="仿宋_GB2312" w:hAnsi="Calibri"/>
          <w:szCs w:val="32"/>
        </w:rPr>
        <w:t>针对高危病原真菌及真菌病区域性暴发，开展实时主动监测，进行预警与防控；</w:t>
      </w:r>
    </w:p>
    <w:p>
      <w:pPr>
        <w:numPr>
          <w:ilvl w:val="0"/>
          <w:numId w:val="2"/>
        </w:numPr>
        <w:spacing w:line="600" w:lineRule="exact"/>
        <w:ind w:firstLine="640" w:firstLineChars="200"/>
        <w:rPr>
          <w:rFonts w:ascii="仿宋_GB2312" w:hAnsi="宋体" w:cs="宋体"/>
          <w:kern w:val="0"/>
          <w:szCs w:val="32"/>
        </w:rPr>
      </w:pPr>
      <w:r>
        <w:rPr>
          <w:rFonts w:hint="eastAsia" w:ascii="仿宋_GB2312" w:hAnsi="Calibri"/>
          <w:szCs w:val="32"/>
        </w:rPr>
        <w:t>组织开展真菌致病性</w:t>
      </w:r>
      <w:r>
        <w:rPr>
          <w:rFonts w:ascii="仿宋_GB2312" w:hAnsi="Calibri"/>
          <w:szCs w:val="32"/>
        </w:rPr>
        <w:t>与致病机制</w:t>
      </w:r>
      <w:r>
        <w:rPr>
          <w:rFonts w:hint="eastAsia" w:ascii="仿宋_GB2312" w:hAnsi="Calibri"/>
          <w:szCs w:val="32"/>
        </w:rPr>
        <w:t>、耐药性与耐药机制，以及传播与流行病学研究；</w:t>
      </w:r>
    </w:p>
    <w:p>
      <w:pPr>
        <w:numPr>
          <w:ilvl w:val="0"/>
          <w:numId w:val="2"/>
        </w:numPr>
        <w:spacing w:line="600" w:lineRule="exact"/>
        <w:ind w:firstLine="640" w:firstLineChars="200"/>
        <w:rPr>
          <w:rFonts w:ascii="仿宋_GB2312" w:hAnsi="宋体" w:cs="宋体"/>
          <w:kern w:val="0"/>
          <w:szCs w:val="32"/>
        </w:rPr>
      </w:pPr>
      <w:r>
        <w:rPr>
          <w:rFonts w:hint="eastAsia" w:ascii="仿宋_GB2312" w:hAnsi="Calibri"/>
          <w:szCs w:val="32"/>
        </w:rPr>
        <w:t>组织开展我国临床真菌感染与耐药的经济负担研究，并提出遏制病原耐药及传播的意见建议；</w:t>
      </w:r>
    </w:p>
    <w:p>
      <w:pPr>
        <w:numPr>
          <w:ilvl w:val="0"/>
          <w:numId w:val="2"/>
        </w:numPr>
        <w:spacing w:line="600" w:lineRule="exact"/>
        <w:ind w:firstLine="640" w:firstLineChars="200"/>
        <w:rPr>
          <w:rFonts w:ascii="仿宋_GB2312" w:hAnsi="宋体" w:cs="宋体"/>
          <w:kern w:val="0"/>
          <w:szCs w:val="32"/>
        </w:rPr>
      </w:pPr>
      <w:r>
        <w:rPr>
          <w:rFonts w:hint="eastAsia" w:ascii="仿宋_GB2312" w:hAnsi="Calibri"/>
          <w:szCs w:val="32"/>
        </w:rPr>
        <w:t>组织制订真菌病诊疗与防控技术规范，做好临床真菌实验室质量控制，推进实验室同质化发展等工作</w:t>
      </w:r>
      <w:r>
        <w:rPr>
          <w:rFonts w:hint="eastAsia" w:ascii="仿宋_GB2312" w:hAnsi="宋体" w:cs="宋体"/>
          <w:kern w:val="0"/>
          <w:szCs w:val="32"/>
        </w:rPr>
        <w:t>。</w:t>
      </w:r>
    </w:p>
    <w:p>
      <w:pPr>
        <w:spacing w:line="600" w:lineRule="exact"/>
        <w:ind w:firstLine="640" w:firstLineChars="200"/>
        <w:rPr>
          <w:rFonts w:ascii="黑体" w:hAnsi="黑体" w:eastAsia="黑体" w:cs="宋体"/>
          <w:kern w:val="0"/>
          <w:szCs w:val="32"/>
        </w:rPr>
      </w:pPr>
      <w:r>
        <w:rPr>
          <w:rFonts w:hint="eastAsia" w:ascii="黑体" w:hAnsi="黑体" w:eastAsia="黑体" w:cs="宋体"/>
          <w:kern w:val="0"/>
          <w:szCs w:val="32"/>
        </w:rPr>
        <w:t>三、标本采集与检定</w:t>
      </w:r>
    </w:p>
    <w:p>
      <w:pPr>
        <w:spacing w:line="600" w:lineRule="exact"/>
        <w:ind w:firstLine="640" w:firstLineChars="200"/>
        <w:rPr>
          <w:rFonts w:ascii="仿宋_GB2312" w:hAnsi="宋体" w:cs="宋体"/>
          <w:kern w:val="0"/>
          <w:szCs w:val="32"/>
        </w:rPr>
      </w:pPr>
      <w:r>
        <w:rPr>
          <w:rFonts w:hint="eastAsia" w:ascii="仿宋_GB2312" w:hAnsi="宋体" w:cs="宋体"/>
          <w:kern w:val="0"/>
          <w:szCs w:val="32"/>
        </w:rPr>
        <w:t>监测网的目标病原是从临床标本中分离的、有临床意义的真菌，包括所有浅部及侵袭性感染分离的真菌。重点关注血液、静脉导管、脑脊液、胸腹水、关节液、组织、脓肿、伤口分泌物、肺泡灌洗液等合格样本分离的致病性真菌。同时，接受呼吸道标本、生殖道标本、拭子、尿液、粪便等来源且具有临床意义的真菌。监测网的各监测单位需将检出的真菌菌株，在-20℃以下保存至少1年，以备复核。</w:t>
      </w:r>
    </w:p>
    <w:p>
      <w:pPr>
        <w:spacing w:line="600" w:lineRule="exact"/>
        <w:ind w:firstLine="640" w:firstLineChars="200"/>
        <w:rPr>
          <w:rFonts w:ascii="仿宋_GB2312" w:hAnsi="宋体" w:cs="宋体"/>
          <w:kern w:val="0"/>
          <w:szCs w:val="32"/>
        </w:rPr>
      </w:pPr>
      <w:r>
        <w:rPr>
          <w:rFonts w:hint="eastAsia" w:ascii="仿宋_GB2312" w:hAnsi="宋体" w:cs="宋体"/>
          <w:kern w:val="0"/>
          <w:szCs w:val="32"/>
        </w:rPr>
        <w:t>目标真菌的鉴定需采用专业认可的鉴定系统或手工方法进行，尽可能鉴定到种。抗菌药物敏感性试验需根据国际标准、卫生行业标准或仪器制造商建议规范开展。可采用手工法、仪器法，报告抑菌圈直径（mm）、最小抑菌浓度（MIC值，mg/L）。针对侵袭性真菌感染，目标药物包括唑类（如氟康唑、伏立康唑、伊曲康唑、泊沙康唑等）、棘白菌素类（如卡泊芬净、米卡芬净、阿尼芬净等）、两性霉素B、氟胞嘧啶等。</w:t>
      </w:r>
    </w:p>
    <w:p>
      <w:pPr>
        <w:spacing w:line="600" w:lineRule="exact"/>
        <w:ind w:firstLine="640" w:firstLineChars="200"/>
        <w:rPr>
          <w:rFonts w:ascii="黑体" w:hAnsi="黑体" w:eastAsia="黑体" w:cs="宋体"/>
          <w:kern w:val="0"/>
          <w:szCs w:val="32"/>
        </w:rPr>
      </w:pPr>
      <w:r>
        <w:rPr>
          <w:rFonts w:hint="eastAsia" w:ascii="黑体" w:hAnsi="黑体" w:eastAsia="黑体" w:cs="宋体"/>
          <w:kern w:val="0"/>
          <w:szCs w:val="32"/>
        </w:rPr>
        <w:t>四、数据收集与上报</w:t>
      </w:r>
    </w:p>
    <w:p>
      <w:pPr>
        <w:widowControl/>
        <w:spacing w:line="600" w:lineRule="exact"/>
        <w:ind w:firstLine="640" w:firstLineChars="200"/>
        <w:rPr>
          <w:rFonts w:ascii="仿宋_GB2312" w:hAnsi="宋体" w:cs="宋体"/>
          <w:kern w:val="0"/>
          <w:szCs w:val="32"/>
          <w:lang w:val="zh-CN"/>
        </w:rPr>
      </w:pPr>
      <w:r>
        <w:rPr>
          <w:rFonts w:hint="eastAsia" w:ascii="仿宋_GB2312" w:hAnsi="宋体" w:cs="宋体"/>
          <w:kern w:val="0"/>
          <w:szCs w:val="32"/>
          <w:lang w:val="zh-CN"/>
        </w:rPr>
        <w:t>各监测单位通过网络形式每季度按时上报数据到国家监测网门户网站，需上报数据内容至少包括：患者唯一标识（如病案号）、性别、年龄、门急诊/住院、科室类型、基础疾病及临床诊断、标本类型、实验室样本编号、标本日期、鉴定结果、鉴定方法及生产厂家、药敏结果、药敏方法及生产厂家、质控数据、抗菌药物使用情况等。</w:t>
      </w:r>
    </w:p>
    <w:p>
      <w:pPr>
        <w:widowControl/>
        <w:spacing w:line="600" w:lineRule="exact"/>
        <w:ind w:firstLine="640" w:firstLineChars="200"/>
        <w:rPr>
          <w:rFonts w:ascii="仿宋_GB2312" w:hAnsi="宋体" w:cs="宋体"/>
          <w:kern w:val="0"/>
          <w:szCs w:val="32"/>
          <w:lang w:val="zh-CN"/>
        </w:rPr>
      </w:pPr>
      <w:r>
        <w:rPr>
          <w:rFonts w:hint="eastAsia" w:ascii="仿宋_GB2312" w:hAnsi="宋体" w:cs="宋体"/>
          <w:kern w:val="0"/>
          <w:szCs w:val="32"/>
          <w:lang w:val="zh-CN"/>
        </w:rPr>
        <w:t>国家中心负责数据的分析与反馈，每年发布《全国真菌病监测报告》，提供我国真菌病病原谱、耐药性及变化趋势等数据。</w:t>
      </w:r>
    </w:p>
    <w:p>
      <w:pPr>
        <w:spacing w:line="600" w:lineRule="exact"/>
        <w:ind w:firstLine="640" w:firstLineChars="200"/>
        <w:rPr>
          <w:rFonts w:ascii="黑体" w:hAnsi="黑体" w:eastAsia="黑体" w:cs="宋体"/>
          <w:kern w:val="0"/>
          <w:szCs w:val="32"/>
        </w:rPr>
      </w:pPr>
      <w:r>
        <w:rPr>
          <w:rFonts w:hint="eastAsia" w:ascii="黑体" w:hAnsi="黑体" w:eastAsia="黑体" w:cs="宋体"/>
          <w:kern w:val="0"/>
          <w:szCs w:val="32"/>
        </w:rPr>
        <w:t>五、质量管理</w:t>
      </w:r>
    </w:p>
    <w:p>
      <w:pPr>
        <w:widowControl/>
        <w:spacing w:line="600" w:lineRule="exact"/>
        <w:ind w:firstLine="640" w:firstLineChars="200"/>
        <w:rPr>
          <w:rFonts w:ascii="仿宋_GB2312" w:hAnsi="宋体" w:cs="宋体"/>
          <w:kern w:val="0"/>
          <w:szCs w:val="32"/>
          <w:lang w:val="zh-CN"/>
        </w:rPr>
      </w:pPr>
      <w:r>
        <w:rPr>
          <w:rFonts w:hint="eastAsia" w:ascii="仿宋_GB2312" w:hAnsi="宋体" w:cs="宋体"/>
          <w:kern w:val="0"/>
          <w:szCs w:val="32"/>
          <w:lang w:val="zh-CN"/>
        </w:rPr>
        <w:t>国家中心设立的质量管理部门，负责审核各监测单位上报的日常质量控制及监测数据。对出现数据异常的监测单位，将收集监测菌株进行复核鉴定及药物敏感性测定，并反馈质量控制结果。质量管理部门每年定期向监测单位发放质控样品，以确保监测单位日常真菌检验工作的质量。</w:t>
      </w:r>
    </w:p>
    <w:p>
      <w:pPr>
        <w:spacing w:line="600" w:lineRule="exact"/>
        <w:ind w:firstLine="640" w:firstLineChars="200"/>
        <w:rPr>
          <w:rFonts w:ascii="黑体" w:hAnsi="黑体" w:eastAsia="黑体" w:cs="宋体"/>
          <w:kern w:val="0"/>
          <w:szCs w:val="32"/>
        </w:rPr>
      </w:pPr>
      <w:r>
        <w:rPr>
          <w:rFonts w:hint="eastAsia" w:ascii="黑体" w:hAnsi="黑体" w:eastAsia="黑体" w:cs="宋体"/>
          <w:kern w:val="0"/>
          <w:szCs w:val="32"/>
        </w:rPr>
        <w:t>六、特殊情况处理</w:t>
      </w:r>
    </w:p>
    <w:p>
      <w:pPr>
        <w:widowControl/>
        <w:spacing w:line="600" w:lineRule="exact"/>
        <w:ind w:firstLine="640" w:firstLineChars="200"/>
        <w:rPr>
          <w:rFonts w:ascii="仿宋_GB2312" w:hAnsi="宋体" w:cs="宋体"/>
          <w:kern w:val="0"/>
          <w:szCs w:val="32"/>
        </w:rPr>
      </w:pPr>
      <w:r>
        <w:rPr>
          <w:rFonts w:hint="eastAsia" w:ascii="仿宋_GB2312" w:hAnsi="宋体" w:cs="宋体"/>
          <w:kern w:val="0"/>
          <w:szCs w:val="32"/>
          <w:lang w:val="zh-CN"/>
        </w:rPr>
        <w:t>当监测单位在常规检验中发现可疑高危致病菌（如粗球孢子菌、组织胞浆菌等）、多重耐药或全耐药的“超级真菌”时，需将信息实时上报至国家中心，并联系确认。对多重耐药或全耐药的“超级真菌”，国家中心收集菌种，组织鉴定及药物敏感性试验复核。对可疑高危致病菌，国家中心按照国家相关规定，将菌株转移至符合</w:t>
      </w:r>
      <w:r>
        <w:rPr>
          <w:rFonts w:hint="eastAsia" w:ascii="仿宋_GB2312" w:hAnsi="宋体" w:cs="宋体"/>
          <w:kern w:val="0"/>
          <w:szCs w:val="32"/>
        </w:rPr>
        <w:t>相关生物安全级别要求的实验室，进一步复核确证，复核结果及时反馈监测单位。</w:t>
      </w:r>
    </w:p>
    <w:p>
      <w:pPr>
        <w:spacing w:line="600" w:lineRule="exact"/>
        <w:ind w:firstLine="640" w:firstLineChars="200"/>
        <w:rPr>
          <w:rFonts w:ascii="仿宋_GB2312" w:hAnsi="Calibri"/>
          <w:szCs w:val="32"/>
        </w:rPr>
      </w:pPr>
      <w:r>
        <w:rPr>
          <w:rFonts w:hint="eastAsia" w:ascii="仿宋_GB2312" w:hAnsi="Calibri"/>
          <w:szCs w:val="32"/>
        </w:rPr>
        <w:t>联系人</w:t>
      </w:r>
      <w:r>
        <w:rPr>
          <w:rFonts w:ascii="仿宋_GB2312" w:hAnsi="Calibri"/>
          <w:szCs w:val="32"/>
        </w:rPr>
        <w:t>：</w:t>
      </w:r>
      <w:r>
        <w:rPr>
          <w:rFonts w:hint="eastAsia" w:ascii="仿宋_GB2312" w:hAnsi="Calibri"/>
          <w:szCs w:val="32"/>
        </w:rPr>
        <w:t>中国医学科学院北京协和医院  徐英春、马小军</w:t>
      </w:r>
    </w:p>
    <w:p>
      <w:pPr>
        <w:spacing w:line="600" w:lineRule="exact"/>
        <w:ind w:firstLine="640" w:firstLineChars="200"/>
        <w:rPr>
          <w:rFonts w:ascii="仿宋_GB2312" w:hAnsi="Calibri"/>
          <w:szCs w:val="32"/>
        </w:rPr>
      </w:pPr>
      <w:r>
        <w:rPr>
          <w:rFonts w:hint="eastAsia" w:ascii="仿宋_GB2312" w:hAnsi="Calibri"/>
          <w:szCs w:val="32"/>
        </w:rPr>
        <w:t>电  话：010-69159766</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6604612">
    <w:nsid w:val="5CC7E6C4"/>
    <w:multiLevelType w:val="singleLevel"/>
    <w:tmpl w:val="5CC7E6C4"/>
    <w:lvl w:ilvl="0" w:tentative="1">
      <w:start w:val="1"/>
      <w:numFmt w:val="chineseCounting"/>
      <w:suff w:val="nothing"/>
      <w:lvlText w:val="（%1）"/>
      <w:lvlJc w:val="left"/>
    </w:lvl>
  </w:abstractNum>
  <w:abstractNum w:abstractNumId="1556604347">
    <w:nsid w:val="5CC7E5BB"/>
    <w:multiLevelType w:val="singleLevel"/>
    <w:tmpl w:val="5CC7E5BB"/>
    <w:lvl w:ilvl="0" w:tentative="1">
      <w:start w:val="2"/>
      <w:numFmt w:val="chineseCounting"/>
      <w:suff w:val="nothing"/>
      <w:lvlText w:val="（%1）"/>
      <w:lvlJc w:val="left"/>
    </w:lvl>
  </w:abstractNum>
  <w:num w:numId="1">
    <w:abstractNumId w:val="1556604612"/>
  </w:num>
  <w:num w:numId="2">
    <w:abstractNumId w:val="15566043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E2B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nings</dc:creator>
  <cp:lastModifiedBy>nings</cp:lastModifiedBy>
  <dcterms:modified xsi:type="dcterms:W3CDTF">2019-06-05T05:58:40Z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