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360" w:lineRule="auto"/>
        <w:rPr>
          <w:rFonts w:hint="eastAsia" w:ascii="黑体" w:hAnsi="黑体" w:eastAsia="黑体"/>
          <w:b/>
          <w:szCs w:val="32"/>
        </w:rPr>
      </w:pPr>
      <w:r>
        <w:rPr>
          <w:rFonts w:hint="eastAsia" w:ascii="黑体" w:hAnsi="黑体" w:eastAsia="黑体"/>
          <w:b/>
          <w:szCs w:val="32"/>
        </w:rPr>
        <w:t>附件1</w:t>
      </w:r>
    </w:p>
    <w:p>
      <w:pPr>
        <w:spacing w:line="360" w:lineRule="auto"/>
        <w:jc w:val="center"/>
        <w:rPr>
          <w:rFonts w:ascii="宋体" w:hAnsi="宋体" w:eastAsia="宋体"/>
          <w:b/>
          <w:sz w:val="44"/>
          <w:szCs w:val="44"/>
        </w:rPr>
      </w:pPr>
      <w:r>
        <w:rPr>
          <w:rFonts w:hint="eastAsia" w:ascii="宋体" w:hAnsi="宋体" w:eastAsia="宋体"/>
          <w:b/>
          <w:sz w:val="44"/>
          <w:szCs w:val="44"/>
        </w:rPr>
        <w:t>社区医院基本标准</w:t>
      </w:r>
    </w:p>
    <w:p>
      <w:pPr>
        <w:spacing w:line="360" w:lineRule="auto"/>
        <w:jc w:val="center"/>
        <w:rPr>
          <w:rFonts w:ascii="楷体_GB2312" w:hAnsi="黑体" w:eastAsia="楷体_GB2312"/>
          <w:b/>
          <w:szCs w:val="32"/>
        </w:rPr>
      </w:pPr>
      <w:r>
        <w:rPr>
          <w:rFonts w:hint="eastAsia" w:ascii="楷体_GB2312" w:hAnsi="黑体" w:eastAsia="楷体_GB2312"/>
          <w:b/>
          <w:szCs w:val="32"/>
        </w:rPr>
        <w:t>（试行）</w:t>
      </w:r>
    </w:p>
    <w:p>
      <w:pPr>
        <w:spacing w:line="360" w:lineRule="auto"/>
        <w:rPr>
          <w:rFonts w:ascii="仿宋_GB2312" w:hAnsi="黑体"/>
          <w:szCs w:val="32"/>
        </w:rPr>
      </w:pPr>
      <w:r>
        <w:rPr>
          <w:rFonts w:hint="eastAsia" w:ascii="黑体" w:hAnsi="黑体" w:eastAsia="黑体"/>
          <w:szCs w:val="32"/>
        </w:rPr>
        <w:t xml:space="preserve">   </w:t>
      </w:r>
      <w:r>
        <w:rPr>
          <w:rFonts w:hint="eastAsia" w:ascii="仿宋_GB2312" w:hAnsi="黑体"/>
          <w:szCs w:val="32"/>
        </w:rPr>
        <w:t xml:space="preserve"> </w:t>
      </w:r>
    </w:p>
    <w:p>
      <w:pPr>
        <w:spacing w:line="360" w:lineRule="auto"/>
        <w:ind w:firstLine="640" w:firstLineChars="200"/>
        <w:rPr>
          <w:rFonts w:ascii="黑体" w:hAnsi="黑体" w:eastAsia="黑体" w:cs="黑体"/>
          <w:szCs w:val="32"/>
        </w:rPr>
      </w:pPr>
      <w:r>
        <w:rPr>
          <w:rFonts w:hint="eastAsia" w:ascii="黑体" w:hAnsi="黑体" w:eastAsia="黑体" w:cs="黑体"/>
          <w:szCs w:val="32"/>
        </w:rPr>
        <w:t>一、社区医院定位</w:t>
      </w:r>
    </w:p>
    <w:p>
      <w:pPr>
        <w:spacing w:line="360" w:lineRule="auto"/>
        <w:ind w:firstLine="640" w:firstLineChars="200"/>
        <w:rPr>
          <w:rFonts w:hint="eastAsia" w:ascii="仿宋_GB2312" w:hAnsi="黑体"/>
          <w:szCs w:val="32"/>
        </w:rPr>
      </w:pPr>
      <w:r>
        <w:rPr>
          <w:rFonts w:hint="eastAsia" w:ascii="仿宋_GB2312" w:hAnsi="黑体"/>
          <w:szCs w:val="32"/>
        </w:rPr>
        <w:t>社区医院以社区、家庭和居民为服务</w:t>
      </w:r>
      <w:bookmarkStart w:id="0" w:name="_GoBack"/>
      <w:bookmarkEnd w:id="0"/>
      <w:r>
        <w:rPr>
          <w:rFonts w:hint="eastAsia" w:ascii="仿宋_GB2312" w:hAnsi="黑体"/>
          <w:szCs w:val="32"/>
        </w:rPr>
        <w:t>对象，以居民健康为中心，提供常见病、多发病和慢性病的基本医疗服务和基本公共卫生服务，属于非营利性医疗机构。</w:t>
      </w:r>
    </w:p>
    <w:p>
      <w:pPr>
        <w:spacing w:line="360" w:lineRule="auto"/>
        <w:ind w:firstLine="640" w:firstLineChars="200"/>
        <w:rPr>
          <w:rFonts w:hint="eastAsia" w:ascii="黑体" w:hAnsi="黑体" w:eastAsia="黑体"/>
          <w:szCs w:val="32"/>
        </w:rPr>
      </w:pPr>
      <w:r>
        <w:rPr>
          <w:rFonts w:hint="eastAsia" w:ascii="黑体" w:hAnsi="黑体" w:eastAsia="黑体"/>
          <w:szCs w:val="32"/>
        </w:rPr>
        <w:t>二、社区医院设置</w:t>
      </w:r>
    </w:p>
    <w:p>
      <w:pPr>
        <w:spacing w:line="360" w:lineRule="auto"/>
        <w:ind w:firstLine="640" w:firstLineChars="200"/>
        <w:rPr>
          <w:rFonts w:hint="eastAsia" w:ascii="仿宋_GB2312" w:hAnsi="黑体"/>
          <w:szCs w:val="32"/>
        </w:rPr>
      </w:pPr>
      <w:r>
        <w:rPr>
          <w:rFonts w:hint="eastAsia" w:ascii="仿宋_GB2312" w:hAnsi="黑体"/>
          <w:szCs w:val="32"/>
        </w:rPr>
        <w:t>社区医院设置应当符合区域医疗卫生服务体系规划和医疗机构设置规划，在现有社区卫生服务中心和有条件的乡镇卫生院的基础上，医疗服务能力达到一定水平，加挂社区医院牌子。</w:t>
      </w:r>
    </w:p>
    <w:p>
      <w:pPr>
        <w:spacing w:line="360" w:lineRule="auto"/>
        <w:ind w:firstLine="640" w:firstLineChars="200"/>
        <w:rPr>
          <w:rFonts w:ascii="黑体" w:hAnsi="黑体" w:eastAsia="黑体" w:cs="黑体"/>
          <w:szCs w:val="32"/>
        </w:rPr>
      </w:pPr>
      <w:r>
        <w:rPr>
          <w:rFonts w:hint="eastAsia" w:ascii="黑体" w:hAnsi="黑体" w:eastAsia="黑体" w:cs="黑体"/>
          <w:szCs w:val="32"/>
        </w:rPr>
        <w:t>三、基本功能</w:t>
      </w:r>
    </w:p>
    <w:p>
      <w:pPr>
        <w:spacing w:line="360" w:lineRule="auto"/>
        <w:ind w:firstLine="640" w:firstLineChars="200"/>
        <w:rPr>
          <w:rFonts w:ascii="仿宋_GB2312" w:hAnsi="仿宋" w:cs="仿宋_GB2312"/>
          <w:szCs w:val="32"/>
        </w:rPr>
      </w:pPr>
      <w:r>
        <w:rPr>
          <w:rFonts w:hint="eastAsia" w:ascii="仿宋_GB2312" w:hAnsi="仿宋" w:cs="仿宋_GB2312"/>
          <w:szCs w:val="32"/>
        </w:rPr>
        <w:t>（一）具备常见病、多发病、慢性病的门诊、住院诊疗综合服务能力。符合条件的，可提供适宜的手术操作项目。</w:t>
      </w:r>
    </w:p>
    <w:p>
      <w:pPr>
        <w:spacing w:line="360" w:lineRule="auto"/>
        <w:ind w:firstLine="640" w:firstLineChars="200"/>
        <w:rPr>
          <w:rFonts w:ascii="仿宋_GB2312" w:hAnsi="黑体"/>
          <w:szCs w:val="32"/>
        </w:rPr>
      </w:pPr>
      <w:r>
        <w:rPr>
          <w:rFonts w:hint="eastAsia" w:ascii="仿宋_GB2312" w:hAnsi="仿宋" w:cs="仿宋_GB2312"/>
          <w:szCs w:val="32"/>
        </w:rPr>
        <w:t>（二）</w:t>
      </w:r>
      <w:r>
        <w:rPr>
          <w:rFonts w:hint="eastAsia" w:ascii="仿宋_GB2312" w:hAnsi="黑体"/>
          <w:szCs w:val="32"/>
        </w:rPr>
        <w:t>开展基本公共卫生服务，承担辖区的公共卫生管理和计划生育技术服务工作，</w:t>
      </w:r>
      <w:r>
        <w:rPr>
          <w:rFonts w:hint="eastAsia" w:ascii="仿宋_GB2312" w:hAnsi="Calibri" w:cs="仿宋_GB2312"/>
          <w:szCs w:val="32"/>
        </w:rPr>
        <w:t>能够提供健康管理、康复指导等个性化的签约服务</w:t>
      </w:r>
      <w:r>
        <w:rPr>
          <w:rFonts w:hint="eastAsia" w:ascii="仿宋_GB2312" w:hAnsi="黑体"/>
          <w:szCs w:val="32"/>
        </w:rPr>
        <w:t>。</w:t>
      </w:r>
    </w:p>
    <w:p>
      <w:pPr>
        <w:spacing w:line="360" w:lineRule="auto"/>
        <w:ind w:firstLine="640" w:firstLineChars="200"/>
        <w:rPr>
          <w:rFonts w:ascii="仿宋_GB2312" w:hAnsi="黑体"/>
          <w:szCs w:val="32"/>
        </w:rPr>
      </w:pPr>
      <w:r>
        <w:rPr>
          <w:rFonts w:hint="eastAsia" w:ascii="仿宋_GB2312" w:hAnsi="黑体"/>
          <w:szCs w:val="32"/>
        </w:rPr>
        <w:t>（三）具备辖区内居民基层首诊、双向转诊等分级诊疗功能，</w:t>
      </w:r>
      <w:r>
        <w:rPr>
          <w:rFonts w:hint="eastAsia" w:ascii="仿宋_GB2312" w:hAnsi="仿宋_GB2312" w:cs="仿宋_GB2312"/>
          <w:color w:val="000000"/>
          <w:szCs w:val="32"/>
        </w:rPr>
        <w:t>开展远程医疗服务，提供部分常见病、慢性病的在线复诊服务。</w:t>
      </w:r>
    </w:p>
    <w:p>
      <w:pPr>
        <w:spacing w:line="360" w:lineRule="auto"/>
        <w:ind w:firstLine="640" w:firstLineChars="200"/>
        <w:rPr>
          <w:rFonts w:ascii="仿宋_GB2312" w:hAnsi="黑体"/>
          <w:szCs w:val="32"/>
        </w:rPr>
      </w:pPr>
      <w:r>
        <w:rPr>
          <w:rFonts w:hint="eastAsia" w:ascii="仿宋_GB2312" w:hAnsi="仿宋_GB2312" w:cs="仿宋_GB2312"/>
          <w:color w:val="000000"/>
          <w:szCs w:val="32"/>
        </w:rPr>
        <w:t>（四）</w:t>
      </w:r>
      <w:r>
        <w:rPr>
          <w:rFonts w:hint="eastAsia" w:ascii="仿宋_GB2312" w:hAnsi="黑体"/>
          <w:szCs w:val="32"/>
        </w:rPr>
        <w:t>对</w:t>
      </w:r>
      <w:r>
        <w:rPr>
          <w:rFonts w:hint="eastAsia" w:ascii="仿宋_GB2312" w:hAnsi="Calibri" w:cs="仿宋_GB2312"/>
          <w:szCs w:val="32"/>
        </w:rPr>
        <w:t>周边基层医疗卫生机构开展技术指导和帮扶</w:t>
      </w:r>
      <w:r>
        <w:rPr>
          <w:rFonts w:hint="eastAsia" w:ascii="仿宋_GB2312" w:hAnsi="黑体"/>
          <w:szCs w:val="32"/>
        </w:rPr>
        <w:t>。</w:t>
      </w:r>
    </w:p>
    <w:p>
      <w:pPr>
        <w:spacing w:line="360" w:lineRule="auto"/>
        <w:ind w:firstLine="640" w:firstLineChars="200"/>
        <w:rPr>
          <w:rFonts w:ascii="黑体" w:hAnsi="黑体" w:eastAsia="黑体" w:cs="黑体"/>
          <w:szCs w:val="32"/>
        </w:rPr>
      </w:pPr>
      <w:r>
        <w:rPr>
          <w:rFonts w:hint="eastAsia" w:ascii="黑体" w:hAnsi="黑体" w:eastAsia="黑体" w:cs="黑体"/>
          <w:szCs w:val="32"/>
        </w:rPr>
        <w:t>四、床位设置</w:t>
      </w:r>
    </w:p>
    <w:p>
      <w:pPr>
        <w:spacing w:line="360" w:lineRule="auto"/>
        <w:ind w:firstLine="640" w:firstLineChars="200"/>
        <w:rPr>
          <w:rFonts w:hint="eastAsia" w:ascii="仿宋_GB2312" w:hAnsi="黑体"/>
          <w:szCs w:val="32"/>
        </w:rPr>
      </w:pPr>
      <w:r>
        <w:rPr>
          <w:rFonts w:hint="eastAsia" w:ascii="仿宋_GB2312" w:hAnsi="黑体"/>
          <w:szCs w:val="32"/>
        </w:rPr>
        <w:t>实际开放床位数≥30张，可按照服务人口1.0-1.5张/千人配置。主要以老年、康复、护理、安宁疗护床位为主，鼓励有条件的设置内科、外科、妇科、儿科等床位。床位使用率≥75%。</w:t>
      </w:r>
    </w:p>
    <w:p>
      <w:pPr>
        <w:spacing w:line="360" w:lineRule="auto"/>
        <w:ind w:firstLine="640" w:firstLineChars="200"/>
        <w:rPr>
          <w:rFonts w:ascii="黑体" w:hAnsi="黑体" w:eastAsia="黑体" w:cs="黑体"/>
          <w:szCs w:val="32"/>
        </w:rPr>
      </w:pPr>
      <w:r>
        <w:rPr>
          <w:rFonts w:hint="eastAsia" w:ascii="黑体" w:hAnsi="黑体" w:eastAsia="黑体" w:cs="黑体"/>
          <w:szCs w:val="32"/>
        </w:rPr>
        <w:t>五、科室设置</w:t>
      </w:r>
    </w:p>
    <w:p>
      <w:pPr>
        <w:spacing w:line="360" w:lineRule="auto"/>
        <w:ind w:firstLine="643" w:firstLineChars="200"/>
        <w:rPr>
          <w:rFonts w:hint="eastAsia" w:ascii="仿宋_GB2312" w:hAnsi="黑体"/>
          <w:szCs w:val="32"/>
        </w:rPr>
      </w:pPr>
      <w:r>
        <w:rPr>
          <w:rFonts w:hint="eastAsia" w:ascii="楷体_GB2312" w:hAnsi="黑体" w:eastAsia="楷体_GB2312"/>
          <w:b/>
          <w:szCs w:val="32"/>
        </w:rPr>
        <w:t>（一）临床科室。</w:t>
      </w:r>
      <w:r>
        <w:rPr>
          <w:rFonts w:hint="eastAsia" w:ascii="仿宋_GB2312" w:hAnsi="黑体"/>
          <w:szCs w:val="32"/>
        </w:rPr>
        <w:t>至少设置全科医疗科、康复医学科、中医科，应当设置内科、外科、妇科、儿科、口腔科、眼科、耳鼻喉科、精神（心理）科、安宁疗护（临终关怀）科、血液净化室等专业科室中的5个科室，有条件的可设置感染性疾病诊室（发热门诊）、老年医学科等科室。</w:t>
      </w:r>
    </w:p>
    <w:p>
      <w:pPr>
        <w:spacing w:line="360" w:lineRule="auto"/>
        <w:ind w:firstLine="643" w:firstLineChars="200"/>
        <w:rPr>
          <w:rFonts w:ascii="仿宋_GB2312" w:hAnsi="黑体"/>
          <w:szCs w:val="32"/>
        </w:rPr>
      </w:pPr>
      <w:r>
        <w:rPr>
          <w:rFonts w:hint="eastAsia" w:ascii="楷体_GB2312" w:hAnsi="黑体" w:eastAsia="楷体_GB2312"/>
          <w:b/>
          <w:szCs w:val="32"/>
        </w:rPr>
        <w:t>（二）公共卫生科室。</w:t>
      </w:r>
      <w:r>
        <w:rPr>
          <w:rFonts w:hint="eastAsia" w:ascii="仿宋_GB2312" w:hAnsi="黑体"/>
          <w:szCs w:val="32"/>
        </w:rPr>
        <w:t>至少设置预防保健科、预防接种门诊、妇儿保健门诊、健康教育室、计划生育技术服务室。公共卫生科室宜相对集中设置，有条件的可设置“优生优育优教中心（三优指导中心）”、营养科。</w:t>
      </w:r>
    </w:p>
    <w:p>
      <w:pPr>
        <w:spacing w:line="360" w:lineRule="auto"/>
        <w:ind w:firstLine="643" w:firstLineChars="200"/>
        <w:rPr>
          <w:rFonts w:ascii="仿宋_GB2312" w:hAnsi="黑体"/>
          <w:szCs w:val="32"/>
        </w:rPr>
      </w:pPr>
      <w:r>
        <w:rPr>
          <w:rFonts w:hint="eastAsia" w:ascii="楷体_GB2312" w:hAnsi="黑体" w:eastAsia="楷体_GB2312"/>
          <w:b/>
          <w:szCs w:val="32"/>
        </w:rPr>
        <w:t>（三）医技等科室。</w:t>
      </w:r>
      <w:r>
        <w:rPr>
          <w:rFonts w:hint="eastAsia" w:ascii="仿宋_GB2312" w:hAnsi="黑体"/>
          <w:szCs w:val="32"/>
        </w:rPr>
        <w:t>至少设置医学检验科（化验室）、医学影像科、心电图室、西（中）药房。有条件的可设置胃镜室等功能检查室。影像诊断、临床检验、消毒供应室等科室可由第三方机构或者医联体上级医疗机构提供服务。开展手术操作的社区医院应当设置手术室、麻醉科，病理诊断可由第三方机构或者医联体上级医疗机构提供服务。</w:t>
      </w:r>
    </w:p>
    <w:p>
      <w:pPr>
        <w:spacing w:line="360" w:lineRule="auto"/>
        <w:ind w:firstLine="643" w:firstLineChars="200"/>
        <w:rPr>
          <w:rFonts w:ascii="仿宋_GB2312" w:hAnsi="黑体"/>
          <w:szCs w:val="32"/>
        </w:rPr>
      </w:pPr>
      <w:r>
        <w:rPr>
          <w:rFonts w:hint="eastAsia" w:ascii="楷体_GB2312" w:hAnsi="黑体" w:eastAsia="楷体_GB2312"/>
          <w:b/>
          <w:szCs w:val="32"/>
        </w:rPr>
        <w:t>（四）其他科室。</w:t>
      </w:r>
      <w:r>
        <w:rPr>
          <w:rFonts w:hint="eastAsia" w:ascii="仿宋_GB2312" w:hAnsi="黑体"/>
          <w:szCs w:val="32"/>
        </w:rPr>
        <w:t>应当设有治疗室、注射室、输液室、处置室、观察室。社区医院应当根据有关规定和临床用血需求设置输血科或者血库。</w:t>
      </w:r>
    </w:p>
    <w:p>
      <w:pPr>
        <w:spacing w:line="360" w:lineRule="auto"/>
        <w:ind w:firstLine="643" w:firstLineChars="200"/>
        <w:rPr>
          <w:rFonts w:ascii="仿宋_GB2312" w:hAnsi="黑体"/>
          <w:szCs w:val="32"/>
        </w:rPr>
      </w:pPr>
      <w:r>
        <w:rPr>
          <w:rFonts w:hint="eastAsia" w:ascii="楷体_GB2312" w:hAnsi="黑体" w:eastAsia="楷体_GB2312"/>
          <w:b/>
          <w:szCs w:val="32"/>
        </w:rPr>
        <w:t>（五）管理科室。</w:t>
      </w:r>
      <w:r>
        <w:rPr>
          <w:rFonts w:hint="eastAsia" w:ascii="仿宋_GB2312" w:hAnsi="黑体"/>
          <w:szCs w:val="32"/>
        </w:rPr>
        <w:t>至少设有综合办公室（党建办公室）、医务科（质管科）、护理科、院感科、公共卫生管理科、财务资产科。有条件的可设置</w:t>
      </w:r>
      <w:r>
        <w:rPr>
          <w:rFonts w:hint="eastAsia" w:ascii="仿宋_GB2312" w:hAnsi="Calibri" w:cs="楷体_GB2312"/>
          <w:bCs/>
          <w:color w:val="000000"/>
          <w:szCs w:val="32"/>
        </w:rPr>
        <w:t>双向转诊办公室</w:t>
      </w:r>
      <w:r>
        <w:rPr>
          <w:rFonts w:hint="eastAsia" w:ascii="仿宋_GB2312" w:hAnsi="黑体"/>
          <w:szCs w:val="32"/>
        </w:rPr>
        <w:t>、信息科、病案室等。</w:t>
      </w:r>
    </w:p>
    <w:p>
      <w:pPr>
        <w:spacing w:line="360" w:lineRule="auto"/>
        <w:ind w:firstLine="640" w:firstLineChars="200"/>
        <w:rPr>
          <w:rFonts w:ascii="黑体" w:hAnsi="黑体" w:eastAsia="黑体" w:cs="黑体"/>
          <w:szCs w:val="32"/>
        </w:rPr>
      </w:pPr>
      <w:r>
        <w:rPr>
          <w:rFonts w:hint="eastAsia" w:ascii="黑体" w:hAnsi="黑体" w:eastAsia="黑体" w:cs="黑体"/>
          <w:szCs w:val="32"/>
        </w:rPr>
        <w:t>六、人员配置</w:t>
      </w:r>
    </w:p>
    <w:p>
      <w:pPr>
        <w:spacing w:line="360" w:lineRule="auto"/>
        <w:ind w:firstLine="640" w:firstLineChars="200"/>
        <w:rPr>
          <w:rFonts w:ascii="仿宋_GB2312" w:hAnsi="黑体"/>
          <w:szCs w:val="32"/>
        </w:rPr>
      </w:pPr>
      <w:r>
        <w:rPr>
          <w:rFonts w:hint="eastAsia" w:ascii="仿宋_GB2312" w:hAnsi="黑体"/>
          <w:szCs w:val="32"/>
        </w:rPr>
        <w:t>（一）非卫技人员比例不超过15%。</w:t>
      </w:r>
    </w:p>
    <w:p>
      <w:pPr>
        <w:spacing w:line="360" w:lineRule="auto"/>
        <w:ind w:firstLine="640" w:firstLineChars="200"/>
        <w:rPr>
          <w:rFonts w:ascii="仿宋_GB2312" w:hAnsi="黑体"/>
          <w:szCs w:val="32"/>
        </w:rPr>
      </w:pPr>
      <w:r>
        <w:rPr>
          <w:rFonts w:hint="eastAsia" w:ascii="仿宋_GB2312" w:hAnsi="黑体"/>
          <w:szCs w:val="32"/>
        </w:rPr>
        <w:t>（二）每床至少配备0.7名卫生技术人员。</w:t>
      </w:r>
    </w:p>
    <w:p>
      <w:pPr>
        <w:spacing w:line="360" w:lineRule="auto"/>
        <w:ind w:firstLine="640" w:firstLineChars="200"/>
        <w:rPr>
          <w:rFonts w:ascii="仿宋_GB2312" w:hAnsi="黑体"/>
          <w:szCs w:val="32"/>
        </w:rPr>
      </w:pPr>
      <w:r>
        <w:rPr>
          <w:rFonts w:hint="eastAsia" w:ascii="仿宋_GB2312" w:hAnsi="黑体"/>
          <w:szCs w:val="32"/>
        </w:rPr>
        <w:t>（三）医护比达到1:1.5，每个临床科室至少配备1名具有主治医师及以上职称的执业医师。</w:t>
      </w:r>
    </w:p>
    <w:p>
      <w:pPr>
        <w:spacing w:line="360" w:lineRule="auto"/>
        <w:ind w:firstLine="640" w:firstLineChars="200"/>
        <w:rPr>
          <w:rFonts w:ascii="仿宋_GB2312" w:hAnsi="黑体"/>
          <w:szCs w:val="32"/>
        </w:rPr>
      </w:pPr>
      <w:r>
        <w:rPr>
          <w:rFonts w:hint="eastAsia" w:ascii="仿宋_GB2312" w:hAnsi="黑体"/>
          <w:szCs w:val="32"/>
        </w:rPr>
        <w:t>（四）全科医师不少于3名，公共卫生医师不少于2名，并配备一定比例的中医类别执业医师。</w:t>
      </w:r>
    </w:p>
    <w:p>
      <w:pPr>
        <w:spacing w:line="360" w:lineRule="auto"/>
        <w:ind w:firstLine="640" w:firstLineChars="200"/>
        <w:rPr>
          <w:rFonts w:ascii="黑体" w:hAnsi="黑体" w:eastAsia="黑体" w:cs="黑体"/>
          <w:szCs w:val="32"/>
        </w:rPr>
      </w:pPr>
      <w:r>
        <w:rPr>
          <w:rFonts w:hint="eastAsia" w:ascii="黑体" w:hAnsi="黑体" w:eastAsia="黑体" w:cs="黑体"/>
          <w:szCs w:val="32"/>
        </w:rPr>
        <w:t>七、设备设施</w:t>
      </w:r>
    </w:p>
    <w:p>
      <w:pPr>
        <w:spacing w:line="360" w:lineRule="auto"/>
        <w:ind w:firstLine="640" w:firstLineChars="200"/>
        <w:rPr>
          <w:rFonts w:ascii="仿宋_GB2312" w:hAnsi="黑体"/>
          <w:szCs w:val="32"/>
        </w:rPr>
      </w:pPr>
      <w:r>
        <w:rPr>
          <w:rFonts w:hint="eastAsia" w:ascii="仿宋_GB2312" w:hAnsi="黑体"/>
          <w:szCs w:val="32"/>
        </w:rPr>
        <w:t>有与开展的诊疗科目相应的设备设施。</w:t>
      </w:r>
    </w:p>
    <w:p>
      <w:pPr>
        <w:spacing w:line="360" w:lineRule="auto"/>
        <w:ind w:firstLine="640" w:firstLineChars="200"/>
        <w:rPr>
          <w:rFonts w:ascii="黑体" w:hAnsi="黑体" w:eastAsia="黑体" w:cs="黑体"/>
          <w:szCs w:val="32"/>
        </w:rPr>
      </w:pPr>
      <w:r>
        <w:rPr>
          <w:rFonts w:hint="eastAsia" w:ascii="黑体" w:hAnsi="黑体" w:eastAsia="黑体" w:cs="黑体"/>
          <w:szCs w:val="32"/>
        </w:rPr>
        <w:t>八、房屋</w:t>
      </w:r>
    </w:p>
    <w:p>
      <w:pPr>
        <w:spacing w:line="360" w:lineRule="auto"/>
        <w:ind w:firstLine="640" w:firstLineChars="200"/>
        <w:rPr>
          <w:rFonts w:ascii="仿宋_GB2312" w:hAnsi="黑体"/>
          <w:szCs w:val="32"/>
        </w:rPr>
      </w:pPr>
      <w:r>
        <w:rPr>
          <w:rFonts w:hint="eastAsia" w:ascii="仿宋_GB2312" w:hAnsi="黑体"/>
          <w:szCs w:val="32"/>
        </w:rPr>
        <w:t>（一）功能分区合理，流程科学，洁污分流，充分体现保护患者隐私、无障碍设计要求，并符合国家卫生学标准。</w:t>
      </w:r>
    </w:p>
    <w:p>
      <w:pPr>
        <w:spacing w:line="360" w:lineRule="auto"/>
        <w:ind w:firstLine="640" w:firstLineChars="200"/>
        <w:rPr>
          <w:rFonts w:ascii="仿宋_GB2312" w:hAnsi="黑体"/>
          <w:szCs w:val="32"/>
        </w:rPr>
      </w:pPr>
      <w:r>
        <w:rPr>
          <w:rFonts w:hint="eastAsia" w:ascii="仿宋_GB2312" w:hAnsi="黑体"/>
          <w:szCs w:val="32"/>
        </w:rPr>
        <w:t>（二）房屋建筑耐久年限、建筑安全等级应不低于二级，符合节能环保及抗震设防要求。有污水处理设施，污水排放达标。建有规范的医疗废物暂存处。</w:t>
      </w:r>
    </w:p>
    <w:p>
      <w:pPr>
        <w:spacing w:line="360" w:lineRule="auto"/>
        <w:ind w:firstLine="640" w:firstLineChars="200"/>
        <w:rPr>
          <w:rFonts w:hint="eastAsia" w:ascii="仿宋_GB2312" w:hAnsi="黑体"/>
          <w:szCs w:val="32"/>
        </w:rPr>
      </w:pPr>
      <w:r>
        <w:rPr>
          <w:rFonts w:hint="eastAsia" w:ascii="仿宋_GB2312" w:hAnsi="黑体"/>
          <w:szCs w:val="32"/>
        </w:rPr>
        <w:t>（三）业务用房建设应符合《社区卫生服务中心、站建设标准》（建标163-2013）相关要求。</w:t>
      </w:r>
    </w:p>
    <w:p>
      <w:pPr>
        <w:spacing w:line="360" w:lineRule="auto"/>
        <w:ind w:firstLine="640" w:firstLineChars="200"/>
        <w:rPr>
          <w:rFonts w:ascii="仿宋_GB2312" w:hAnsi="黑体"/>
          <w:szCs w:val="32"/>
        </w:rPr>
      </w:pPr>
      <w:r>
        <w:rPr>
          <w:rFonts w:hint="eastAsia" w:ascii="仿宋_GB2312" w:hAnsi="黑体"/>
          <w:szCs w:val="32"/>
        </w:rPr>
        <w:t>（四）业务用房建筑面积≥3000平方米。每床位净使用面积不少于6平方米。</w:t>
      </w:r>
    </w:p>
    <w:p>
      <w:pPr>
        <w:spacing w:line="360" w:lineRule="auto"/>
        <w:ind w:firstLine="640" w:firstLineChars="200"/>
        <w:rPr>
          <w:rFonts w:ascii="黑体" w:hAnsi="黑体" w:eastAsia="黑体" w:cs="黑体"/>
          <w:szCs w:val="32"/>
        </w:rPr>
      </w:pPr>
      <w:r>
        <w:rPr>
          <w:rFonts w:hint="eastAsia" w:ascii="黑体" w:hAnsi="黑体" w:eastAsia="黑体" w:cs="黑体"/>
          <w:szCs w:val="32"/>
        </w:rPr>
        <w:t>九、规章制度</w:t>
      </w:r>
    </w:p>
    <w:p>
      <w:pPr>
        <w:spacing w:line="360" w:lineRule="auto"/>
        <w:ind w:firstLine="640" w:firstLineChars="200"/>
        <w:rPr>
          <w:rFonts w:ascii="仿宋_GB2312" w:hAnsi="黑体"/>
          <w:szCs w:val="32"/>
        </w:rPr>
      </w:pPr>
      <w:r>
        <w:rPr>
          <w:rFonts w:hint="eastAsia" w:ascii="仿宋_GB2312" w:hAnsi="黑体"/>
          <w:szCs w:val="32"/>
        </w:rPr>
        <w:t>社区医院应当严格遵守国家有关法律、法规、规章和技术规范，建立健全各项规章制度，有国家制定或认定的医疗护理等技术操作规程，并成册可用。重点加强以下制度建设：</w:t>
      </w:r>
    </w:p>
    <w:p>
      <w:pPr>
        <w:spacing w:line="360" w:lineRule="auto"/>
        <w:ind w:firstLine="640" w:firstLineChars="200"/>
        <w:rPr>
          <w:rFonts w:ascii="仿宋_GB2312" w:hAnsi="黑体"/>
          <w:szCs w:val="32"/>
        </w:rPr>
      </w:pPr>
      <w:r>
        <w:rPr>
          <w:rFonts w:hint="eastAsia" w:ascii="仿宋_GB2312" w:hAnsi="黑体"/>
          <w:szCs w:val="32"/>
        </w:rPr>
        <w:t>（一）医疗质量安全制度。按照《社区医院医疗质量安全核心制度要点》有关要求，建立医疗质量安全核心制度，加强医疗质量安全管理。</w:t>
      </w:r>
    </w:p>
    <w:p>
      <w:pPr>
        <w:spacing w:line="360" w:lineRule="auto"/>
        <w:ind w:firstLine="640" w:firstLineChars="200"/>
        <w:rPr>
          <w:rFonts w:ascii="仿宋_GB2312" w:hAnsi="黑体"/>
          <w:szCs w:val="32"/>
        </w:rPr>
      </w:pPr>
      <w:r>
        <w:rPr>
          <w:rFonts w:hint="eastAsia" w:ascii="仿宋_GB2312" w:hAnsi="黑体"/>
          <w:szCs w:val="32"/>
        </w:rPr>
        <w:t>（二）医院财务管理制度。建立健全会计核算和财务管理制度，严格执行国家财务、会计、资产和审计监督等相关法律法规。</w:t>
      </w:r>
    </w:p>
    <w:p>
      <w:pPr>
        <w:spacing w:line="360" w:lineRule="auto"/>
        <w:ind w:firstLine="640" w:firstLineChars="200"/>
        <w:rPr>
          <w:rFonts w:hint="eastAsia" w:ascii="仿宋_GB2312" w:hAnsi="黑体"/>
          <w:szCs w:val="32"/>
        </w:rPr>
      </w:pPr>
      <w:r>
        <w:rPr>
          <w:rFonts w:hint="eastAsia" w:ascii="仿宋_GB2312" w:hAnsi="黑体"/>
          <w:szCs w:val="32"/>
        </w:rPr>
        <w:t>（三）加强基层党组织建设制度。充分发挥党支部政治功能，完善议事决策制度，加强思想政治工作和医德医风建设，建立完善医德医风工作机制与考评制度。加强医院文化建设，培育和塑造医学人文精神，践行和弘扬崇高职业精神。</w:t>
      </w:r>
    </w:p>
    <w:p>
      <w:pPr>
        <w:spacing w:line="360" w:lineRule="auto"/>
        <w:ind w:firstLine="640" w:firstLineChars="200"/>
        <w:rPr>
          <w:rFonts w:hint="eastAsia" w:ascii="仿宋_GB2312" w:hAnsi="黑体"/>
          <w:szCs w:val="32"/>
        </w:rPr>
      </w:pPr>
      <w:r>
        <w:rPr>
          <w:rFonts w:hint="eastAsia" w:ascii="仿宋_GB2312" w:hAnsi="黑体"/>
          <w:szCs w:val="32"/>
        </w:rPr>
        <w:t>（四）其他制度。应当建立工作人员职业道德规范与行为准则，人员岗位责任制度，技术人员聘用、培训、管理、考核与奖惩制度，职能科室工作制度，技术服务规范与工作制度，双向转诊制度，投诉调查处理制度，医疗废物管理制度，药品、设备、档案、信息管理等制度。</w:t>
      </w:r>
    </w:p>
    <w:p>
      <w:pPr>
        <w:spacing w:line="360" w:lineRule="auto"/>
        <w:ind w:firstLine="640" w:firstLineChars="200"/>
        <w:rPr>
          <w:rFonts w:hint="eastAsia" w:ascii="黑体" w:hAnsi="黑体" w:eastAsia="黑体"/>
          <w:szCs w:val="32"/>
        </w:rPr>
      </w:pPr>
      <w:r>
        <w:rPr>
          <w:rFonts w:hint="eastAsia" w:ascii="黑体" w:hAnsi="黑体" w:eastAsia="黑体"/>
          <w:szCs w:val="32"/>
        </w:rPr>
        <w:t>十、其他要求</w:t>
      </w:r>
    </w:p>
    <w:p>
      <w:pPr>
        <w:spacing w:line="360" w:lineRule="auto"/>
        <w:ind w:firstLine="640" w:firstLineChars="200"/>
        <w:rPr>
          <w:rFonts w:hint="eastAsia" w:ascii="仿宋_GB2312" w:hAnsi="黑体"/>
          <w:szCs w:val="32"/>
        </w:rPr>
      </w:pPr>
      <w:r>
        <w:rPr>
          <w:rFonts w:hint="eastAsia" w:ascii="仿宋_GB2312" w:hAnsi="黑体"/>
          <w:szCs w:val="32"/>
        </w:rPr>
        <w:t>开展手术操作的社区医院应当严格执行《医疗技术临床应用管理办法》和医疗机构手术分级管理有关要求，严格落实医疗质量安全核心制度，保障医疗质量与安全。</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仿宋_GB2312">
    <w:panose1 w:val="02010609030101010101"/>
    <w:charset w:val="86"/>
    <w:family w:val="swiss"/>
    <w:pitch w:val="default"/>
    <w:sig w:usb0="00000001" w:usb1="080E0000" w:usb2="00000000" w:usb3="00000000" w:csb0="00040000" w:csb1="00000000"/>
  </w:font>
  <w:font w:name="黑体">
    <w:panose1 w:val="02010609060101010101"/>
    <w:charset w:val="86"/>
    <w:family w:val="swiss"/>
    <w:pitch w:val="default"/>
    <w:sig w:usb0="800002BF" w:usb1="38CF7CFA" w:usb2="00000016" w:usb3="00000000" w:csb0="00040001" w:csb1="00000000"/>
  </w:font>
  <w:font w:name="楷体_GB2312">
    <w:panose1 w:val="02010609030101010101"/>
    <w:charset w:val="86"/>
    <w:family w:val="swiss"/>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 w:name="FZFSK--GBK1-0">
    <w:altName w:val="黑体"/>
    <w:panose1 w:val="00000000000000000000"/>
    <w:charset w:val="86"/>
    <w:family w:val="auto"/>
    <w:pitch w:val="default"/>
    <w:sig w:usb0="00000000" w:usb1="00000000" w:usb2="00000010" w:usb3="00000000" w:csb0="00040000" w:csb1="00000000"/>
  </w:font>
  <w:font w:name="E-BZ">
    <w:altName w:val="Malgun Gothic"/>
    <w:panose1 w:val="00000000000000000000"/>
    <w:charset w:val="81"/>
    <w:family w:val="auto"/>
    <w:pitch w:val="default"/>
    <w:sig w:usb0="00000000" w:usb1="00000000" w:usb2="00000010" w:usb3="00000000" w:csb0="000A0000" w:csb1="00000000"/>
  </w:font>
  <w:font w:name="Malgun Gothic">
    <w:panose1 w:val="020B0503020000020004"/>
    <w:charset w:val="81"/>
    <w:family w:val="auto"/>
    <w:pitch w:val="default"/>
    <w:sig w:usb0="900002AF" w:usb1="01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0D39B9"/>
    <w:rsid w:val="330D39B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kern w:val="2"/>
      <w:sz w:val="32"/>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2019-06-12T08:19:00Z</dcterms:created>
  <dc:creator>hp</dc:creator>
  <cp:lastModifiedBy>hp</cp:lastModifiedBy>
  <dcterms:modified xsi:type="dcterms:W3CDTF">2019-06-12T08:19:43Z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