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Calibri" w:hAnsi="Calibri" w:cs="Calibri"/>
          <w:i w:val="0"/>
          <w:iCs w:val="0"/>
          <w:caps w:val="0"/>
          <w:color w:val="000000"/>
          <w:spacing w:val="0"/>
          <w:sz w:val="32"/>
          <w:szCs w:val="32"/>
        </w:rPr>
      </w:pPr>
      <w:r>
        <w:rPr>
          <w:rFonts w:hint="eastAsia" w:ascii="宋体" w:hAnsi="宋体" w:eastAsia="宋体" w:cs="宋体"/>
          <w:b/>
          <w:bCs/>
          <w:i w:val="0"/>
          <w:iCs w:val="0"/>
          <w:caps w:val="0"/>
          <w:color w:val="000000"/>
          <w:spacing w:val="0"/>
          <w:kern w:val="0"/>
          <w:sz w:val="44"/>
          <w:szCs w:val="44"/>
          <w:bdr w:val="none" w:color="auto" w:sz="0" w:space="0"/>
          <w:lang w:val="en-US" w:eastAsia="zh-CN" w:bidi="ar"/>
        </w:rPr>
        <w:t>2022年度卫生健康标准项目计划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32"/>
          <w:szCs w:val="32"/>
        </w:rPr>
      </w:pPr>
      <w:r>
        <w:rPr>
          <w:rFonts w:ascii="仿宋_GB2312" w:hAnsi="Calibri" w:eastAsia="仿宋_GB2312" w:cs="仿宋_GB2312"/>
          <w:b/>
          <w:bCs/>
          <w:i w:val="0"/>
          <w:iCs w:val="0"/>
          <w:caps w:val="0"/>
          <w:color w:val="000000"/>
          <w:spacing w:val="0"/>
          <w:kern w:val="0"/>
          <w:sz w:val="28"/>
          <w:szCs w:val="28"/>
          <w:bdr w:val="none" w:color="auto" w:sz="0" w:space="0"/>
          <w:lang w:val="en-US" w:eastAsia="zh-CN" w:bidi="ar"/>
        </w:rPr>
        <w:t>(一）标准制</w:t>
      </w:r>
      <w:r>
        <w:rPr>
          <w:rFonts w:hint="eastAsia" w:ascii="仿宋_GB2312" w:hAnsi="Calibri" w:eastAsia="仿宋_GB2312" w:cs="仿宋_GB2312"/>
          <w:b/>
          <w:bCs/>
          <w:i w:val="0"/>
          <w:iCs w:val="0"/>
          <w:caps w:val="0"/>
          <w:color w:val="000000"/>
          <w:spacing w:val="0"/>
          <w:kern w:val="0"/>
          <w:sz w:val="28"/>
          <w:szCs w:val="28"/>
          <w:bdr w:val="none" w:color="auto" w:sz="0" w:space="0"/>
          <w:lang w:val="en-US" w:eastAsia="zh-CN" w:bidi="ar"/>
        </w:rPr>
        <w:t>定项目</w:t>
      </w:r>
    </w:p>
    <w:tbl>
      <w:tblPr>
        <w:tblW w:w="92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98"/>
        <w:gridCol w:w="776"/>
        <w:gridCol w:w="1336"/>
        <w:gridCol w:w="1829"/>
        <w:gridCol w:w="776"/>
        <w:gridCol w:w="916"/>
        <w:gridCol w:w="1749"/>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序号</w:t>
            </w:r>
          </w:p>
        </w:tc>
        <w:tc>
          <w:tcPr>
            <w:tcW w:w="725"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专业</w:t>
            </w:r>
          </w:p>
        </w:tc>
        <w:tc>
          <w:tcPr>
            <w:tcW w:w="574"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项目编号</w:t>
            </w:r>
          </w:p>
        </w:tc>
        <w:tc>
          <w:tcPr>
            <w:tcW w:w="1166"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项目名称</w:t>
            </w:r>
          </w:p>
        </w:tc>
        <w:tc>
          <w:tcPr>
            <w:tcW w:w="323"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分类</w:t>
            </w:r>
          </w:p>
        </w:tc>
        <w:tc>
          <w:tcPr>
            <w:tcW w:w="345"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性质</w:t>
            </w:r>
          </w:p>
        </w:tc>
        <w:tc>
          <w:tcPr>
            <w:tcW w:w="1110"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项目负责单位</w:t>
            </w:r>
          </w:p>
        </w:tc>
        <w:tc>
          <w:tcPr>
            <w:tcW w:w="475"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卫生健康信息</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20220101</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健康医疗大数据资源目录体系标准</w:t>
            </w:r>
          </w:p>
        </w:tc>
        <w:tc>
          <w:tcPr>
            <w:tcW w:w="32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国家卫生健康委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统计信息中心</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吴士勇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卫生健康信息</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20220102</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用人单位职业健康信息系统基本功能标准</w:t>
            </w:r>
          </w:p>
        </w:tc>
        <w:tc>
          <w:tcPr>
            <w:tcW w:w="32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国家卫生健康委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职业安全卫生研究中心</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陈娜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3</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卫生健康信息</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20220103</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医疗机构临床用血信息交换标准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国家卫生健康委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医院管理研究所</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舒婷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4</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卫生健康信息</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20220104</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医疗卫生机构药品使用监测基本数据集标准</w:t>
            </w:r>
          </w:p>
        </w:tc>
        <w:tc>
          <w:tcPr>
            <w:tcW w:w="32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国家卫生健康委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统计信息中心</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周恭伟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5</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卫生健康信息</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20220105</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消毒供应监测基本数据集</w:t>
            </w:r>
          </w:p>
        </w:tc>
        <w:tc>
          <w:tcPr>
            <w:tcW w:w="32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国家卫生健康委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医院管理研究所</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张宇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6</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卫生健康信息</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20220106</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居民电子健康档案首页管理系统技术标准</w:t>
            </w:r>
          </w:p>
        </w:tc>
        <w:tc>
          <w:tcPr>
            <w:tcW w:w="32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华中科技大学同济医学院医药卫生管理学院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马敬东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7</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卫生健康信息</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20220107</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儿童营养与健康调查基本数据集标准</w:t>
            </w:r>
          </w:p>
        </w:tc>
        <w:tc>
          <w:tcPr>
            <w:tcW w:w="32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四川大学华西第二医院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全国妇幼监测办公室</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王艳萍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8</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卫生健康信息</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20220108</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医学影像检查部位分类与代码</w:t>
            </w:r>
          </w:p>
        </w:tc>
        <w:tc>
          <w:tcPr>
            <w:tcW w:w="32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华中科技大学同济医学院附属同济医院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汪火明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9</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卫生健康信息</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20220109</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医学影像检查项目分类与代码</w:t>
            </w:r>
          </w:p>
        </w:tc>
        <w:tc>
          <w:tcPr>
            <w:tcW w:w="32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电子科技大学（深圳）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高等研究院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蒲立新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10</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卫生健康信息</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20220110</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职业健康基本数据集标准 （分9个部分）</w:t>
            </w:r>
          </w:p>
        </w:tc>
        <w:tc>
          <w:tcPr>
            <w:tcW w:w="32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国家卫生健康委职业安全卫生研究中心</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张忠彬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11</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医疗卫生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建设装备</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20220201</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连续肾脏替代治疗装置性能技术指标检测与控制标准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华中科技大学同济医学院附属协和医院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12</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医疗卫生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建设装备</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20220202</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医学影像设备性能保障技术指南</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江苏省人民医院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钱英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13</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医疗服务</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20221101</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急诊科病情分级标准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首都医科大学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附属北京朝阳医院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郭树彬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14</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医院感染控制</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20221201</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新生儿病室医院感染预防与控制标准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北京儿童医院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黑明燕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15</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医院感染控制</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20221202</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安全注射标准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北京医院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蔡虻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16</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护理</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20221301</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护理查对标准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中国医学科学院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北京协和医院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吴欣娟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17</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护理</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20221302</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护理交接班标准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中国医科大学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附属第一医院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王爱平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18</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护理</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20221303</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医疗机构护理相关标识标准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北京大学第三医院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李葆华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19</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护理</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20221304</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护理实践名词术语标准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北京大学第一医院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丁炎明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临床检验</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20221401</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末梢血标本采集指南</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北京儿童医院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倪鑫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21</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临床检验</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20221402</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中枢神经系统感染性疾病实验室诊断操作标准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中国医学科学院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北京协和医院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徐英春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22</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基层卫生健康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妇幼健康</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20221601</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lang w:val="en-US" w:eastAsia="zh-CN" w:bidi="ar"/>
              </w:rPr>
              <w:drawing>
                <wp:inline distT="0" distB="0" distL="114300" distR="114300">
                  <wp:extent cx="9525" cy="9525"/>
                  <wp:effectExtent l="0" t="0" r="0"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仿宋_GB2312" w:hAnsi="Calibri" w:eastAsia="仿宋_GB2312" w:cs="仿宋_GB2312"/>
                <w:caps w:val="0"/>
                <w:spacing w:val="0"/>
                <w:kern w:val="0"/>
                <w:sz w:val="28"/>
                <w:szCs w:val="28"/>
                <w:lang w:val="en-US" w:eastAsia="zh-CN" w:bidi="ar"/>
              </w:rPr>
              <w:drawing>
                <wp:inline distT="0" distB="0" distL="114300" distR="114300">
                  <wp:extent cx="9525" cy="9525"/>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仿宋_GB2312" w:hAnsi="Calibri" w:eastAsia="仿宋_GB2312" w:cs="仿宋_GB2312"/>
                <w:caps w:val="0"/>
                <w:spacing w:val="0"/>
                <w:kern w:val="0"/>
                <w:sz w:val="28"/>
                <w:szCs w:val="28"/>
                <w:lang w:val="en-US" w:eastAsia="zh-CN" w:bidi="ar"/>
              </w:rPr>
              <w:drawing>
                <wp:inline distT="0" distB="0" distL="114300" distR="114300">
                  <wp:extent cx="9525" cy="9525"/>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仿宋_GB2312" w:hAnsi="Calibri" w:eastAsia="仿宋_GB2312" w:cs="仿宋_GB2312"/>
                <w:caps w:val="0"/>
                <w:spacing w:val="0"/>
                <w:kern w:val="0"/>
                <w:sz w:val="28"/>
                <w:szCs w:val="28"/>
                <w:lang w:val="en-US" w:eastAsia="zh-CN" w:bidi="ar"/>
              </w:rPr>
              <w:drawing>
                <wp:inline distT="0" distB="0" distL="114300" distR="114300">
                  <wp:extent cx="9525" cy="9525"/>
                  <wp:effectExtent l="0" t="0" r="0" b="0"/>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仿宋_GB2312" w:hAnsi="Calibri" w:eastAsia="仿宋_GB2312" w:cs="仿宋_GB2312"/>
                <w:caps w:val="0"/>
                <w:spacing w:val="0"/>
                <w:kern w:val="0"/>
                <w:sz w:val="28"/>
                <w:szCs w:val="28"/>
                <w:bdr w:val="none" w:color="auto" w:sz="0" w:space="0"/>
                <w:lang w:val="en-US" w:eastAsia="zh-CN" w:bidi="ar"/>
              </w:rPr>
              <w:t>社区0-6岁儿童心理行为发育异常干预技术标准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首都儿科研究所</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李瑞莉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23</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老年健康</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20221801</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老年安宁疗护病区设置标准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北京医院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王建业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24</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老年健康</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20221802</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老年精神心理健康促进技术标准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北京大学第六医院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王华丽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25</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老年健康</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20221803</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老年健康与老年服务名词术语标准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国家卫生健康委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老年医学研究所</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杨泽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26</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老年健康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基层卫生健康</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20221804</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社区老年人跌倒预防控制技术标准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中国疾病预防控制中心慢性非传染性疾病预防控制中心</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段蕾蕾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27</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妇幼健康</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20221901</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宫颈癌综合防控关键信息采集和质量控制标准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国家癌症中心</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赵方辉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28</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妇幼健康</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20221902</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危重孕产妇救治中心质量管理与评估标准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国家卫生健康委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卫生发展研究中心</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朱兆芳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29</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妇幼健康</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20221903</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新生儿早期基本保健技术服务标准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中国疾病预防控制中心妇幼中心</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徐韬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30</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妇幼健康</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20221904</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危重新生儿救治中心质量管理与评估标准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解放军总医院第七医学中心</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孔祥永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31</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妇幼健康</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20221905</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胎儿心脏病母胎医学多学科平台建设与一体化管理服务标准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首都医科大学附属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北京安贞医院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何怡华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32</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妇幼健康</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20221906</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超声产前筛查质量控制标准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首都医科大学附属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北京妇产医院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吴青青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33</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（工程防护组）</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20222001</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工作场所粉尘危害预防控制指南</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GBZ/T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国家卫生健康委职业安全卫生研究中心</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樊晶光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34</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（工程防护组）</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20222002</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工程爆破炮烟防治技术标准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GBZ/T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北京科技大学</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金龙哲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35</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（监测评估组）</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20222003</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职业接触乙草胺生物限值标准及生物标志物检测方法标准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GBZ/T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江苏省疾病预防控制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中心</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张锋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36</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（监测评估组）</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20222004</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工作场所空气有毒物质测定  2-氨基吡啶</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GBZ/T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吉林省职业病防治院</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陈彬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37</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放射卫生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（防护组）</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20222101</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非医疗工作场所放射防护检测标准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GBZ/T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国家卫生健康委职业安全卫生研究中心</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张震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38</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放射卫生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（防护组）</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20222102</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人体甲状腺中放射性碘的监测方法标准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GBZ/T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中国疾病预防控制中心辐射防护与核安全医学所</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拓飞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39</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放射卫生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（防护组）</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20222103</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浅层X射线治疗机质量控制检测标准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北京市疾病预防控制中心</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冯泽臣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40</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其他</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20222201</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感染性物质运输标准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中国疾病预防控制中心</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赵赤鸿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41</w:t>
            </w:r>
          </w:p>
        </w:tc>
        <w:tc>
          <w:tcPr>
            <w:tcW w:w="72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其他</w:t>
            </w:r>
          </w:p>
        </w:tc>
        <w:tc>
          <w:tcPr>
            <w:tcW w:w="57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20222202</w:t>
            </w:r>
          </w:p>
        </w:tc>
        <w:tc>
          <w:tcPr>
            <w:tcW w:w="1166"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病原微生物菌（毒）种保藏质量控制通用标准</w:t>
            </w:r>
          </w:p>
        </w:tc>
        <w:tc>
          <w:tcPr>
            <w:tcW w:w="32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制定</w:t>
            </w:r>
          </w:p>
        </w:tc>
        <w:tc>
          <w:tcPr>
            <w:tcW w:w="34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WS/T</w:t>
            </w:r>
          </w:p>
        </w:tc>
        <w:tc>
          <w:tcPr>
            <w:tcW w:w="111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中国疾病预防控制中心</w:t>
            </w:r>
          </w:p>
        </w:tc>
        <w:tc>
          <w:tcPr>
            <w:tcW w:w="47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魏强</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default" w:ascii="Calibri" w:hAnsi="Calibri" w:cs="Calibri"/>
          <w:i w:val="0"/>
          <w:iCs w:val="0"/>
          <w:caps w:val="0"/>
          <w:color w:val="000000"/>
          <w:spacing w:val="0"/>
          <w:sz w:val="32"/>
          <w:szCs w:val="32"/>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注：标准修订项目及国家标准制修订项目另行下达。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default" w:ascii="Calibri" w:hAnsi="Calibri" w:cs="Calibri"/>
          <w:i w:val="0"/>
          <w:iCs w:val="0"/>
          <w:caps w:val="0"/>
          <w:color w:val="000000"/>
          <w:spacing w:val="0"/>
          <w:sz w:val="32"/>
          <w:szCs w:val="32"/>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default" w:ascii="Calibri" w:hAnsi="Calibri" w:cs="Calibri"/>
          <w:i w:val="0"/>
          <w:iCs w:val="0"/>
          <w:caps w:val="0"/>
          <w:color w:val="000000"/>
          <w:spacing w:val="0"/>
          <w:sz w:val="32"/>
          <w:szCs w:val="32"/>
        </w:rPr>
      </w:pPr>
      <w:r>
        <w:rPr>
          <w:rFonts w:hint="eastAsia" w:ascii="仿宋_GB2312" w:hAnsi="Calibri" w:eastAsia="仿宋_GB2312" w:cs="仿宋_GB2312"/>
          <w:b/>
          <w:bCs/>
          <w:i w:val="0"/>
          <w:iCs w:val="0"/>
          <w:caps w:val="0"/>
          <w:color w:val="000000"/>
          <w:spacing w:val="0"/>
          <w:kern w:val="0"/>
          <w:sz w:val="28"/>
          <w:szCs w:val="28"/>
          <w:bdr w:val="none" w:color="auto" w:sz="0" w:space="0"/>
          <w:lang w:val="en-US" w:eastAsia="zh-CN" w:bidi="ar"/>
        </w:rPr>
        <w:t>（二）标准前期研究项目</w:t>
      </w:r>
    </w:p>
    <w:tbl>
      <w:tblPr>
        <w:tblW w:w="92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2"/>
        <w:gridCol w:w="1378"/>
        <w:gridCol w:w="1336"/>
        <w:gridCol w:w="2854"/>
        <w:gridCol w:w="2047"/>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296"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序号 序号</w:t>
            </w:r>
          </w:p>
        </w:tc>
        <w:tc>
          <w:tcPr>
            <w:tcW w:w="840"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专业</w:t>
            </w:r>
          </w:p>
        </w:tc>
        <w:tc>
          <w:tcPr>
            <w:tcW w:w="513"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项目编号</w:t>
            </w:r>
          </w:p>
        </w:tc>
        <w:tc>
          <w:tcPr>
            <w:tcW w:w="1639"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项目名称</w:t>
            </w:r>
          </w:p>
        </w:tc>
        <w:tc>
          <w:tcPr>
            <w:tcW w:w="1202"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项目负责单位</w:t>
            </w:r>
          </w:p>
        </w:tc>
        <w:tc>
          <w:tcPr>
            <w:tcW w:w="504"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卫生健康信息</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20220111</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面向需求侧的可携带个人电子医疗记录标准体系与实施路径研究</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国家卫生健康委统计信息中心</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胡建平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卫生健康信息</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20220112</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卫生健康领域区块链应用标准框架体系及相关应用标准主题内容研究</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浙江大学医学院附属邵逸夫医院</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蔡秀军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3</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卫生健康信息</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20220113</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卫生健康行业机器人应用分类标准研究</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复旦大学附属中山医院</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顾建英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4</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卫生健康信息</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20220114</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基于5G的方舱医院相关信息系统功能标准和技术标准研究</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解放军总医院创新研究部</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何昆仑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5</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（职业病诊断组）</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20222006</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lang w:val="en-US" w:eastAsia="zh-CN" w:bidi="ar"/>
              </w:rPr>
              <w:drawing>
                <wp:inline distT="0" distB="0" distL="114300" distR="114300">
                  <wp:extent cx="9525" cy="9525"/>
                  <wp:effectExtent l="0" t="0" r="0" b="0"/>
                  <wp:docPr id="1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60"/>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仿宋_GB2312" w:hAnsi="Calibri" w:eastAsia="仿宋_GB2312" w:cs="仿宋_GB2312"/>
                <w:caps w:val="0"/>
                <w:spacing w:val="0"/>
                <w:kern w:val="0"/>
                <w:sz w:val="28"/>
                <w:szCs w:val="28"/>
                <w:lang w:val="en-US" w:eastAsia="zh-CN" w:bidi="ar"/>
              </w:rPr>
              <w:drawing>
                <wp:inline distT="0" distB="0" distL="114300" distR="114300">
                  <wp:extent cx="9525" cy="9525"/>
                  <wp:effectExtent l="0" t="0" r="0" b="0"/>
                  <wp:docPr id="1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61"/>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仿宋_GB2312" w:hAnsi="Calibri" w:eastAsia="仿宋_GB2312" w:cs="仿宋_GB2312"/>
                <w:caps w:val="0"/>
                <w:spacing w:val="0"/>
                <w:kern w:val="0"/>
                <w:sz w:val="28"/>
                <w:szCs w:val="28"/>
                <w:lang w:val="en-US" w:eastAsia="zh-CN" w:bidi="ar"/>
              </w:rPr>
              <w:drawing>
                <wp:inline distT="0" distB="0" distL="114300" distR="114300">
                  <wp:extent cx="9525" cy="9525"/>
                  <wp:effectExtent l="0" t="0" r="0" b="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仿宋_GB2312" w:hAnsi="Calibri" w:eastAsia="仿宋_GB2312" w:cs="仿宋_GB2312"/>
                <w:caps w:val="0"/>
                <w:spacing w:val="0"/>
                <w:kern w:val="0"/>
                <w:sz w:val="28"/>
                <w:szCs w:val="28"/>
                <w:lang w:val="en-US" w:eastAsia="zh-CN" w:bidi="ar"/>
              </w:rPr>
              <w:drawing>
                <wp:inline distT="0" distB="0" distL="114300" distR="114300">
                  <wp:extent cx="9525" cy="9525"/>
                  <wp:effectExtent l="0" t="0" r="0" b="0"/>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仿宋_GB2312" w:hAnsi="Calibri" w:eastAsia="仿宋_GB2312" w:cs="仿宋_GB2312"/>
                <w:caps w:val="0"/>
                <w:spacing w:val="0"/>
                <w:kern w:val="0"/>
                <w:sz w:val="28"/>
                <w:szCs w:val="28"/>
                <w:lang w:val="en-US" w:eastAsia="zh-CN" w:bidi="ar"/>
              </w:rPr>
              <w:drawing>
                <wp:inline distT="0" distB="0" distL="114300" distR="114300">
                  <wp:extent cx="9525" cy="9525"/>
                  <wp:effectExtent l="0" t="0" r="0" b="0"/>
                  <wp:docPr id="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IMG_264"/>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仿宋_GB2312" w:hAnsi="Calibri" w:eastAsia="仿宋_GB2312" w:cs="仿宋_GB2312"/>
                <w:caps w:val="0"/>
                <w:spacing w:val="0"/>
                <w:kern w:val="0"/>
                <w:sz w:val="28"/>
                <w:szCs w:val="28"/>
                <w:lang w:val="en-US" w:eastAsia="zh-CN" w:bidi="ar"/>
              </w:rPr>
              <w:drawing>
                <wp:inline distT="0" distB="0" distL="114300" distR="114300">
                  <wp:extent cx="9525" cy="9525"/>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仿宋_GB2312" w:hAnsi="Calibri" w:eastAsia="仿宋_GB2312" w:cs="仿宋_GB2312"/>
                <w:caps w:val="0"/>
                <w:spacing w:val="0"/>
                <w:kern w:val="0"/>
                <w:sz w:val="28"/>
                <w:szCs w:val="28"/>
                <w:lang w:val="en-US" w:eastAsia="zh-CN" w:bidi="ar"/>
              </w:rPr>
              <w:drawing>
                <wp:inline distT="0" distB="0" distL="114300" distR="114300">
                  <wp:extent cx="9525" cy="9525"/>
                  <wp:effectExtent l="0" t="0" r="0" b="0"/>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仿宋_GB2312" w:hAnsi="Calibri" w:eastAsia="仿宋_GB2312" w:cs="仿宋_GB2312"/>
                <w:caps w:val="0"/>
                <w:spacing w:val="0"/>
                <w:kern w:val="0"/>
                <w:sz w:val="28"/>
                <w:szCs w:val="28"/>
                <w:lang w:val="en-US" w:eastAsia="zh-CN" w:bidi="ar"/>
              </w:rPr>
              <w:drawing>
                <wp:inline distT="0" distB="0" distL="114300" distR="114300">
                  <wp:extent cx="9525" cy="9525"/>
                  <wp:effectExtent l="0" t="0" r="0" b="0"/>
                  <wp:docPr id="5"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IMG_267"/>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仿宋_GB2312" w:hAnsi="Calibri" w:eastAsia="仿宋_GB2312" w:cs="仿宋_GB2312"/>
                <w:caps w:val="0"/>
                <w:spacing w:val="0"/>
                <w:kern w:val="0"/>
                <w:sz w:val="28"/>
                <w:szCs w:val="28"/>
                <w:bdr w:val="none" w:color="auto" w:sz="0" w:space="0"/>
                <w:lang w:val="en-US" w:eastAsia="zh-CN" w:bidi="ar"/>
              </w:rPr>
              <w:t>职业性肌肉骨骼疾患的诊断</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北京大学第三医院</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李树强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6</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（职业病诊断组）</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20222007</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职业性创伤后应激障碍的诊断</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首都医科大学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附属北京安定医院</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王刚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7</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（职业病诊断组）</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20222008</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职业性传染病的诊断</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四川大学华西医院</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张本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8</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（职业病诊断组）</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20222009</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职业性肿瘤的诊断</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中国疾控中心职业卫生与中毒控制所</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孙新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9</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（职业病诊断组）</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20222010</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物理因素所致职业病的诊断</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国家卫生健康委职业安全卫生研究中心</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张建芳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10</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（职业病诊断组）</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20222011</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粉尘所致慢性阻塞性肺疾病的诊断</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湖南省职业病防治院</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黄蕾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11</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（职业病诊断组）</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20222012</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职业性冷伤的诊断</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北京市化工职业病防治院</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李珏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12</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放射卫生（放射性疾病诊断组）</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20222104</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职业性氡暴露所致肺癌的诊断</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中国疾病预防控制中心辐射防护与核安全医学所</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孙全富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13</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其他</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20222203</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病原微生物实验室良好工作行为规范</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浙江省疾病预防控制中心</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颜浩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14</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其他</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20222204</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健康服务组织管理标准化技术委员会（ISO/TC304）国内工作机制研究</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国家卫生健康委卫生发展研究中心</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黄二丹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15</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其他</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20222205</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生物安全标准体系研究</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中国疾病预防控制中心     </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雷苏文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16</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其他</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20222206</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卫生健康团体标准评估研究</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中国医学科学院信息所</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李建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17</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其他</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20222207</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强制性标准实施情况统计分析制度研究</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西南政法大学</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赵万一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96"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18</w:t>
            </w:r>
          </w:p>
        </w:tc>
        <w:tc>
          <w:tcPr>
            <w:tcW w:w="84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其他</w:t>
            </w:r>
          </w:p>
        </w:tc>
        <w:tc>
          <w:tcPr>
            <w:tcW w:w="513"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20222208</w:t>
            </w:r>
          </w:p>
        </w:tc>
        <w:tc>
          <w:tcPr>
            <w:tcW w:w="163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老年康养乡村标准化试点研究</w:t>
            </w:r>
          </w:p>
        </w:tc>
        <w:tc>
          <w:tcPr>
            <w:tcW w:w="12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浙江松阳县中医药学会</w:t>
            </w:r>
          </w:p>
        </w:tc>
        <w:tc>
          <w:tcPr>
            <w:tcW w:w="504"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刘振宜</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default" w:ascii="Calibri" w:hAnsi="Calibri" w:cs="Calibri"/>
          <w:i w:val="0"/>
          <w:iCs w:val="0"/>
          <w:caps w:val="0"/>
          <w:color w:val="000000"/>
          <w:spacing w:val="0"/>
          <w:sz w:val="32"/>
          <w:szCs w:val="32"/>
        </w:rPr>
      </w:pPr>
      <w:r>
        <w:rPr>
          <w:rFonts w:hint="eastAsia" w:ascii="仿宋_GB2312" w:hAnsi="Calibri" w:eastAsia="仿宋_GB2312" w:cs="仿宋_GB2312"/>
          <w:b/>
          <w:bCs/>
          <w:i w:val="0"/>
          <w:iCs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default" w:ascii="Calibri" w:hAnsi="Calibri" w:cs="Calibri"/>
          <w:i w:val="0"/>
          <w:iCs w:val="0"/>
          <w:caps w:val="0"/>
          <w:color w:val="000000"/>
          <w:spacing w:val="0"/>
          <w:sz w:val="32"/>
          <w:szCs w:val="32"/>
        </w:rPr>
      </w:pPr>
      <w:r>
        <w:rPr>
          <w:rFonts w:hint="eastAsia" w:ascii="仿宋_GB2312" w:hAnsi="Calibri" w:eastAsia="仿宋_GB2312" w:cs="仿宋_GB2312"/>
          <w:b/>
          <w:bCs/>
          <w:i w:val="0"/>
          <w:iCs w:val="0"/>
          <w:caps w:val="0"/>
          <w:color w:val="000000"/>
          <w:spacing w:val="0"/>
          <w:kern w:val="0"/>
          <w:sz w:val="28"/>
          <w:szCs w:val="28"/>
          <w:bdr w:val="none" w:color="auto" w:sz="0" w:space="0"/>
          <w:lang w:val="en-US" w:eastAsia="zh-CN" w:bidi="ar"/>
        </w:rPr>
        <w:t>（三）标准实施评估项目</w:t>
      </w:r>
    </w:p>
    <w:tbl>
      <w:tblPr>
        <w:tblW w:w="92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98"/>
        <w:gridCol w:w="1451"/>
        <w:gridCol w:w="1336"/>
        <w:gridCol w:w="2954"/>
        <w:gridCol w:w="2122"/>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277"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序号</w:t>
            </w:r>
          </w:p>
        </w:tc>
        <w:tc>
          <w:tcPr>
            <w:tcW w:w="872"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专业</w:t>
            </w:r>
          </w:p>
        </w:tc>
        <w:tc>
          <w:tcPr>
            <w:tcW w:w="495"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项目编号</w:t>
            </w:r>
          </w:p>
        </w:tc>
        <w:tc>
          <w:tcPr>
            <w:tcW w:w="1648"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项目名称</w:t>
            </w:r>
          </w:p>
        </w:tc>
        <w:tc>
          <w:tcPr>
            <w:tcW w:w="1197"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项目负责单位</w:t>
            </w:r>
          </w:p>
        </w:tc>
        <w:tc>
          <w:tcPr>
            <w:tcW w:w="509" w:type="pc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b/>
                <w:bCs/>
                <w:caps w:val="0"/>
                <w:spacing w:val="0"/>
                <w:kern w:val="0"/>
                <w:sz w:val="28"/>
                <w:szCs w:val="28"/>
                <w:bdr w:val="none" w:color="auto" w:sz="0" w:space="0"/>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0" w:hRule="atLeast"/>
        </w:trPr>
        <w:tc>
          <w:tcPr>
            <w:tcW w:w="277"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1</w:t>
            </w:r>
          </w:p>
        </w:tc>
        <w:tc>
          <w:tcPr>
            <w:tcW w:w="87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职业健康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（监测评估组）</w:t>
            </w:r>
          </w:p>
        </w:tc>
        <w:tc>
          <w:tcPr>
            <w:tcW w:w="495"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20222005</w:t>
            </w:r>
          </w:p>
        </w:tc>
        <w:tc>
          <w:tcPr>
            <w:tcW w:w="1648"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工作场所有害因素职业接触限值  第2部分：物理因素（GBZ 2.2-2007)实施评估</w:t>
            </w:r>
          </w:p>
        </w:tc>
        <w:tc>
          <w:tcPr>
            <w:tcW w:w="1197"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北京大学公共卫生学院</w:t>
            </w:r>
          </w:p>
        </w:tc>
        <w:tc>
          <w:tcPr>
            <w:tcW w:w="50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32"/>
                <w:szCs w:val="32"/>
              </w:rPr>
            </w:pPr>
            <w:r>
              <w:rPr>
                <w:rFonts w:hint="eastAsia" w:ascii="仿宋_GB2312" w:hAnsi="Calibri" w:eastAsia="仿宋_GB2312" w:cs="仿宋_GB2312"/>
                <w:caps w:val="0"/>
                <w:spacing w:val="0"/>
                <w:kern w:val="0"/>
                <w:sz w:val="28"/>
                <w:szCs w:val="28"/>
                <w:bdr w:val="none" w:color="auto" w:sz="0" w:space="0"/>
                <w:lang w:val="en-US" w:eastAsia="zh-CN" w:bidi="ar"/>
              </w:rPr>
              <w:t>何丽华</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34" w:firstLine="0"/>
        <w:rPr>
          <w:rFonts w:hint="eastAsia" w:ascii="宋体" w:hAnsi="宋体" w:eastAsia="宋体" w:cs="宋体"/>
          <w:i w:val="0"/>
          <w:iCs w:val="0"/>
          <w:caps w:val="0"/>
          <w:color w:val="000000"/>
          <w:spacing w:val="0"/>
          <w:sz w:val="27"/>
          <w:szCs w:val="27"/>
        </w:rPr>
      </w:pPr>
      <w:r>
        <w:rPr>
          <w:rFonts w:hint="eastAsia" w:ascii="仿宋_GB2312" w:hAnsi="宋体" w:eastAsia="仿宋_GB2312" w:cs="仿宋_GB2312"/>
          <w:i w:val="0"/>
          <w:iCs w:val="0"/>
          <w:caps w:val="0"/>
          <w:color w:val="000000"/>
          <w:spacing w:val="0"/>
          <w:sz w:val="32"/>
          <w:szCs w:val="32"/>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MjBlZWI0MzI5N2NhOTgxZDNlN2Y0MjNjMGNjZDEifQ=="/>
  </w:docVars>
  <w:rsids>
    <w:rsidRoot w:val="00000000"/>
    <w:rsid w:val="15AB1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2022-08-29T07:17:33Z</dcterms:created>
  <dc:creator>Administrator</dc:creator>
  <cp:lastModifiedBy>Administrator</cp:lastModifiedBy>
  <dcterms:modified xsi:type="dcterms:W3CDTF">2022-08-29T07:19:50Z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ABE72F61A883487F9FA63895D806DB38</vt:lpwstr>
  </property>
</Properties>
</file>