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9F" w:rsidRDefault="0006759F" w:rsidP="0006759F">
      <w:pPr>
        <w:widowControl/>
        <w:snapToGrid w:val="0"/>
        <w:spacing w:line="580" w:lineRule="exact"/>
        <w:jc w:val="left"/>
        <w:outlineLvl w:val="0"/>
        <w:rPr>
          <w:rFonts w:ascii="宋体" w:eastAsia="宋体" w:hAnsi="宋体" w:hint="eastAsia"/>
          <w:b/>
          <w:sz w:val="44"/>
          <w:szCs w:val="44"/>
        </w:rPr>
      </w:pPr>
    </w:p>
    <w:p w:rsidR="0006759F" w:rsidRDefault="0006759F" w:rsidP="0006759F">
      <w:pPr>
        <w:widowControl/>
        <w:snapToGrid w:val="0"/>
        <w:spacing w:line="580" w:lineRule="exact"/>
        <w:jc w:val="center"/>
        <w:outlineLvl w:val="0"/>
        <w:rPr>
          <w:rFonts w:ascii="宋体" w:eastAsia="宋体" w:hAnsi="宋体" w:hint="eastAsia"/>
          <w:b/>
          <w:sz w:val="44"/>
          <w:szCs w:val="44"/>
        </w:rPr>
      </w:pPr>
      <w:r>
        <w:rPr>
          <w:rFonts w:ascii="宋体" w:eastAsia="宋体" w:hAnsi="宋体"/>
          <w:b/>
          <w:sz w:val="44"/>
          <w:szCs w:val="44"/>
        </w:rPr>
        <w:t>“十三五”全国血吸虫病防治规划</w:t>
      </w:r>
    </w:p>
    <w:p w:rsidR="0006759F" w:rsidRDefault="0006759F" w:rsidP="0006759F">
      <w:pPr>
        <w:spacing w:line="580" w:lineRule="exact"/>
        <w:rPr>
          <w:rFonts w:eastAsia="仿宋"/>
          <w:szCs w:val="32"/>
        </w:rPr>
      </w:pPr>
    </w:p>
    <w:p w:rsidR="0006759F" w:rsidRDefault="0006759F" w:rsidP="0006759F">
      <w:pPr>
        <w:adjustRightInd w:val="0"/>
        <w:snapToGrid w:val="0"/>
        <w:spacing w:line="580" w:lineRule="exact"/>
        <w:ind w:firstLineChars="200" w:firstLine="640"/>
        <w:outlineLvl w:val="0"/>
        <w:rPr>
          <w:szCs w:val="32"/>
        </w:rPr>
      </w:pPr>
      <w:r>
        <w:rPr>
          <w:rFonts w:hAnsi="仿宋_GB2312"/>
          <w:szCs w:val="32"/>
        </w:rPr>
        <w:t>血吸虫病是一种严重危害人群身体健康，影响经济发展和社会稳定的重大传染病。我国曾是全球血吸虫病危害最重、分布最广的国家之一，主要流行于长江流域及南方</w:t>
      </w:r>
      <w:r>
        <w:rPr>
          <w:szCs w:val="32"/>
        </w:rPr>
        <w:t>12</w:t>
      </w:r>
      <w:r>
        <w:rPr>
          <w:rFonts w:hAnsi="仿宋_GB2312"/>
          <w:szCs w:val="32"/>
        </w:rPr>
        <w:t>省（区、市）。当前，</w:t>
      </w:r>
      <w:r>
        <w:rPr>
          <w:szCs w:val="32"/>
        </w:rPr>
        <w:t>我国血吸虫病防治工作正值攻坚制胜的关键时期，为加快全国血吸虫病消除工作进程，切实保障广大人民群众身体健康，促进经济社会发展，根据《血吸虫病防治条例》，制定本规划。</w:t>
      </w:r>
    </w:p>
    <w:p w:rsidR="0006759F" w:rsidRDefault="0006759F" w:rsidP="0006759F">
      <w:pPr>
        <w:snapToGrid w:val="0"/>
        <w:spacing w:line="580" w:lineRule="exact"/>
        <w:ind w:firstLineChars="200" w:firstLine="640"/>
        <w:outlineLvl w:val="0"/>
        <w:rPr>
          <w:rFonts w:eastAsia="黑体"/>
          <w:szCs w:val="32"/>
        </w:rPr>
      </w:pPr>
      <w:r>
        <w:rPr>
          <w:rFonts w:eastAsia="黑体"/>
          <w:szCs w:val="32"/>
        </w:rPr>
        <w:t>一、规划背景</w:t>
      </w:r>
    </w:p>
    <w:p w:rsidR="0006759F" w:rsidRDefault="0006759F" w:rsidP="0006759F">
      <w:pPr>
        <w:adjustRightInd w:val="0"/>
        <w:snapToGrid w:val="0"/>
        <w:spacing w:line="580" w:lineRule="exact"/>
        <w:ind w:firstLineChars="200" w:firstLine="640"/>
        <w:outlineLvl w:val="0"/>
        <w:rPr>
          <w:szCs w:val="32"/>
        </w:rPr>
      </w:pPr>
      <w:r>
        <w:rPr>
          <w:rFonts w:hAnsi="仿宋_GB2312"/>
          <w:szCs w:val="32"/>
        </w:rPr>
        <w:t>联合国可持续发展目标将血吸虫病作为需重点防控的疾病之一，世界卫生大会于</w:t>
      </w:r>
      <w:r>
        <w:rPr>
          <w:szCs w:val="32"/>
        </w:rPr>
        <w:t>2012</w:t>
      </w:r>
      <w:r>
        <w:rPr>
          <w:rFonts w:hAnsi="仿宋_GB2312"/>
          <w:szCs w:val="32"/>
        </w:rPr>
        <w:t>年通过了</w:t>
      </w:r>
      <w:r>
        <w:rPr>
          <w:szCs w:val="32"/>
        </w:rPr>
        <w:t>“2025</w:t>
      </w:r>
      <w:r>
        <w:rPr>
          <w:rFonts w:hAnsi="仿宋_GB2312"/>
          <w:szCs w:val="32"/>
        </w:rPr>
        <w:t>年全球消除血吸虫病公共卫生问题</w:t>
      </w:r>
      <w:r>
        <w:rPr>
          <w:szCs w:val="32"/>
        </w:rPr>
        <w:t>”</w:t>
      </w:r>
      <w:r>
        <w:rPr>
          <w:rFonts w:hAnsi="仿宋_GB2312"/>
          <w:szCs w:val="32"/>
        </w:rPr>
        <w:t>的决议。党中央、国务院高度重视血吸虫病防治工作，</w:t>
      </w:r>
      <w:r>
        <w:rPr>
          <w:szCs w:val="32"/>
        </w:rPr>
        <w:t>公布施行《血吸虫病防治条例》，制定中长期规划纲要，实施综合防治策略，</w:t>
      </w:r>
      <w:r>
        <w:rPr>
          <w:rFonts w:hAnsi="仿宋_GB2312"/>
          <w:szCs w:val="32"/>
        </w:rPr>
        <w:t>防治工作取得显著成绩，上海、浙江、福建、广东、广西</w:t>
      </w:r>
      <w:r>
        <w:rPr>
          <w:szCs w:val="32"/>
        </w:rPr>
        <w:t>5</w:t>
      </w:r>
      <w:r>
        <w:rPr>
          <w:rFonts w:hAnsi="仿宋_GB2312"/>
          <w:szCs w:val="32"/>
        </w:rPr>
        <w:t>省（区、市）于</w:t>
      </w:r>
      <w:r>
        <w:rPr>
          <w:szCs w:val="32"/>
        </w:rPr>
        <w:t>1995</w:t>
      </w:r>
      <w:r>
        <w:rPr>
          <w:rFonts w:hAnsi="仿宋_GB2312"/>
          <w:szCs w:val="32"/>
        </w:rPr>
        <w:t>年前达到传播阻断标</w:t>
      </w:r>
      <w:r>
        <w:rPr>
          <w:szCs w:val="32"/>
        </w:rPr>
        <w:t>准，</w:t>
      </w:r>
      <w:r>
        <w:rPr>
          <w:rFonts w:hAnsi="仿宋_GB2312"/>
          <w:szCs w:val="32"/>
        </w:rPr>
        <w:t>全国分别于</w:t>
      </w:r>
      <w:r>
        <w:rPr>
          <w:szCs w:val="32"/>
        </w:rPr>
        <w:t>2008</w:t>
      </w:r>
      <w:r>
        <w:rPr>
          <w:rFonts w:hAnsi="仿宋_GB2312"/>
          <w:szCs w:val="32"/>
        </w:rPr>
        <w:t>年和</w:t>
      </w:r>
      <w:r>
        <w:rPr>
          <w:szCs w:val="32"/>
        </w:rPr>
        <w:t>2015</w:t>
      </w:r>
      <w:r>
        <w:rPr>
          <w:rFonts w:hAnsi="仿宋_GB2312"/>
          <w:szCs w:val="32"/>
        </w:rPr>
        <w:t>年达到疫情控制标准和传播控制标准。但我国血吸虫病</w:t>
      </w:r>
      <w:r>
        <w:rPr>
          <w:szCs w:val="32"/>
        </w:rPr>
        <w:t>流行区牛、羊等家畜存栏数量多，传染源控制难度大，钉螺分布范围广，孳生环境复杂，基层血吸虫病防治机构和动物防疫机构基础设施条件较差，现有防治技术不能满足工作需要，部分达标地区疫情尚不稳定，个别地区甚至出现疫情回升，洪涝、地震等自然灾害时有发生，</w:t>
      </w:r>
      <w:r>
        <w:rPr>
          <w:szCs w:val="32"/>
        </w:rPr>
        <w:lastRenderedPageBreak/>
        <w:t>血吸虫病传播风险难以完全消除，</w:t>
      </w:r>
      <w:r>
        <w:rPr>
          <w:rFonts w:hint="eastAsia"/>
          <w:szCs w:val="32"/>
        </w:rPr>
        <w:t>目前的防治成果还比较脆弱，</w:t>
      </w:r>
      <w:r>
        <w:rPr>
          <w:szCs w:val="32"/>
        </w:rPr>
        <w:t>今后一段时期的防治任务</w:t>
      </w:r>
      <w:r>
        <w:rPr>
          <w:rFonts w:hint="eastAsia"/>
          <w:szCs w:val="32"/>
        </w:rPr>
        <w:t>仍然</w:t>
      </w:r>
      <w:r>
        <w:rPr>
          <w:szCs w:val="32"/>
        </w:rPr>
        <w:t>十分艰巨繁重。</w:t>
      </w:r>
    </w:p>
    <w:p w:rsidR="0006759F" w:rsidRDefault="0006759F" w:rsidP="0006759F">
      <w:pPr>
        <w:snapToGrid w:val="0"/>
        <w:spacing w:line="580" w:lineRule="exact"/>
        <w:ind w:firstLineChars="200" w:firstLine="640"/>
        <w:outlineLvl w:val="0"/>
        <w:rPr>
          <w:rFonts w:eastAsia="黑体"/>
          <w:szCs w:val="32"/>
        </w:rPr>
      </w:pPr>
      <w:r>
        <w:rPr>
          <w:rFonts w:eastAsia="黑体"/>
          <w:szCs w:val="32"/>
        </w:rPr>
        <w:t>二、总体要求</w:t>
      </w:r>
    </w:p>
    <w:p w:rsidR="0006759F" w:rsidRDefault="0006759F" w:rsidP="0006759F">
      <w:pPr>
        <w:snapToGrid w:val="0"/>
        <w:spacing w:line="580" w:lineRule="exact"/>
        <w:ind w:firstLineChars="200" w:firstLine="640"/>
        <w:outlineLvl w:val="0"/>
        <w:rPr>
          <w:szCs w:val="32"/>
        </w:rPr>
      </w:pPr>
      <w:r>
        <w:rPr>
          <w:rFonts w:eastAsia="楷体_GB2312"/>
          <w:szCs w:val="32"/>
        </w:rPr>
        <w:t>（一）指导思想。</w:t>
      </w:r>
      <w:r>
        <w:rPr>
          <w:szCs w:val="32"/>
        </w:rPr>
        <w:t>全面贯彻党的十八大及十八届三中、四中、五中、六中全会精神和习近平总书记系列重要讲话精神，紧紧围绕统筹推进</w:t>
      </w:r>
      <w:r>
        <w:rPr>
          <w:szCs w:val="32"/>
        </w:rPr>
        <w:t>“</w:t>
      </w:r>
      <w:r>
        <w:rPr>
          <w:szCs w:val="32"/>
        </w:rPr>
        <w:t>五位一体</w:t>
      </w:r>
      <w:r>
        <w:rPr>
          <w:szCs w:val="32"/>
        </w:rPr>
        <w:t>”</w:t>
      </w:r>
      <w:r>
        <w:rPr>
          <w:szCs w:val="32"/>
        </w:rPr>
        <w:t>总体布局和协调推进</w:t>
      </w:r>
      <w:r>
        <w:rPr>
          <w:szCs w:val="32"/>
        </w:rPr>
        <w:t>“</w:t>
      </w:r>
      <w:r>
        <w:rPr>
          <w:szCs w:val="32"/>
        </w:rPr>
        <w:t>四个全面</w:t>
      </w:r>
      <w:r>
        <w:rPr>
          <w:szCs w:val="32"/>
        </w:rPr>
        <w:t>”</w:t>
      </w:r>
      <w:r>
        <w:rPr>
          <w:szCs w:val="32"/>
        </w:rPr>
        <w:t>战略布局，牢固树立和贯彻落实创新、协调、绿色、开放、共享的发展理念，落实党中央、国务院决策部署，坚持预防为主、标本兼治、分类指导、综合治理、联防联控，进一步健全政府主导、部门合作、社会参与的工作机制，依法科学防治血吸虫病。</w:t>
      </w:r>
    </w:p>
    <w:p w:rsidR="0006759F" w:rsidRDefault="0006759F" w:rsidP="0006759F">
      <w:pPr>
        <w:snapToGrid w:val="0"/>
        <w:spacing w:line="580" w:lineRule="exact"/>
        <w:ind w:firstLineChars="200" w:firstLine="640"/>
        <w:outlineLvl w:val="0"/>
        <w:rPr>
          <w:szCs w:val="32"/>
        </w:rPr>
      </w:pPr>
      <w:r>
        <w:rPr>
          <w:rFonts w:eastAsia="楷体_GB2312"/>
          <w:szCs w:val="32"/>
        </w:rPr>
        <w:t>（二）规划目标。</w:t>
      </w:r>
      <w:r>
        <w:rPr>
          <w:szCs w:val="32"/>
        </w:rPr>
        <w:t>2017</w:t>
      </w:r>
      <w:r>
        <w:rPr>
          <w:rFonts w:hAnsi="仿宋_GB2312"/>
          <w:szCs w:val="32"/>
        </w:rPr>
        <w:t>年，完成上海、浙江、福建、广东、广西</w:t>
      </w:r>
      <w:r>
        <w:rPr>
          <w:szCs w:val="32"/>
        </w:rPr>
        <w:t>5</w:t>
      </w:r>
      <w:r>
        <w:rPr>
          <w:rFonts w:hAnsi="仿宋_GB2312"/>
          <w:szCs w:val="32"/>
        </w:rPr>
        <w:t>省（区、市）消除血吸虫病复核</w:t>
      </w:r>
      <w:r>
        <w:rPr>
          <w:rFonts w:hAnsi="仿宋_GB2312" w:hint="eastAsia"/>
          <w:szCs w:val="32"/>
        </w:rPr>
        <w:t>，继续</w:t>
      </w:r>
      <w:r>
        <w:rPr>
          <w:rFonts w:hAnsi="仿宋_GB2312"/>
          <w:szCs w:val="32"/>
        </w:rPr>
        <w:t>加强监测，巩固消除成果</w:t>
      </w:r>
      <w:r>
        <w:rPr>
          <w:rFonts w:hAnsi="仿宋_GB2312" w:hint="eastAsia"/>
          <w:szCs w:val="32"/>
        </w:rPr>
        <w:t>。</w:t>
      </w:r>
      <w:r>
        <w:rPr>
          <w:rFonts w:hAnsi="仿宋_GB2312"/>
          <w:szCs w:val="32"/>
        </w:rPr>
        <w:t>到</w:t>
      </w:r>
      <w:r>
        <w:rPr>
          <w:szCs w:val="32"/>
        </w:rPr>
        <w:t>2020</w:t>
      </w:r>
      <w:r>
        <w:rPr>
          <w:rFonts w:hAnsi="仿宋_GB2312"/>
          <w:szCs w:val="32"/>
        </w:rPr>
        <w:t>年底，四川、江苏、云南、湖北、湖南</w:t>
      </w:r>
      <w:r>
        <w:rPr>
          <w:szCs w:val="32"/>
        </w:rPr>
        <w:t>5</w:t>
      </w:r>
      <w:proofErr w:type="gramStart"/>
      <w:r>
        <w:rPr>
          <w:rFonts w:hAnsi="仿宋_GB2312"/>
          <w:szCs w:val="32"/>
        </w:rPr>
        <w:t>省达到</w:t>
      </w:r>
      <w:proofErr w:type="gramEnd"/>
      <w:r>
        <w:rPr>
          <w:rFonts w:hAnsi="仿宋_GB2312"/>
          <w:szCs w:val="32"/>
        </w:rPr>
        <w:t>传播阻断标准，达到消除标准的流行县分别</w:t>
      </w:r>
      <w:proofErr w:type="gramStart"/>
      <w:r>
        <w:rPr>
          <w:rFonts w:hAnsi="仿宋_GB2312"/>
          <w:szCs w:val="32"/>
        </w:rPr>
        <w:t>占流行</w:t>
      </w:r>
      <w:proofErr w:type="gramEnd"/>
      <w:r>
        <w:rPr>
          <w:rFonts w:hAnsi="仿宋_GB2312"/>
          <w:szCs w:val="32"/>
        </w:rPr>
        <w:t>县总数的</w:t>
      </w:r>
      <w:r>
        <w:rPr>
          <w:szCs w:val="32"/>
        </w:rPr>
        <w:t>95%</w:t>
      </w:r>
      <w:r>
        <w:rPr>
          <w:rFonts w:hAnsi="仿宋_GB2312"/>
          <w:szCs w:val="32"/>
        </w:rPr>
        <w:t>、</w:t>
      </w:r>
      <w:r>
        <w:rPr>
          <w:szCs w:val="32"/>
        </w:rPr>
        <w:t>85%</w:t>
      </w:r>
      <w:r>
        <w:rPr>
          <w:rFonts w:hAnsi="仿宋_GB2312"/>
          <w:szCs w:val="32"/>
        </w:rPr>
        <w:t>、</w:t>
      </w:r>
      <w:r>
        <w:rPr>
          <w:szCs w:val="32"/>
        </w:rPr>
        <w:t>60%</w:t>
      </w:r>
      <w:r>
        <w:rPr>
          <w:rFonts w:hAnsi="仿宋_GB2312"/>
          <w:szCs w:val="32"/>
        </w:rPr>
        <w:t>、</w:t>
      </w:r>
      <w:r>
        <w:rPr>
          <w:szCs w:val="32"/>
        </w:rPr>
        <w:t>55%</w:t>
      </w:r>
      <w:r>
        <w:rPr>
          <w:rFonts w:hAnsi="仿宋_GB2312"/>
          <w:szCs w:val="32"/>
        </w:rPr>
        <w:t>、</w:t>
      </w:r>
      <w:r>
        <w:rPr>
          <w:szCs w:val="32"/>
        </w:rPr>
        <w:t>35%</w:t>
      </w:r>
      <w:r>
        <w:rPr>
          <w:rFonts w:hAnsi="仿宋_GB2312"/>
          <w:szCs w:val="32"/>
        </w:rPr>
        <w:t>以上；安徽、江西</w:t>
      </w:r>
      <w:r>
        <w:rPr>
          <w:szCs w:val="32"/>
        </w:rPr>
        <w:t>2</w:t>
      </w:r>
      <w:r>
        <w:rPr>
          <w:rFonts w:hAnsi="仿宋_GB2312"/>
          <w:szCs w:val="32"/>
        </w:rPr>
        <w:t>省分别有</w:t>
      </w:r>
      <w:r>
        <w:rPr>
          <w:szCs w:val="32"/>
        </w:rPr>
        <w:t>90%</w:t>
      </w:r>
      <w:r>
        <w:rPr>
          <w:rFonts w:hAnsi="仿宋_GB2312"/>
          <w:szCs w:val="32"/>
        </w:rPr>
        <w:t>、</w:t>
      </w:r>
      <w:r>
        <w:rPr>
          <w:szCs w:val="32"/>
        </w:rPr>
        <w:t>70%</w:t>
      </w:r>
      <w:r>
        <w:rPr>
          <w:rFonts w:hAnsi="仿宋_GB2312"/>
          <w:szCs w:val="32"/>
        </w:rPr>
        <w:t>以上的流行县达到传播阻断标准，达到消除标准的流行县分别</w:t>
      </w:r>
      <w:proofErr w:type="gramStart"/>
      <w:r>
        <w:rPr>
          <w:rFonts w:hAnsi="仿宋_GB2312"/>
          <w:szCs w:val="32"/>
        </w:rPr>
        <w:t>占流行</w:t>
      </w:r>
      <w:proofErr w:type="gramEnd"/>
      <w:r>
        <w:rPr>
          <w:rFonts w:hAnsi="仿宋_GB2312"/>
          <w:szCs w:val="32"/>
        </w:rPr>
        <w:t>县总数的</w:t>
      </w:r>
      <w:r>
        <w:rPr>
          <w:szCs w:val="32"/>
        </w:rPr>
        <w:t>45%</w:t>
      </w:r>
      <w:r>
        <w:rPr>
          <w:rFonts w:hAnsi="仿宋_GB2312"/>
          <w:szCs w:val="32"/>
        </w:rPr>
        <w:t>、</w:t>
      </w:r>
      <w:r>
        <w:rPr>
          <w:szCs w:val="32"/>
        </w:rPr>
        <w:t>60%</w:t>
      </w:r>
      <w:r>
        <w:rPr>
          <w:rFonts w:hAnsi="仿宋_GB2312"/>
          <w:szCs w:val="32"/>
        </w:rPr>
        <w:t>以上。</w:t>
      </w:r>
      <w:r>
        <w:rPr>
          <w:szCs w:val="32"/>
        </w:rPr>
        <w:t>目标进度表和目标计划表见附件</w:t>
      </w:r>
      <w:r>
        <w:rPr>
          <w:szCs w:val="32"/>
        </w:rPr>
        <w:t>1</w:t>
      </w:r>
      <w:r>
        <w:rPr>
          <w:szCs w:val="32"/>
        </w:rPr>
        <w:t>、</w:t>
      </w:r>
      <w:r>
        <w:rPr>
          <w:szCs w:val="32"/>
        </w:rPr>
        <w:t>2</w:t>
      </w:r>
      <w:r>
        <w:rPr>
          <w:szCs w:val="32"/>
        </w:rPr>
        <w:t>。</w:t>
      </w:r>
    </w:p>
    <w:p w:rsidR="0006759F" w:rsidRDefault="0006759F" w:rsidP="0006759F">
      <w:pPr>
        <w:snapToGrid w:val="0"/>
        <w:spacing w:line="580" w:lineRule="exact"/>
        <w:ind w:firstLineChars="200" w:firstLine="640"/>
        <w:outlineLvl w:val="0"/>
        <w:rPr>
          <w:rFonts w:hint="eastAsia"/>
          <w:szCs w:val="32"/>
        </w:rPr>
      </w:pPr>
      <w:r>
        <w:rPr>
          <w:rFonts w:eastAsia="楷体_GB2312"/>
          <w:szCs w:val="32"/>
        </w:rPr>
        <w:t>（三）主要工作指标。</w:t>
      </w:r>
      <w:r>
        <w:rPr>
          <w:szCs w:val="32"/>
        </w:rPr>
        <w:t>为确保实现上述规划目标，到</w:t>
      </w:r>
      <w:r>
        <w:rPr>
          <w:szCs w:val="32"/>
        </w:rPr>
        <w:t>2020</w:t>
      </w:r>
      <w:r>
        <w:rPr>
          <w:szCs w:val="32"/>
        </w:rPr>
        <w:t>年，应完成以下主要工作指标。</w:t>
      </w:r>
    </w:p>
    <w:p w:rsidR="0006759F" w:rsidRDefault="0006759F" w:rsidP="0006759F">
      <w:pPr>
        <w:snapToGrid w:val="0"/>
        <w:spacing w:line="580" w:lineRule="exact"/>
        <w:ind w:firstLineChars="200" w:firstLine="643"/>
        <w:outlineLvl w:val="0"/>
        <w:rPr>
          <w:rFonts w:eastAsia="楷体"/>
          <w:b/>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1"/>
        <w:gridCol w:w="2198"/>
        <w:gridCol w:w="2196"/>
      </w:tblGrid>
      <w:tr w:rsidR="0006759F" w:rsidTr="002A0962">
        <w:trPr>
          <w:trHeight w:val="439"/>
        </w:trPr>
        <w:tc>
          <w:tcPr>
            <w:tcW w:w="4441" w:type="dxa"/>
            <w:vAlign w:val="center"/>
          </w:tcPr>
          <w:p w:rsidR="0006759F" w:rsidRDefault="0006759F" w:rsidP="002A0962">
            <w:pPr>
              <w:spacing w:line="580" w:lineRule="exact"/>
              <w:jc w:val="center"/>
              <w:rPr>
                <w:b/>
                <w:color w:val="000000"/>
                <w:kern w:val="0"/>
                <w:sz w:val="28"/>
                <w:szCs w:val="28"/>
              </w:rPr>
            </w:pPr>
            <w:r>
              <w:rPr>
                <w:b/>
                <w:color w:val="000000"/>
                <w:kern w:val="0"/>
                <w:sz w:val="28"/>
                <w:szCs w:val="28"/>
              </w:rPr>
              <w:t>工作指标</w:t>
            </w:r>
          </w:p>
        </w:tc>
        <w:tc>
          <w:tcPr>
            <w:tcW w:w="2198" w:type="dxa"/>
          </w:tcPr>
          <w:p w:rsidR="0006759F" w:rsidRDefault="0006759F" w:rsidP="002A0962">
            <w:pPr>
              <w:spacing w:line="580" w:lineRule="exact"/>
              <w:jc w:val="center"/>
              <w:rPr>
                <w:b/>
                <w:color w:val="000000"/>
                <w:kern w:val="0"/>
                <w:sz w:val="28"/>
                <w:szCs w:val="28"/>
              </w:rPr>
            </w:pPr>
            <w:r>
              <w:rPr>
                <w:b/>
                <w:color w:val="000000"/>
                <w:kern w:val="0"/>
                <w:sz w:val="28"/>
                <w:szCs w:val="28"/>
              </w:rPr>
              <w:t>2015</w:t>
            </w:r>
            <w:r>
              <w:rPr>
                <w:b/>
                <w:color w:val="000000"/>
                <w:kern w:val="0"/>
                <w:sz w:val="28"/>
                <w:szCs w:val="28"/>
              </w:rPr>
              <w:t>年基数</w:t>
            </w:r>
          </w:p>
        </w:tc>
        <w:tc>
          <w:tcPr>
            <w:tcW w:w="2196" w:type="dxa"/>
            <w:vAlign w:val="center"/>
          </w:tcPr>
          <w:p w:rsidR="0006759F" w:rsidRDefault="0006759F" w:rsidP="002A0962">
            <w:pPr>
              <w:spacing w:line="580" w:lineRule="exact"/>
              <w:jc w:val="center"/>
              <w:rPr>
                <w:b/>
                <w:color w:val="000000"/>
                <w:kern w:val="0"/>
                <w:sz w:val="28"/>
                <w:szCs w:val="28"/>
              </w:rPr>
            </w:pPr>
            <w:r>
              <w:rPr>
                <w:b/>
                <w:color w:val="000000"/>
                <w:kern w:val="0"/>
                <w:sz w:val="28"/>
                <w:szCs w:val="28"/>
              </w:rPr>
              <w:t>2020</w:t>
            </w:r>
            <w:r>
              <w:rPr>
                <w:b/>
                <w:color w:val="000000"/>
                <w:kern w:val="0"/>
                <w:sz w:val="28"/>
                <w:szCs w:val="28"/>
              </w:rPr>
              <w:t>年目标</w:t>
            </w:r>
          </w:p>
        </w:tc>
      </w:tr>
      <w:tr w:rsidR="0006759F" w:rsidTr="002A0962">
        <w:trPr>
          <w:trHeight w:val="600"/>
        </w:trPr>
        <w:tc>
          <w:tcPr>
            <w:tcW w:w="4441" w:type="dxa"/>
            <w:vAlign w:val="center"/>
          </w:tcPr>
          <w:p w:rsidR="0006759F" w:rsidRDefault="0006759F" w:rsidP="002A0962">
            <w:pPr>
              <w:spacing w:line="580" w:lineRule="exact"/>
              <w:rPr>
                <w:color w:val="000000"/>
                <w:kern w:val="0"/>
                <w:sz w:val="28"/>
                <w:szCs w:val="28"/>
              </w:rPr>
            </w:pPr>
            <w:r>
              <w:rPr>
                <w:color w:val="000000"/>
                <w:kern w:val="0"/>
                <w:sz w:val="28"/>
                <w:szCs w:val="28"/>
              </w:rPr>
              <w:lastRenderedPageBreak/>
              <w:t xml:space="preserve">1. </w:t>
            </w:r>
            <w:r>
              <w:rPr>
                <w:color w:val="000000"/>
                <w:kern w:val="0"/>
                <w:sz w:val="28"/>
                <w:szCs w:val="28"/>
              </w:rPr>
              <w:t>人群血吸虫病筛查率</w:t>
            </w:r>
          </w:p>
        </w:tc>
        <w:tc>
          <w:tcPr>
            <w:tcW w:w="2198" w:type="dxa"/>
            <w:vAlign w:val="center"/>
          </w:tcPr>
          <w:p w:rsidR="0006759F" w:rsidRDefault="0006759F" w:rsidP="002A0962">
            <w:pPr>
              <w:spacing w:line="580" w:lineRule="exact"/>
              <w:jc w:val="center"/>
              <w:rPr>
                <w:kern w:val="0"/>
                <w:sz w:val="28"/>
                <w:szCs w:val="28"/>
              </w:rPr>
            </w:pPr>
            <w:r>
              <w:rPr>
                <w:rFonts w:eastAsia="宋体"/>
                <w:color w:val="000000"/>
                <w:sz w:val="28"/>
                <w:szCs w:val="28"/>
              </w:rPr>
              <w:t>78%</w:t>
            </w:r>
          </w:p>
        </w:tc>
        <w:tc>
          <w:tcPr>
            <w:tcW w:w="2196" w:type="dxa"/>
            <w:vAlign w:val="center"/>
          </w:tcPr>
          <w:p w:rsidR="0006759F" w:rsidRDefault="0006759F" w:rsidP="002A0962">
            <w:pPr>
              <w:spacing w:line="580" w:lineRule="exact"/>
              <w:jc w:val="center"/>
              <w:rPr>
                <w:kern w:val="0"/>
                <w:sz w:val="28"/>
                <w:szCs w:val="28"/>
              </w:rPr>
            </w:pPr>
            <w:r>
              <w:rPr>
                <w:kern w:val="0"/>
                <w:sz w:val="28"/>
                <w:szCs w:val="28"/>
              </w:rPr>
              <w:t>90%</w:t>
            </w:r>
          </w:p>
        </w:tc>
      </w:tr>
      <w:tr w:rsidR="0006759F" w:rsidTr="002A0962">
        <w:trPr>
          <w:trHeight w:val="600"/>
        </w:trPr>
        <w:tc>
          <w:tcPr>
            <w:tcW w:w="4441" w:type="dxa"/>
            <w:vAlign w:val="center"/>
          </w:tcPr>
          <w:p w:rsidR="0006759F" w:rsidRDefault="0006759F" w:rsidP="002A0962">
            <w:pPr>
              <w:spacing w:line="580" w:lineRule="exact"/>
              <w:rPr>
                <w:kern w:val="0"/>
                <w:sz w:val="28"/>
                <w:szCs w:val="28"/>
              </w:rPr>
            </w:pPr>
            <w:r>
              <w:rPr>
                <w:kern w:val="0"/>
                <w:sz w:val="28"/>
                <w:szCs w:val="28"/>
              </w:rPr>
              <w:t xml:space="preserve">2. </w:t>
            </w:r>
            <w:r>
              <w:rPr>
                <w:kern w:val="0"/>
                <w:sz w:val="28"/>
                <w:szCs w:val="28"/>
              </w:rPr>
              <w:t>家畜血吸虫病筛查率</w:t>
            </w:r>
          </w:p>
        </w:tc>
        <w:tc>
          <w:tcPr>
            <w:tcW w:w="2198" w:type="dxa"/>
            <w:vAlign w:val="center"/>
          </w:tcPr>
          <w:p w:rsidR="0006759F" w:rsidRDefault="0006759F" w:rsidP="002A0962">
            <w:pPr>
              <w:spacing w:line="580" w:lineRule="exact"/>
              <w:jc w:val="center"/>
              <w:rPr>
                <w:kern w:val="0"/>
                <w:sz w:val="28"/>
                <w:szCs w:val="28"/>
              </w:rPr>
            </w:pPr>
            <w:r>
              <w:rPr>
                <w:rFonts w:eastAsia="宋体"/>
                <w:color w:val="000000"/>
                <w:sz w:val="28"/>
                <w:szCs w:val="28"/>
              </w:rPr>
              <w:t>71%</w:t>
            </w:r>
          </w:p>
        </w:tc>
        <w:tc>
          <w:tcPr>
            <w:tcW w:w="2196" w:type="dxa"/>
            <w:vAlign w:val="center"/>
          </w:tcPr>
          <w:p w:rsidR="0006759F" w:rsidRDefault="0006759F" w:rsidP="002A0962">
            <w:pPr>
              <w:spacing w:line="580" w:lineRule="exact"/>
              <w:jc w:val="center"/>
              <w:rPr>
                <w:kern w:val="0"/>
                <w:sz w:val="28"/>
                <w:szCs w:val="28"/>
              </w:rPr>
            </w:pPr>
            <w:r>
              <w:rPr>
                <w:kern w:val="0"/>
                <w:sz w:val="28"/>
                <w:szCs w:val="28"/>
              </w:rPr>
              <w:t>90%</w:t>
            </w:r>
          </w:p>
        </w:tc>
      </w:tr>
      <w:tr w:rsidR="0006759F" w:rsidTr="002A0962">
        <w:trPr>
          <w:trHeight w:val="600"/>
        </w:trPr>
        <w:tc>
          <w:tcPr>
            <w:tcW w:w="4441" w:type="dxa"/>
            <w:vAlign w:val="center"/>
          </w:tcPr>
          <w:p w:rsidR="0006759F" w:rsidRDefault="0006759F" w:rsidP="002A0962">
            <w:pPr>
              <w:spacing w:line="580" w:lineRule="exact"/>
              <w:rPr>
                <w:color w:val="000000"/>
                <w:kern w:val="0"/>
                <w:sz w:val="28"/>
                <w:szCs w:val="28"/>
              </w:rPr>
            </w:pPr>
            <w:r>
              <w:rPr>
                <w:color w:val="000000"/>
                <w:kern w:val="0"/>
                <w:sz w:val="28"/>
                <w:szCs w:val="28"/>
              </w:rPr>
              <w:t xml:space="preserve">3. </w:t>
            </w:r>
            <w:proofErr w:type="gramStart"/>
            <w:r>
              <w:rPr>
                <w:color w:val="000000"/>
                <w:kern w:val="0"/>
                <w:sz w:val="28"/>
                <w:szCs w:val="28"/>
              </w:rPr>
              <w:t>疫</w:t>
            </w:r>
            <w:proofErr w:type="gramEnd"/>
            <w:r>
              <w:rPr>
                <w:color w:val="000000"/>
                <w:kern w:val="0"/>
                <w:sz w:val="28"/>
                <w:szCs w:val="28"/>
              </w:rPr>
              <w:t>点处置率</w:t>
            </w:r>
          </w:p>
        </w:tc>
        <w:tc>
          <w:tcPr>
            <w:tcW w:w="2198" w:type="dxa"/>
            <w:vAlign w:val="center"/>
          </w:tcPr>
          <w:p w:rsidR="0006759F" w:rsidRDefault="0006759F" w:rsidP="002A0962">
            <w:pPr>
              <w:spacing w:line="580" w:lineRule="exact"/>
              <w:jc w:val="center"/>
              <w:rPr>
                <w:rFonts w:eastAsia="宋体"/>
                <w:color w:val="000000"/>
                <w:sz w:val="28"/>
                <w:szCs w:val="28"/>
              </w:rPr>
            </w:pPr>
            <w:r>
              <w:rPr>
                <w:rFonts w:eastAsia="宋体"/>
                <w:color w:val="000000"/>
                <w:sz w:val="28"/>
                <w:szCs w:val="28"/>
              </w:rPr>
              <w:t>88%</w:t>
            </w:r>
          </w:p>
        </w:tc>
        <w:tc>
          <w:tcPr>
            <w:tcW w:w="2196" w:type="dxa"/>
            <w:vAlign w:val="center"/>
          </w:tcPr>
          <w:p w:rsidR="0006759F" w:rsidRDefault="0006759F" w:rsidP="002A0962">
            <w:pPr>
              <w:spacing w:line="580" w:lineRule="exact"/>
              <w:jc w:val="center"/>
              <w:rPr>
                <w:kern w:val="0"/>
                <w:sz w:val="28"/>
                <w:szCs w:val="28"/>
              </w:rPr>
            </w:pPr>
            <w:r>
              <w:rPr>
                <w:kern w:val="0"/>
                <w:sz w:val="28"/>
                <w:szCs w:val="28"/>
              </w:rPr>
              <w:t>100%</w:t>
            </w:r>
          </w:p>
        </w:tc>
      </w:tr>
      <w:tr w:rsidR="0006759F" w:rsidTr="002A0962">
        <w:trPr>
          <w:trHeight w:val="600"/>
        </w:trPr>
        <w:tc>
          <w:tcPr>
            <w:tcW w:w="4441" w:type="dxa"/>
            <w:vAlign w:val="center"/>
          </w:tcPr>
          <w:p w:rsidR="0006759F" w:rsidRDefault="0006759F" w:rsidP="002A0962">
            <w:pPr>
              <w:spacing w:line="580" w:lineRule="exact"/>
              <w:rPr>
                <w:color w:val="000000"/>
                <w:kern w:val="0"/>
                <w:sz w:val="28"/>
                <w:szCs w:val="28"/>
              </w:rPr>
            </w:pPr>
            <w:r>
              <w:rPr>
                <w:color w:val="000000"/>
                <w:kern w:val="0"/>
                <w:sz w:val="28"/>
                <w:szCs w:val="28"/>
              </w:rPr>
              <w:t xml:space="preserve">4. </w:t>
            </w:r>
            <w:r>
              <w:rPr>
                <w:color w:val="000000"/>
                <w:kern w:val="0"/>
                <w:sz w:val="28"/>
                <w:szCs w:val="28"/>
              </w:rPr>
              <w:t>家畜圈养率</w:t>
            </w:r>
          </w:p>
        </w:tc>
        <w:tc>
          <w:tcPr>
            <w:tcW w:w="2198" w:type="dxa"/>
            <w:vAlign w:val="center"/>
          </w:tcPr>
          <w:p w:rsidR="0006759F" w:rsidRDefault="0006759F" w:rsidP="002A0962">
            <w:pPr>
              <w:spacing w:line="580" w:lineRule="exact"/>
              <w:jc w:val="center"/>
              <w:rPr>
                <w:kern w:val="0"/>
                <w:sz w:val="28"/>
                <w:szCs w:val="28"/>
              </w:rPr>
            </w:pPr>
            <w:r>
              <w:rPr>
                <w:rFonts w:eastAsia="宋体"/>
                <w:color w:val="000000"/>
                <w:sz w:val="28"/>
                <w:szCs w:val="28"/>
              </w:rPr>
              <w:t>61%</w:t>
            </w:r>
          </w:p>
        </w:tc>
        <w:tc>
          <w:tcPr>
            <w:tcW w:w="2196" w:type="dxa"/>
            <w:vAlign w:val="center"/>
          </w:tcPr>
          <w:p w:rsidR="0006759F" w:rsidRDefault="0006759F" w:rsidP="002A0962">
            <w:pPr>
              <w:spacing w:line="580" w:lineRule="exact"/>
              <w:jc w:val="center"/>
              <w:rPr>
                <w:kern w:val="0"/>
                <w:sz w:val="28"/>
                <w:szCs w:val="28"/>
              </w:rPr>
            </w:pPr>
            <w:r>
              <w:rPr>
                <w:kern w:val="0"/>
                <w:sz w:val="28"/>
                <w:szCs w:val="28"/>
              </w:rPr>
              <w:t>90%</w:t>
            </w:r>
          </w:p>
        </w:tc>
      </w:tr>
      <w:tr w:rsidR="0006759F" w:rsidTr="002A0962">
        <w:trPr>
          <w:trHeight w:val="600"/>
        </w:trPr>
        <w:tc>
          <w:tcPr>
            <w:tcW w:w="4441" w:type="dxa"/>
            <w:vAlign w:val="center"/>
          </w:tcPr>
          <w:p w:rsidR="0006759F" w:rsidRDefault="0006759F" w:rsidP="002A0962">
            <w:pPr>
              <w:spacing w:line="580" w:lineRule="exact"/>
              <w:rPr>
                <w:color w:val="000000"/>
                <w:kern w:val="0"/>
                <w:sz w:val="28"/>
                <w:szCs w:val="28"/>
              </w:rPr>
            </w:pPr>
            <w:r>
              <w:rPr>
                <w:color w:val="000000"/>
                <w:kern w:val="0"/>
                <w:sz w:val="28"/>
                <w:szCs w:val="28"/>
              </w:rPr>
              <w:t xml:space="preserve">5. </w:t>
            </w:r>
            <w:r>
              <w:rPr>
                <w:color w:val="000000"/>
                <w:kern w:val="0"/>
                <w:sz w:val="28"/>
                <w:szCs w:val="28"/>
              </w:rPr>
              <w:t>有螺地带禁牧率</w:t>
            </w:r>
          </w:p>
        </w:tc>
        <w:tc>
          <w:tcPr>
            <w:tcW w:w="2198" w:type="dxa"/>
            <w:vAlign w:val="center"/>
          </w:tcPr>
          <w:p w:rsidR="0006759F" w:rsidRDefault="0006759F" w:rsidP="002A0962">
            <w:pPr>
              <w:spacing w:line="580" w:lineRule="exact"/>
              <w:jc w:val="center"/>
              <w:rPr>
                <w:kern w:val="0"/>
                <w:sz w:val="28"/>
                <w:szCs w:val="28"/>
              </w:rPr>
            </w:pPr>
            <w:r>
              <w:rPr>
                <w:rFonts w:eastAsia="宋体"/>
                <w:color w:val="000000"/>
                <w:sz w:val="28"/>
                <w:szCs w:val="28"/>
              </w:rPr>
              <w:t>86%</w:t>
            </w:r>
          </w:p>
        </w:tc>
        <w:tc>
          <w:tcPr>
            <w:tcW w:w="2196" w:type="dxa"/>
            <w:vAlign w:val="center"/>
          </w:tcPr>
          <w:p w:rsidR="0006759F" w:rsidRDefault="0006759F" w:rsidP="002A0962">
            <w:pPr>
              <w:spacing w:line="580" w:lineRule="exact"/>
              <w:jc w:val="center"/>
              <w:rPr>
                <w:kern w:val="0"/>
                <w:sz w:val="28"/>
                <w:szCs w:val="28"/>
              </w:rPr>
            </w:pPr>
            <w:r>
              <w:rPr>
                <w:kern w:val="0"/>
                <w:sz w:val="28"/>
                <w:szCs w:val="28"/>
              </w:rPr>
              <w:t>100%</w:t>
            </w:r>
          </w:p>
        </w:tc>
      </w:tr>
      <w:tr w:rsidR="0006759F" w:rsidTr="002A0962">
        <w:trPr>
          <w:trHeight w:val="600"/>
        </w:trPr>
        <w:tc>
          <w:tcPr>
            <w:tcW w:w="4441" w:type="dxa"/>
            <w:vAlign w:val="center"/>
          </w:tcPr>
          <w:p w:rsidR="0006759F" w:rsidRDefault="0006759F" w:rsidP="002A0962">
            <w:pPr>
              <w:spacing w:line="580" w:lineRule="exact"/>
              <w:rPr>
                <w:color w:val="000000"/>
                <w:kern w:val="0"/>
                <w:sz w:val="28"/>
                <w:szCs w:val="28"/>
              </w:rPr>
            </w:pPr>
            <w:r>
              <w:rPr>
                <w:color w:val="000000"/>
                <w:kern w:val="0"/>
                <w:sz w:val="28"/>
                <w:szCs w:val="28"/>
              </w:rPr>
              <w:t xml:space="preserve">6. </w:t>
            </w:r>
            <w:r>
              <w:rPr>
                <w:color w:val="000000"/>
                <w:kern w:val="0"/>
                <w:sz w:val="28"/>
                <w:szCs w:val="28"/>
              </w:rPr>
              <w:t>有螺河道治理率</w:t>
            </w:r>
          </w:p>
        </w:tc>
        <w:tc>
          <w:tcPr>
            <w:tcW w:w="2198" w:type="dxa"/>
            <w:vAlign w:val="center"/>
          </w:tcPr>
          <w:p w:rsidR="0006759F" w:rsidRDefault="0006759F" w:rsidP="002A0962">
            <w:pPr>
              <w:spacing w:line="580" w:lineRule="exact"/>
              <w:jc w:val="center"/>
              <w:rPr>
                <w:kern w:val="0"/>
                <w:sz w:val="28"/>
                <w:szCs w:val="28"/>
              </w:rPr>
            </w:pPr>
            <w:r>
              <w:rPr>
                <w:rFonts w:eastAsia="宋体"/>
                <w:color w:val="000000"/>
                <w:sz w:val="28"/>
                <w:szCs w:val="28"/>
              </w:rPr>
              <w:t>68%</w:t>
            </w:r>
          </w:p>
        </w:tc>
        <w:tc>
          <w:tcPr>
            <w:tcW w:w="2196" w:type="dxa"/>
            <w:vAlign w:val="center"/>
          </w:tcPr>
          <w:p w:rsidR="0006759F" w:rsidRDefault="0006759F" w:rsidP="002A0962">
            <w:pPr>
              <w:spacing w:line="580" w:lineRule="exact"/>
              <w:jc w:val="center"/>
              <w:rPr>
                <w:kern w:val="0"/>
                <w:sz w:val="28"/>
                <w:szCs w:val="28"/>
              </w:rPr>
            </w:pPr>
            <w:r>
              <w:rPr>
                <w:kern w:val="0"/>
                <w:sz w:val="28"/>
                <w:szCs w:val="28"/>
              </w:rPr>
              <w:t>90%</w:t>
            </w:r>
          </w:p>
        </w:tc>
      </w:tr>
      <w:tr w:rsidR="0006759F" w:rsidTr="002A0962">
        <w:trPr>
          <w:trHeight w:val="600"/>
        </w:trPr>
        <w:tc>
          <w:tcPr>
            <w:tcW w:w="4441" w:type="dxa"/>
            <w:vAlign w:val="center"/>
          </w:tcPr>
          <w:p w:rsidR="0006759F" w:rsidRDefault="0006759F" w:rsidP="002A0962">
            <w:pPr>
              <w:spacing w:line="580" w:lineRule="exact"/>
              <w:rPr>
                <w:color w:val="000000"/>
                <w:kern w:val="0"/>
                <w:sz w:val="28"/>
                <w:szCs w:val="28"/>
              </w:rPr>
            </w:pPr>
            <w:r>
              <w:rPr>
                <w:color w:val="000000"/>
                <w:kern w:val="0"/>
                <w:sz w:val="28"/>
                <w:szCs w:val="28"/>
              </w:rPr>
              <w:t xml:space="preserve">7. </w:t>
            </w:r>
            <w:proofErr w:type="gramStart"/>
            <w:r>
              <w:rPr>
                <w:color w:val="000000"/>
                <w:kern w:val="0"/>
                <w:sz w:val="28"/>
                <w:szCs w:val="28"/>
              </w:rPr>
              <w:t>抑螺防病</w:t>
            </w:r>
            <w:proofErr w:type="gramEnd"/>
            <w:r>
              <w:rPr>
                <w:color w:val="000000"/>
                <w:kern w:val="0"/>
                <w:sz w:val="28"/>
                <w:szCs w:val="28"/>
              </w:rPr>
              <w:t>林覆盖率</w:t>
            </w:r>
          </w:p>
        </w:tc>
        <w:tc>
          <w:tcPr>
            <w:tcW w:w="2198" w:type="dxa"/>
            <w:vAlign w:val="center"/>
          </w:tcPr>
          <w:p w:rsidR="0006759F" w:rsidRDefault="0006759F" w:rsidP="002A0962">
            <w:pPr>
              <w:spacing w:line="580" w:lineRule="exact"/>
              <w:jc w:val="center"/>
              <w:rPr>
                <w:kern w:val="0"/>
                <w:sz w:val="28"/>
                <w:szCs w:val="28"/>
              </w:rPr>
            </w:pPr>
            <w:r>
              <w:rPr>
                <w:rFonts w:eastAsia="宋体"/>
                <w:color w:val="000000"/>
                <w:sz w:val="28"/>
                <w:szCs w:val="28"/>
              </w:rPr>
              <w:t>87%</w:t>
            </w:r>
          </w:p>
        </w:tc>
        <w:tc>
          <w:tcPr>
            <w:tcW w:w="2196" w:type="dxa"/>
            <w:vAlign w:val="center"/>
          </w:tcPr>
          <w:p w:rsidR="0006759F" w:rsidRDefault="0006759F" w:rsidP="002A0962">
            <w:pPr>
              <w:spacing w:line="580" w:lineRule="exact"/>
              <w:jc w:val="center"/>
              <w:rPr>
                <w:kern w:val="0"/>
                <w:sz w:val="28"/>
                <w:szCs w:val="28"/>
              </w:rPr>
            </w:pPr>
            <w:r>
              <w:rPr>
                <w:kern w:val="0"/>
                <w:sz w:val="28"/>
                <w:szCs w:val="28"/>
              </w:rPr>
              <w:t>95%</w:t>
            </w:r>
          </w:p>
        </w:tc>
      </w:tr>
      <w:tr w:rsidR="0006759F" w:rsidTr="002A0962">
        <w:trPr>
          <w:trHeight w:val="600"/>
        </w:trPr>
        <w:tc>
          <w:tcPr>
            <w:tcW w:w="4441" w:type="dxa"/>
            <w:vAlign w:val="center"/>
          </w:tcPr>
          <w:p w:rsidR="0006759F" w:rsidRDefault="0006759F" w:rsidP="002A0962">
            <w:pPr>
              <w:spacing w:line="580" w:lineRule="exact"/>
              <w:rPr>
                <w:color w:val="000000"/>
                <w:kern w:val="0"/>
                <w:sz w:val="28"/>
                <w:szCs w:val="28"/>
              </w:rPr>
            </w:pPr>
            <w:r>
              <w:rPr>
                <w:color w:val="000000"/>
                <w:kern w:val="0"/>
                <w:sz w:val="28"/>
                <w:szCs w:val="28"/>
              </w:rPr>
              <w:t xml:space="preserve">8. </w:t>
            </w:r>
            <w:r>
              <w:rPr>
                <w:color w:val="000000"/>
                <w:kern w:val="0"/>
                <w:sz w:val="28"/>
                <w:szCs w:val="28"/>
              </w:rPr>
              <w:t>药物灭螺覆盖率</w:t>
            </w:r>
          </w:p>
        </w:tc>
        <w:tc>
          <w:tcPr>
            <w:tcW w:w="2198" w:type="dxa"/>
            <w:vAlign w:val="center"/>
          </w:tcPr>
          <w:p w:rsidR="0006759F" w:rsidRDefault="0006759F" w:rsidP="002A0962">
            <w:pPr>
              <w:spacing w:line="580" w:lineRule="exact"/>
              <w:jc w:val="center"/>
              <w:rPr>
                <w:kern w:val="0"/>
                <w:sz w:val="28"/>
                <w:szCs w:val="28"/>
              </w:rPr>
            </w:pPr>
            <w:r>
              <w:rPr>
                <w:rFonts w:eastAsia="宋体"/>
                <w:color w:val="000000"/>
                <w:sz w:val="28"/>
                <w:szCs w:val="28"/>
              </w:rPr>
              <w:t>60%</w:t>
            </w:r>
          </w:p>
        </w:tc>
        <w:tc>
          <w:tcPr>
            <w:tcW w:w="2196" w:type="dxa"/>
            <w:vAlign w:val="center"/>
          </w:tcPr>
          <w:p w:rsidR="0006759F" w:rsidRDefault="0006759F" w:rsidP="002A0962">
            <w:pPr>
              <w:spacing w:line="580" w:lineRule="exact"/>
              <w:jc w:val="center"/>
              <w:rPr>
                <w:kern w:val="0"/>
                <w:sz w:val="28"/>
                <w:szCs w:val="28"/>
              </w:rPr>
            </w:pPr>
            <w:r>
              <w:rPr>
                <w:kern w:val="0"/>
                <w:sz w:val="28"/>
                <w:szCs w:val="28"/>
              </w:rPr>
              <w:t>90%</w:t>
            </w:r>
          </w:p>
        </w:tc>
      </w:tr>
      <w:tr w:rsidR="0006759F" w:rsidTr="002A0962">
        <w:trPr>
          <w:trHeight w:val="600"/>
        </w:trPr>
        <w:tc>
          <w:tcPr>
            <w:tcW w:w="4441" w:type="dxa"/>
            <w:vAlign w:val="center"/>
          </w:tcPr>
          <w:p w:rsidR="0006759F" w:rsidRDefault="0006759F" w:rsidP="002A0962">
            <w:pPr>
              <w:spacing w:line="580" w:lineRule="exact"/>
              <w:rPr>
                <w:color w:val="000000"/>
                <w:kern w:val="0"/>
                <w:sz w:val="28"/>
                <w:szCs w:val="28"/>
              </w:rPr>
            </w:pPr>
            <w:r>
              <w:rPr>
                <w:color w:val="000000"/>
                <w:kern w:val="0"/>
                <w:sz w:val="28"/>
                <w:szCs w:val="28"/>
              </w:rPr>
              <w:t xml:space="preserve">9. </w:t>
            </w:r>
            <w:r>
              <w:rPr>
                <w:color w:val="000000"/>
                <w:kern w:val="0"/>
                <w:sz w:val="28"/>
                <w:szCs w:val="28"/>
              </w:rPr>
              <w:t>无害</w:t>
            </w:r>
            <w:proofErr w:type="gramStart"/>
            <w:r>
              <w:rPr>
                <w:color w:val="000000"/>
                <w:kern w:val="0"/>
                <w:sz w:val="28"/>
                <w:szCs w:val="28"/>
              </w:rPr>
              <w:t>化卫生</w:t>
            </w:r>
            <w:proofErr w:type="gramEnd"/>
            <w:r>
              <w:rPr>
                <w:color w:val="000000"/>
                <w:kern w:val="0"/>
                <w:sz w:val="28"/>
                <w:szCs w:val="28"/>
              </w:rPr>
              <w:t>厕所普及率</w:t>
            </w:r>
          </w:p>
        </w:tc>
        <w:tc>
          <w:tcPr>
            <w:tcW w:w="2198" w:type="dxa"/>
            <w:vAlign w:val="center"/>
          </w:tcPr>
          <w:p w:rsidR="0006759F" w:rsidRDefault="0006759F" w:rsidP="002A0962">
            <w:pPr>
              <w:spacing w:line="580" w:lineRule="exact"/>
              <w:jc w:val="center"/>
              <w:rPr>
                <w:kern w:val="0"/>
                <w:sz w:val="28"/>
                <w:szCs w:val="28"/>
              </w:rPr>
            </w:pPr>
            <w:r>
              <w:rPr>
                <w:rFonts w:eastAsia="宋体"/>
                <w:color w:val="000000"/>
                <w:sz w:val="28"/>
                <w:szCs w:val="28"/>
              </w:rPr>
              <w:t>59%</w:t>
            </w:r>
          </w:p>
        </w:tc>
        <w:tc>
          <w:tcPr>
            <w:tcW w:w="2196" w:type="dxa"/>
            <w:vAlign w:val="center"/>
          </w:tcPr>
          <w:p w:rsidR="0006759F" w:rsidRDefault="0006759F" w:rsidP="002A0962">
            <w:pPr>
              <w:spacing w:line="580" w:lineRule="exact"/>
              <w:jc w:val="center"/>
              <w:rPr>
                <w:kern w:val="0"/>
                <w:sz w:val="28"/>
                <w:szCs w:val="28"/>
              </w:rPr>
            </w:pPr>
            <w:r>
              <w:rPr>
                <w:kern w:val="0"/>
                <w:sz w:val="28"/>
                <w:szCs w:val="28"/>
              </w:rPr>
              <w:t>85%</w:t>
            </w:r>
          </w:p>
        </w:tc>
      </w:tr>
      <w:tr w:rsidR="0006759F" w:rsidTr="002A0962">
        <w:trPr>
          <w:trHeight w:val="600"/>
        </w:trPr>
        <w:tc>
          <w:tcPr>
            <w:tcW w:w="4441" w:type="dxa"/>
            <w:vAlign w:val="center"/>
          </w:tcPr>
          <w:p w:rsidR="0006759F" w:rsidRDefault="0006759F" w:rsidP="002A0962">
            <w:pPr>
              <w:spacing w:line="580" w:lineRule="exact"/>
              <w:rPr>
                <w:color w:val="000000"/>
                <w:kern w:val="0"/>
                <w:sz w:val="28"/>
                <w:szCs w:val="28"/>
              </w:rPr>
            </w:pPr>
            <w:r>
              <w:rPr>
                <w:color w:val="000000"/>
                <w:kern w:val="0"/>
                <w:sz w:val="28"/>
                <w:szCs w:val="28"/>
              </w:rPr>
              <w:t xml:space="preserve">10. </w:t>
            </w:r>
            <w:r>
              <w:rPr>
                <w:color w:val="000000"/>
                <w:kern w:val="0"/>
                <w:sz w:val="28"/>
                <w:szCs w:val="28"/>
              </w:rPr>
              <w:t>中小学生防治知识知晓率</w:t>
            </w:r>
          </w:p>
        </w:tc>
        <w:tc>
          <w:tcPr>
            <w:tcW w:w="2198" w:type="dxa"/>
            <w:vAlign w:val="center"/>
          </w:tcPr>
          <w:p w:rsidR="0006759F" w:rsidRDefault="0006759F" w:rsidP="002A0962">
            <w:pPr>
              <w:spacing w:line="580" w:lineRule="exact"/>
              <w:jc w:val="center"/>
              <w:rPr>
                <w:kern w:val="0"/>
                <w:sz w:val="28"/>
                <w:szCs w:val="28"/>
              </w:rPr>
            </w:pPr>
            <w:r>
              <w:rPr>
                <w:rFonts w:eastAsia="宋体"/>
                <w:color w:val="000000"/>
                <w:sz w:val="28"/>
                <w:szCs w:val="28"/>
              </w:rPr>
              <w:t>91%</w:t>
            </w:r>
          </w:p>
        </w:tc>
        <w:tc>
          <w:tcPr>
            <w:tcW w:w="2196" w:type="dxa"/>
            <w:vAlign w:val="center"/>
          </w:tcPr>
          <w:p w:rsidR="0006759F" w:rsidRDefault="0006759F" w:rsidP="002A0962">
            <w:pPr>
              <w:spacing w:line="580" w:lineRule="exact"/>
              <w:jc w:val="center"/>
              <w:rPr>
                <w:kern w:val="0"/>
                <w:sz w:val="28"/>
                <w:szCs w:val="28"/>
              </w:rPr>
            </w:pPr>
            <w:r>
              <w:rPr>
                <w:kern w:val="0"/>
                <w:sz w:val="28"/>
                <w:szCs w:val="28"/>
              </w:rPr>
              <w:t>95%</w:t>
            </w:r>
          </w:p>
        </w:tc>
      </w:tr>
      <w:tr w:rsidR="0006759F" w:rsidTr="002A0962">
        <w:trPr>
          <w:trHeight w:val="600"/>
        </w:trPr>
        <w:tc>
          <w:tcPr>
            <w:tcW w:w="4441" w:type="dxa"/>
            <w:vAlign w:val="center"/>
          </w:tcPr>
          <w:p w:rsidR="0006759F" w:rsidRDefault="0006759F" w:rsidP="002A0962">
            <w:pPr>
              <w:spacing w:line="580" w:lineRule="exact"/>
              <w:rPr>
                <w:color w:val="000000"/>
                <w:kern w:val="0"/>
                <w:sz w:val="28"/>
                <w:szCs w:val="28"/>
              </w:rPr>
            </w:pPr>
            <w:r>
              <w:rPr>
                <w:color w:val="000000"/>
                <w:kern w:val="0"/>
                <w:sz w:val="28"/>
                <w:szCs w:val="28"/>
              </w:rPr>
              <w:t xml:space="preserve">11. </w:t>
            </w:r>
            <w:r>
              <w:rPr>
                <w:color w:val="000000"/>
                <w:kern w:val="0"/>
                <w:sz w:val="28"/>
                <w:szCs w:val="28"/>
              </w:rPr>
              <w:t>监测任务完成率</w:t>
            </w:r>
          </w:p>
        </w:tc>
        <w:tc>
          <w:tcPr>
            <w:tcW w:w="2198" w:type="dxa"/>
            <w:vAlign w:val="center"/>
          </w:tcPr>
          <w:p w:rsidR="0006759F" w:rsidRDefault="0006759F" w:rsidP="002A0962">
            <w:pPr>
              <w:spacing w:line="580" w:lineRule="exact"/>
              <w:jc w:val="center"/>
              <w:rPr>
                <w:kern w:val="0"/>
                <w:sz w:val="28"/>
                <w:szCs w:val="28"/>
              </w:rPr>
            </w:pPr>
            <w:r>
              <w:rPr>
                <w:rFonts w:eastAsia="宋体"/>
                <w:color w:val="000000"/>
                <w:sz w:val="28"/>
                <w:szCs w:val="28"/>
              </w:rPr>
              <w:t>79%</w:t>
            </w:r>
          </w:p>
        </w:tc>
        <w:tc>
          <w:tcPr>
            <w:tcW w:w="2196" w:type="dxa"/>
            <w:vAlign w:val="center"/>
          </w:tcPr>
          <w:p w:rsidR="0006759F" w:rsidRDefault="0006759F" w:rsidP="002A0962">
            <w:pPr>
              <w:spacing w:line="580" w:lineRule="exact"/>
              <w:jc w:val="center"/>
              <w:rPr>
                <w:kern w:val="0"/>
                <w:sz w:val="28"/>
                <w:szCs w:val="28"/>
              </w:rPr>
            </w:pPr>
            <w:r>
              <w:rPr>
                <w:kern w:val="0"/>
                <w:sz w:val="28"/>
                <w:szCs w:val="28"/>
              </w:rPr>
              <w:t>95%</w:t>
            </w:r>
          </w:p>
        </w:tc>
      </w:tr>
    </w:tbl>
    <w:p w:rsidR="0006759F" w:rsidRDefault="0006759F" w:rsidP="0006759F">
      <w:pPr>
        <w:snapToGrid w:val="0"/>
        <w:spacing w:line="580" w:lineRule="exact"/>
        <w:ind w:firstLineChars="200" w:firstLine="640"/>
        <w:outlineLvl w:val="0"/>
        <w:rPr>
          <w:rFonts w:eastAsia="黑体"/>
          <w:szCs w:val="32"/>
        </w:rPr>
      </w:pPr>
      <w:r>
        <w:rPr>
          <w:rFonts w:eastAsia="黑体"/>
          <w:szCs w:val="32"/>
        </w:rPr>
        <w:t>三、防治策略</w:t>
      </w:r>
    </w:p>
    <w:p w:rsidR="0006759F" w:rsidRDefault="0006759F" w:rsidP="0006759F">
      <w:pPr>
        <w:snapToGrid w:val="0"/>
        <w:spacing w:line="580" w:lineRule="exact"/>
        <w:ind w:firstLineChars="200" w:firstLine="640"/>
        <w:outlineLvl w:val="0"/>
        <w:rPr>
          <w:szCs w:val="32"/>
        </w:rPr>
      </w:pPr>
      <w:r>
        <w:rPr>
          <w:szCs w:val="32"/>
        </w:rPr>
        <w:t>坚持以传染源控制为主的综合防治策略，加强监测预警，及早发现、处置疫情</w:t>
      </w:r>
      <w:r>
        <w:rPr>
          <w:rFonts w:hint="eastAsia"/>
          <w:szCs w:val="32"/>
        </w:rPr>
        <w:t>，</w:t>
      </w:r>
      <w:r>
        <w:rPr>
          <w:szCs w:val="32"/>
        </w:rPr>
        <w:t>加强区域性防治，建立健全联防联控机制。因地制宜、分类指导，对未达到传播阻断地区、达到传播阻断及消除地区、监测地区实施不同的防治策略。</w:t>
      </w:r>
    </w:p>
    <w:p w:rsidR="0006759F" w:rsidRDefault="0006759F" w:rsidP="0006759F">
      <w:pPr>
        <w:snapToGrid w:val="0"/>
        <w:spacing w:line="580" w:lineRule="exact"/>
        <w:ind w:firstLineChars="200" w:firstLine="640"/>
        <w:outlineLvl w:val="0"/>
        <w:rPr>
          <w:szCs w:val="32"/>
        </w:rPr>
      </w:pPr>
      <w:r>
        <w:rPr>
          <w:rFonts w:eastAsia="楷体_GB2312"/>
          <w:szCs w:val="32"/>
        </w:rPr>
        <w:t>（一）未达到传播阻断地区。</w:t>
      </w:r>
      <w:r>
        <w:rPr>
          <w:szCs w:val="32"/>
        </w:rPr>
        <w:t>加强传染源控制和有螺环境综合治理。实施人畜同步查治、粪便无害化处理、有螺地带禁牧、淘汰耕牛、以机代牛、家畜圈养、兴林抑螺、安全饮水、健康教育等措施。及时开展血吸虫病传播风险评估，加强监测预警。结合国土资源、水利、农业、林业等工程改造钉螺孳生环境。在重点有螺环</w:t>
      </w:r>
      <w:proofErr w:type="gramStart"/>
      <w:r>
        <w:rPr>
          <w:szCs w:val="32"/>
        </w:rPr>
        <w:t>境实施</w:t>
      </w:r>
      <w:proofErr w:type="gramEnd"/>
      <w:r>
        <w:rPr>
          <w:szCs w:val="32"/>
        </w:rPr>
        <w:t>药物灭螺。</w:t>
      </w:r>
    </w:p>
    <w:p w:rsidR="0006759F" w:rsidRDefault="0006759F" w:rsidP="0006759F">
      <w:pPr>
        <w:snapToGrid w:val="0"/>
        <w:spacing w:line="580" w:lineRule="exact"/>
        <w:ind w:firstLineChars="200" w:firstLine="640"/>
        <w:outlineLvl w:val="0"/>
        <w:rPr>
          <w:szCs w:val="32"/>
        </w:rPr>
      </w:pPr>
      <w:r>
        <w:rPr>
          <w:rFonts w:eastAsia="楷体_GB2312"/>
          <w:szCs w:val="32"/>
        </w:rPr>
        <w:lastRenderedPageBreak/>
        <w:t>（二）达到传播阻断及消除地区。</w:t>
      </w:r>
      <w:r>
        <w:rPr>
          <w:szCs w:val="32"/>
        </w:rPr>
        <w:t>在有钉螺分布地区，做好有螺地带禁牧，加强血吸虫病监测和重点有螺环境综合治理；主动监测与被动监测相结合，及时发现、处置本地和输入疫情；定期开展血吸虫病传播风险评估，强化监测预警；实施综合治理，不断压缩钉螺面积，巩固防治成果。在无钉螺分布地区，加强血吸虫病输入疫情监测；在历史有螺区、可疑有螺环</w:t>
      </w:r>
      <w:proofErr w:type="gramStart"/>
      <w:r>
        <w:rPr>
          <w:szCs w:val="32"/>
        </w:rPr>
        <w:t>境开展</w:t>
      </w:r>
      <w:proofErr w:type="gramEnd"/>
      <w:r>
        <w:rPr>
          <w:szCs w:val="32"/>
        </w:rPr>
        <w:t>监测，及时发现、处置残存或输入性钉螺；采取环境改造、生态防控等综合措施，改变适宜钉螺孳生的环境；对来自流行区的人群、家畜进行监测，及时发现、处置输入性传染源。</w:t>
      </w:r>
    </w:p>
    <w:p w:rsidR="0006759F" w:rsidRDefault="0006759F" w:rsidP="0006759F">
      <w:pPr>
        <w:snapToGrid w:val="0"/>
        <w:spacing w:line="580" w:lineRule="exact"/>
        <w:ind w:firstLineChars="200" w:firstLine="640"/>
        <w:outlineLvl w:val="0"/>
        <w:rPr>
          <w:szCs w:val="32"/>
        </w:rPr>
      </w:pPr>
      <w:r>
        <w:rPr>
          <w:rFonts w:eastAsia="楷体_GB2312"/>
          <w:szCs w:val="32"/>
        </w:rPr>
        <w:t>（三）监测地区。</w:t>
      </w:r>
      <w:r>
        <w:rPr>
          <w:szCs w:val="32"/>
        </w:rPr>
        <w:t>在三峡库区和南水北调、引江济淮、引</w:t>
      </w:r>
      <w:proofErr w:type="gramStart"/>
      <w:r>
        <w:rPr>
          <w:szCs w:val="32"/>
        </w:rPr>
        <w:t>江济汉沿线</w:t>
      </w:r>
      <w:proofErr w:type="gramEnd"/>
      <w:r>
        <w:rPr>
          <w:szCs w:val="32"/>
        </w:rPr>
        <w:t>等潜在传播风险地区，重点开展输入性钉螺和传染源监测，并实施预防性生态防控试点。</w:t>
      </w:r>
    </w:p>
    <w:p w:rsidR="0006759F" w:rsidRDefault="0006759F" w:rsidP="0006759F">
      <w:pPr>
        <w:snapToGrid w:val="0"/>
        <w:spacing w:line="580" w:lineRule="exact"/>
        <w:ind w:firstLineChars="200" w:firstLine="640"/>
        <w:outlineLvl w:val="0"/>
        <w:rPr>
          <w:rFonts w:eastAsia="黑体"/>
          <w:szCs w:val="32"/>
        </w:rPr>
      </w:pPr>
      <w:r>
        <w:rPr>
          <w:rFonts w:eastAsia="黑体"/>
          <w:szCs w:val="32"/>
        </w:rPr>
        <w:t>四、重点任务</w:t>
      </w:r>
    </w:p>
    <w:p w:rsidR="0006759F" w:rsidRDefault="0006759F" w:rsidP="0006759F">
      <w:pPr>
        <w:snapToGrid w:val="0"/>
        <w:spacing w:line="580" w:lineRule="exact"/>
        <w:ind w:firstLineChars="200" w:firstLine="640"/>
        <w:outlineLvl w:val="0"/>
        <w:rPr>
          <w:szCs w:val="32"/>
        </w:rPr>
      </w:pPr>
      <w:r>
        <w:rPr>
          <w:szCs w:val="32"/>
        </w:rPr>
        <w:t>各有关部门要按照职责分工，认真组织实施本规划确定的政策措施，切实抓好落实。</w:t>
      </w:r>
    </w:p>
    <w:p w:rsidR="0006759F" w:rsidRDefault="0006759F" w:rsidP="0006759F">
      <w:pPr>
        <w:snapToGrid w:val="0"/>
        <w:spacing w:line="580" w:lineRule="exact"/>
        <w:ind w:firstLineChars="200" w:firstLine="640"/>
        <w:outlineLvl w:val="0"/>
        <w:rPr>
          <w:szCs w:val="32"/>
        </w:rPr>
      </w:pPr>
      <w:r>
        <w:rPr>
          <w:rFonts w:eastAsia="楷体_GB2312"/>
          <w:szCs w:val="32"/>
        </w:rPr>
        <w:t>（一）卫生计生部门。</w:t>
      </w:r>
    </w:p>
    <w:p w:rsidR="0006759F" w:rsidRDefault="0006759F" w:rsidP="0006759F">
      <w:pPr>
        <w:snapToGrid w:val="0"/>
        <w:spacing w:line="580" w:lineRule="exact"/>
        <w:ind w:firstLineChars="200" w:firstLine="640"/>
        <w:outlineLvl w:val="0"/>
        <w:rPr>
          <w:szCs w:val="32"/>
        </w:rPr>
      </w:pPr>
      <w:r>
        <w:rPr>
          <w:rFonts w:eastAsia="楷体_GB2312"/>
          <w:szCs w:val="32"/>
        </w:rPr>
        <w:t>疫情监测、预警。</w:t>
      </w:r>
      <w:r>
        <w:rPr>
          <w:szCs w:val="32"/>
        </w:rPr>
        <w:t>加强血吸虫病疫情报告与管理，设立监测点，及时掌握疫情动态和流行因素变化情况。定期开展传播风险评估、疫情</w:t>
      </w:r>
      <w:proofErr w:type="gramStart"/>
      <w:r>
        <w:rPr>
          <w:szCs w:val="32"/>
        </w:rPr>
        <w:t>研</w:t>
      </w:r>
      <w:proofErr w:type="gramEnd"/>
      <w:r>
        <w:rPr>
          <w:szCs w:val="32"/>
        </w:rPr>
        <w:t>判和预警。</w:t>
      </w:r>
    </w:p>
    <w:p w:rsidR="0006759F" w:rsidRDefault="0006759F" w:rsidP="0006759F">
      <w:pPr>
        <w:adjustRightInd w:val="0"/>
        <w:snapToGrid w:val="0"/>
        <w:spacing w:line="580" w:lineRule="exact"/>
        <w:ind w:firstLineChars="200" w:firstLine="640"/>
        <w:outlineLvl w:val="0"/>
        <w:rPr>
          <w:szCs w:val="32"/>
        </w:rPr>
      </w:pPr>
      <w:r>
        <w:rPr>
          <w:rFonts w:eastAsia="楷体_GB2312"/>
          <w:szCs w:val="32"/>
        </w:rPr>
        <w:t>人群血吸虫病查治。</w:t>
      </w:r>
      <w:r>
        <w:rPr>
          <w:szCs w:val="32"/>
        </w:rPr>
        <w:t>开展人群血吸虫病筛查、治疗，强化病例个案调查和管理。会同交通运输和农业部门重点加强野外作业、渔民、船民等高危人群的查治。对晚期血吸虫病患者进行救治。</w:t>
      </w:r>
    </w:p>
    <w:p w:rsidR="0006759F" w:rsidRDefault="0006759F" w:rsidP="0006759F">
      <w:pPr>
        <w:adjustRightInd w:val="0"/>
        <w:snapToGrid w:val="0"/>
        <w:spacing w:line="580" w:lineRule="exact"/>
        <w:ind w:firstLineChars="200" w:firstLine="640"/>
        <w:outlineLvl w:val="0"/>
        <w:rPr>
          <w:szCs w:val="32"/>
        </w:rPr>
      </w:pPr>
      <w:proofErr w:type="gramStart"/>
      <w:r>
        <w:rPr>
          <w:rFonts w:eastAsia="楷体_GB2312"/>
          <w:szCs w:val="32"/>
        </w:rPr>
        <w:lastRenderedPageBreak/>
        <w:t>疫</w:t>
      </w:r>
      <w:proofErr w:type="gramEnd"/>
      <w:r>
        <w:rPr>
          <w:rFonts w:eastAsia="楷体_GB2312"/>
          <w:szCs w:val="32"/>
        </w:rPr>
        <w:t>点处置。</w:t>
      </w:r>
      <w:r>
        <w:rPr>
          <w:szCs w:val="32"/>
        </w:rPr>
        <w:t>发生血吸虫病疫情后，及时开展流行病学调查，落实患者治疗、预防性化疗、人畜粪便无害化处理、易感环境处理、健康教育等措施。卫生计生、农业等部门要同步开展</w:t>
      </w:r>
      <w:proofErr w:type="gramStart"/>
      <w:r>
        <w:rPr>
          <w:szCs w:val="32"/>
        </w:rPr>
        <w:t>疫</w:t>
      </w:r>
      <w:proofErr w:type="gramEnd"/>
      <w:r>
        <w:rPr>
          <w:szCs w:val="32"/>
        </w:rPr>
        <w:t>点处置工作。</w:t>
      </w:r>
    </w:p>
    <w:p w:rsidR="0006759F" w:rsidRDefault="0006759F" w:rsidP="0006759F">
      <w:pPr>
        <w:adjustRightInd w:val="0"/>
        <w:snapToGrid w:val="0"/>
        <w:spacing w:line="580" w:lineRule="exact"/>
        <w:ind w:firstLineChars="200" w:firstLine="640"/>
        <w:outlineLvl w:val="0"/>
        <w:rPr>
          <w:szCs w:val="32"/>
        </w:rPr>
      </w:pPr>
      <w:r>
        <w:rPr>
          <w:rFonts w:eastAsia="楷体_GB2312"/>
          <w:szCs w:val="32"/>
        </w:rPr>
        <w:t>钉螺调查与控制。</w:t>
      </w:r>
      <w:r>
        <w:rPr>
          <w:szCs w:val="32"/>
        </w:rPr>
        <w:t>对适宜钉螺孳生环境进行调查，掌握钉螺分布规律，确定有螺地带和易感地带，对易感地带及时采用药物喷洒、泥敷、</w:t>
      </w:r>
      <w:proofErr w:type="gramStart"/>
      <w:r>
        <w:rPr>
          <w:szCs w:val="32"/>
        </w:rPr>
        <w:t>地膜覆盖等灭螺</w:t>
      </w:r>
      <w:proofErr w:type="gramEnd"/>
      <w:r>
        <w:rPr>
          <w:szCs w:val="32"/>
        </w:rPr>
        <w:t>措施。</w:t>
      </w:r>
    </w:p>
    <w:p w:rsidR="0006759F" w:rsidRDefault="0006759F" w:rsidP="0006759F">
      <w:pPr>
        <w:adjustRightInd w:val="0"/>
        <w:snapToGrid w:val="0"/>
        <w:spacing w:line="580" w:lineRule="exact"/>
        <w:ind w:firstLineChars="200" w:firstLine="640"/>
        <w:outlineLvl w:val="0"/>
        <w:rPr>
          <w:szCs w:val="32"/>
        </w:rPr>
      </w:pPr>
      <w:r>
        <w:rPr>
          <w:rFonts w:eastAsia="楷体_GB2312"/>
          <w:szCs w:val="32"/>
        </w:rPr>
        <w:t>无害</w:t>
      </w:r>
      <w:proofErr w:type="gramStart"/>
      <w:r>
        <w:rPr>
          <w:rFonts w:eastAsia="楷体_GB2312"/>
          <w:szCs w:val="32"/>
        </w:rPr>
        <w:t>化卫生</w:t>
      </w:r>
      <w:proofErr w:type="gramEnd"/>
      <w:r>
        <w:rPr>
          <w:rFonts w:eastAsia="楷体_GB2312"/>
          <w:szCs w:val="32"/>
        </w:rPr>
        <w:t>厕所建设。</w:t>
      </w:r>
      <w:r>
        <w:rPr>
          <w:szCs w:val="32"/>
        </w:rPr>
        <w:t>实施农村环境卫生工程，结合爱国卫生运动和新农村建设，在流行村普及卫生厕所，在渔民、船民集散地和船舶码头修建无害化公共厕所。</w:t>
      </w:r>
    </w:p>
    <w:p w:rsidR="0006759F" w:rsidRDefault="0006759F" w:rsidP="0006759F">
      <w:pPr>
        <w:adjustRightInd w:val="0"/>
        <w:snapToGrid w:val="0"/>
        <w:spacing w:line="580" w:lineRule="exact"/>
        <w:ind w:firstLineChars="200" w:firstLine="640"/>
        <w:outlineLvl w:val="0"/>
        <w:rPr>
          <w:szCs w:val="32"/>
        </w:rPr>
      </w:pPr>
      <w:r>
        <w:rPr>
          <w:rFonts w:eastAsia="楷体_GB2312"/>
          <w:szCs w:val="32"/>
        </w:rPr>
        <w:t>健康教育。</w:t>
      </w:r>
      <w:r>
        <w:rPr>
          <w:szCs w:val="32"/>
        </w:rPr>
        <w:t>开展多种形式健康教育，普及血吸虫病防治知识。重点加强流行区儿童、青少年和水上作业人员等人群宣传教育。</w:t>
      </w:r>
    </w:p>
    <w:p w:rsidR="0006759F" w:rsidRDefault="0006759F" w:rsidP="0006759F">
      <w:pPr>
        <w:snapToGrid w:val="0"/>
        <w:spacing w:line="580" w:lineRule="exact"/>
        <w:ind w:firstLineChars="200" w:firstLine="640"/>
        <w:outlineLvl w:val="0"/>
        <w:rPr>
          <w:szCs w:val="32"/>
        </w:rPr>
      </w:pPr>
      <w:r>
        <w:rPr>
          <w:rFonts w:eastAsia="楷体_GB2312"/>
          <w:szCs w:val="32"/>
        </w:rPr>
        <w:t>（二）农业部门。</w:t>
      </w:r>
    </w:p>
    <w:p w:rsidR="0006759F" w:rsidRDefault="0006759F" w:rsidP="0006759F">
      <w:pPr>
        <w:snapToGrid w:val="0"/>
        <w:spacing w:line="580" w:lineRule="exact"/>
        <w:ind w:firstLineChars="200" w:firstLine="640"/>
        <w:outlineLvl w:val="0"/>
        <w:rPr>
          <w:szCs w:val="32"/>
        </w:rPr>
      </w:pPr>
      <w:r>
        <w:rPr>
          <w:rFonts w:eastAsia="楷体_GB2312"/>
          <w:szCs w:val="32"/>
        </w:rPr>
        <w:t>家畜疫情监测。</w:t>
      </w:r>
      <w:r>
        <w:rPr>
          <w:szCs w:val="32"/>
        </w:rPr>
        <w:t>开展家畜血吸虫病疫情监测，实行网络化和信息化管理，掌握疫情动态。</w:t>
      </w:r>
    </w:p>
    <w:p w:rsidR="0006759F" w:rsidRDefault="0006759F" w:rsidP="0006759F">
      <w:pPr>
        <w:adjustRightInd w:val="0"/>
        <w:snapToGrid w:val="0"/>
        <w:spacing w:line="580" w:lineRule="exact"/>
        <w:ind w:firstLineChars="200" w:firstLine="640"/>
        <w:outlineLvl w:val="0"/>
        <w:rPr>
          <w:szCs w:val="32"/>
        </w:rPr>
      </w:pPr>
      <w:r>
        <w:rPr>
          <w:rFonts w:eastAsia="楷体_GB2312"/>
          <w:szCs w:val="32"/>
        </w:rPr>
        <w:t>家畜查治。</w:t>
      </w:r>
      <w:r>
        <w:rPr>
          <w:szCs w:val="32"/>
        </w:rPr>
        <w:t>每年进行家畜查治及化疗，控制家畜感染，减少粪便污染。</w:t>
      </w:r>
    </w:p>
    <w:p w:rsidR="0006759F" w:rsidRDefault="0006759F" w:rsidP="0006759F">
      <w:pPr>
        <w:adjustRightInd w:val="0"/>
        <w:snapToGrid w:val="0"/>
        <w:spacing w:line="580" w:lineRule="exact"/>
        <w:ind w:firstLineChars="200" w:firstLine="640"/>
        <w:outlineLvl w:val="0"/>
        <w:rPr>
          <w:szCs w:val="32"/>
        </w:rPr>
      </w:pPr>
      <w:r>
        <w:rPr>
          <w:rFonts w:eastAsia="楷体_GB2312"/>
          <w:szCs w:val="32"/>
        </w:rPr>
        <w:t>家畜传染源管理。</w:t>
      </w:r>
      <w:r>
        <w:rPr>
          <w:szCs w:val="32"/>
        </w:rPr>
        <w:t>大力推进农业耕作机械化，逐步淘汰耕牛。在暂未淘汰耕牛的流行区逐步推行家畜集中圈养。结合生态家园及农村能源开发工作，由各省支持</w:t>
      </w:r>
      <w:proofErr w:type="gramStart"/>
      <w:r>
        <w:rPr>
          <w:szCs w:val="32"/>
        </w:rPr>
        <w:t>建设户</w:t>
      </w:r>
      <w:proofErr w:type="gramEnd"/>
      <w:r>
        <w:rPr>
          <w:szCs w:val="32"/>
        </w:rPr>
        <w:t>用沼气和小型沼气工程。发展替代养殖业，减少易感动物饲养量。</w:t>
      </w:r>
    </w:p>
    <w:p w:rsidR="0006759F" w:rsidRDefault="0006759F" w:rsidP="0006759F">
      <w:pPr>
        <w:adjustRightInd w:val="0"/>
        <w:snapToGrid w:val="0"/>
        <w:spacing w:line="580" w:lineRule="exact"/>
        <w:ind w:firstLineChars="200" w:firstLine="640"/>
        <w:outlineLvl w:val="0"/>
        <w:rPr>
          <w:szCs w:val="32"/>
        </w:rPr>
      </w:pPr>
      <w:r>
        <w:rPr>
          <w:rFonts w:eastAsia="楷体_GB2312"/>
          <w:szCs w:val="32"/>
        </w:rPr>
        <w:t>实施农业灭螺工程。</w:t>
      </w:r>
      <w:r>
        <w:rPr>
          <w:szCs w:val="32"/>
        </w:rPr>
        <w:t>结合农业种植结构调整，对符合条件</w:t>
      </w:r>
      <w:r>
        <w:rPr>
          <w:szCs w:val="32"/>
        </w:rPr>
        <w:lastRenderedPageBreak/>
        <w:t>的水田</w:t>
      </w:r>
      <w:proofErr w:type="gramStart"/>
      <w:r>
        <w:rPr>
          <w:szCs w:val="32"/>
        </w:rPr>
        <w:t>实施水改旱或者</w:t>
      </w:r>
      <w:proofErr w:type="gramEnd"/>
      <w:r>
        <w:rPr>
          <w:szCs w:val="32"/>
        </w:rPr>
        <w:t>水旱轮作。在有钉螺分布的低洼沼泽地带（非基本农田）开挖池塘，发展优质水产养殖业，实行蓄水灭螺。</w:t>
      </w:r>
    </w:p>
    <w:p w:rsidR="0006759F" w:rsidRDefault="0006759F" w:rsidP="0006759F">
      <w:pPr>
        <w:snapToGrid w:val="0"/>
        <w:spacing w:line="580" w:lineRule="exact"/>
        <w:ind w:firstLineChars="200" w:firstLine="640"/>
        <w:outlineLvl w:val="0"/>
        <w:rPr>
          <w:rFonts w:eastAsia="楷体_GB2312"/>
          <w:szCs w:val="32"/>
        </w:rPr>
      </w:pPr>
      <w:r>
        <w:rPr>
          <w:rFonts w:eastAsia="楷体_GB2312"/>
          <w:szCs w:val="32"/>
        </w:rPr>
        <w:t>（三）水利部门。</w:t>
      </w:r>
    </w:p>
    <w:p w:rsidR="0006759F" w:rsidRDefault="0006759F" w:rsidP="0006759F">
      <w:pPr>
        <w:snapToGrid w:val="0"/>
        <w:spacing w:line="580" w:lineRule="exact"/>
        <w:ind w:firstLineChars="200" w:firstLine="640"/>
        <w:outlineLvl w:val="0"/>
        <w:rPr>
          <w:szCs w:val="32"/>
        </w:rPr>
      </w:pPr>
      <w:r>
        <w:rPr>
          <w:rFonts w:eastAsia="楷体_GB2312"/>
          <w:szCs w:val="32"/>
        </w:rPr>
        <w:t>实施河流（湖泊）综合治理工程。</w:t>
      </w:r>
      <w:r>
        <w:rPr>
          <w:szCs w:val="32"/>
        </w:rPr>
        <w:t>对流行区有螺河段（湖泊），因地制宜采取硬化护坡、</w:t>
      </w:r>
      <w:proofErr w:type="gramStart"/>
      <w:r>
        <w:rPr>
          <w:szCs w:val="32"/>
        </w:rPr>
        <w:t>抬洲降滩</w:t>
      </w:r>
      <w:proofErr w:type="gramEnd"/>
      <w:r>
        <w:rPr>
          <w:szCs w:val="32"/>
        </w:rPr>
        <w:t>、改造涵闸（增设</w:t>
      </w:r>
      <w:proofErr w:type="gramStart"/>
      <w:r>
        <w:rPr>
          <w:szCs w:val="32"/>
        </w:rPr>
        <w:t>拦螺阻螺</w:t>
      </w:r>
      <w:proofErr w:type="gramEnd"/>
      <w:r>
        <w:rPr>
          <w:szCs w:val="32"/>
        </w:rPr>
        <w:t>设施）等措施，改变钉螺孳生环境，控制钉螺沿水系扩散。</w:t>
      </w:r>
    </w:p>
    <w:p w:rsidR="0006759F" w:rsidRDefault="0006759F" w:rsidP="0006759F">
      <w:pPr>
        <w:snapToGrid w:val="0"/>
        <w:spacing w:line="580" w:lineRule="exact"/>
        <w:ind w:firstLineChars="200" w:firstLine="640"/>
        <w:outlineLvl w:val="0"/>
        <w:rPr>
          <w:szCs w:val="32"/>
        </w:rPr>
      </w:pPr>
      <w:r>
        <w:rPr>
          <w:rFonts w:eastAsia="楷体_GB2312"/>
          <w:szCs w:val="32"/>
        </w:rPr>
        <w:t>实施灌区改造工程。</w:t>
      </w:r>
      <w:r>
        <w:rPr>
          <w:szCs w:val="32"/>
        </w:rPr>
        <w:t>对流行区灌区的有螺灌排渠道（沟），采取硬化护坡、改造涵闸（增设</w:t>
      </w:r>
      <w:proofErr w:type="gramStart"/>
      <w:r>
        <w:rPr>
          <w:szCs w:val="32"/>
        </w:rPr>
        <w:t>拦螺阻螺</w:t>
      </w:r>
      <w:proofErr w:type="gramEnd"/>
      <w:r>
        <w:rPr>
          <w:szCs w:val="32"/>
        </w:rPr>
        <w:t>设施）等措施，改变钉螺孳生环境，控制钉螺沿渠系扩散。</w:t>
      </w:r>
    </w:p>
    <w:p w:rsidR="0006759F" w:rsidRDefault="0006759F" w:rsidP="0006759F">
      <w:pPr>
        <w:snapToGrid w:val="0"/>
        <w:spacing w:line="580" w:lineRule="exact"/>
        <w:ind w:firstLineChars="200" w:firstLine="640"/>
        <w:outlineLvl w:val="0"/>
        <w:rPr>
          <w:szCs w:val="32"/>
        </w:rPr>
      </w:pPr>
      <w:r>
        <w:rPr>
          <w:rFonts w:eastAsia="楷体_GB2312"/>
          <w:szCs w:val="32"/>
        </w:rPr>
        <w:t>实施农村饮水工程。</w:t>
      </w:r>
      <w:r>
        <w:rPr>
          <w:szCs w:val="32"/>
        </w:rPr>
        <w:t>结合农村供水等相关工程规划实施，优先安排流行区农村供水工程建设项目，进一步强化流行区农村饮水保障。</w:t>
      </w:r>
    </w:p>
    <w:p w:rsidR="0006759F" w:rsidRDefault="0006759F" w:rsidP="0006759F">
      <w:pPr>
        <w:snapToGrid w:val="0"/>
        <w:spacing w:line="580" w:lineRule="exact"/>
        <w:ind w:firstLineChars="200" w:firstLine="640"/>
        <w:outlineLvl w:val="0"/>
        <w:rPr>
          <w:szCs w:val="32"/>
        </w:rPr>
      </w:pPr>
      <w:r>
        <w:rPr>
          <w:rFonts w:eastAsia="楷体_GB2312"/>
          <w:szCs w:val="32"/>
        </w:rPr>
        <w:t>实施水利行业血吸虫病防治项目。</w:t>
      </w:r>
      <w:r>
        <w:rPr>
          <w:szCs w:val="32"/>
        </w:rPr>
        <w:t>根据流行区水利单位所在地血吸虫病流行情况，采取改水、改厕和环境改造等措施，建立血吸虫病防治安全区（带），同时加强监测、健康教育以及水利血吸虫病防治科研能力建设，改善水利行业人员生产生活环境，提高水利行业防治能力。</w:t>
      </w:r>
    </w:p>
    <w:p w:rsidR="0006759F" w:rsidRDefault="0006759F" w:rsidP="0006759F">
      <w:pPr>
        <w:snapToGrid w:val="0"/>
        <w:spacing w:line="580" w:lineRule="exact"/>
        <w:ind w:firstLineChars="200" w:firstLine="640"/>
        <w:outlineLvl w:val="0"/>
        <w:rPr>
          <w:szCs w:val="32"/>
        </w:rPr>
      </w:pPr>
      <w:r>
        <w:rPr>
          <w:rFonts w:eastAsia="楷体_GB2312"/>
          <w:szCs w:val="32"/>
        </w:rPr>
        <w:t>（四）林业部门。</w:t>
      </w:r>
    </w:p>
    <w:p w:rsidR="0006759F" w:rsidRDefault="0006759F" w:rsidP="0006759F">
      <w:pPr>
        <w:snapToGrid w:val="0"/>
        <w:spacing w:line="580" w:lineRule="exact"/>
        <w:ind w:firstLineChars="200" w:firstLine="640"/>
        <w:outlineLvl w:val="0"/>
        <w:rPr>
          <w:szCs w:val="32"/>
        </w:rPr>
      </w:pPr>
      <w:proofErr w:type="gramStart"/>
      <w:r>
        <w:rPr>
          <w:rFonts w:eastAsia="楷体_GB2312"/>
          <w:szCs w:val="32"/>
        </w:rPr>
        <w:t>抑螺防病</w:t>
      </w:r>
      <w:proofErr w:type="gramEnd"/>
      <w:r>
        <w:rPr>
          <w:rFonts w:eastAsia="楷体_GB2312"/>
          <w:szCs w:val="32"/>
        </w:rPr>
        <w:t>林营造。</w:t>
      </w:r>
      <w:r>
        <w:rPr>
          <w:szCs w:val="32"/>
        </w:rPr>
        <w:t>建立</w:t>
      </w:r>
      <w:proofErr w:type="gramStart"/>
      <w:r>
        <w:rPr>
          <w:szCs w:val="32"/>
        </w:rPr>
        <w:t>以抑螺防病</w:t>
      </w:r>
      <w:proofErr w:type="gramEnd"/>
      <w:r>
        <w:rPr>
          <w:szCs w:val="32"/>
        </w:rPr>
        <w:t>林为核心的林业血吸虫病防治生态安全体系。在重点流行区适宜造林的地带，继续</w:t>
      </w:r>
      <w:proofErr w:type="gramStart"/>
      <w:r>
        <w:rPr>
          <w:szCs w:val="32"/>
        </w:rPr>
        <w:t>营造抑螺防病</w:t>
      </w:r>
      <w:proofErr w:type="gramEnd"/>
      <w:r>
        <w:rPr>
          <w:szCs w:val="32"/>
        </w:rPr>
        <w:t>林，</w:t>
      </w:r>
      <w:proofErr w:type="gramStart"/>
      <w:r>
        <w:rPr>
          <w:szCs w:val="32"/>
        </w:rPr>
        <w:t>采用抑螺植物</w:t>
      </w:r>
      <w:proofErr w:type="gramEnd"/>
      <w:r>
        <w:rPr>
          <w:szCs w:val="32"/>
        </w:rPr>
        <w:t>材料、构建林农复合系统、设立</w:t>
      </w:r>
      <w:r>
        <w:rPr>
          <w:szCs w:val="32"/>
        </w:rPr>
        <w:lastRenderedPageBreak/>
        <w:t>隔离设施等措施，改变钉螺孳生环境，压缩钉螺孳生面积。</w:t>
      </w:r>
    </w:p>
    <w:p w:rsidR="0006759F" w:rsidRDefault="0006759F" w:rsidP="0006759F">
      <w:pPr>
        <w:adjustRightInd w:val="0"/>
        <w:snapToGrid w:val="0"/>
        <w:spacing w:line="580" w:lineRule="exact"/>
        <w:ind w:firstLineChars="200" w:firstLine="640"/>
        <w:outlineLvl w:val="0"/>
        <w:rPr>
          <w:szCs w:val="32"/>
        </w:rPr>
      </w:pPr>
      <w:proofErr w:type="gramStart"/>
      <w:r>
        <w:rPr>
          <w:rFonts w:eastAsia="楷体_GB2312"/>
          <w:szCs w:val="32"/>
        </w:rPr>
        <w:t>抑螺成效</w:t>
      </w:r>
      <w:proofErr w:type="gramEnd"/>
      <w:r>
        <w:rPr>
          <w:rFonts w:eastAsia="楷体_GB2312"/>
          <w:szCs w:val="32"/>
        </w:rPr>
        <w:t>提升改造。</w:t>
      </w:r>
      <w:r>
        <w:rPr>
          <w:szCs w:val="32"/>
        </w:rPr>
        <w:t>对在流行区营造的防护林、社会造林等</w:t>
      </w:r>
      <w:proofErr w:type="gramStart"/>
      <w:r>
        <w:rPr>
          <w:szCs w:val="32"/>
        </w:rPr>
        <w:t>非抑螺</w:t>
      </w:r>
      <w:proofErr w:type="gramEnd"/>
      <w:r>
        <w:rPr>
          <w:szCs w:val="32"/>
        </w:rPr>
        <w:t>防病林分，采取挖沟抬垄、沟渠清理、</w:t>
      </w:r>
      <w:proofErr w:type="gramStart"/>
      <w:r>
        <w:rPr>
          <w:szCs w:val="32"/>
        </w:rPr>
        <w:t>补植抑螺植物</w:t>
      </w:r>
      <w:proofErr w:type="gramEnd"/>
      <w:r>
        <w:rPr>
          <w:szCs w:val="32"/>
        </w:rPr>
        <w:t>等措施，进行</w:t>
      </w:r>
      <w:proofErr w:type="gramStart"/>
      <w:r>
        <w:rPr>
          <w:szCs w:val="32"/>
        </w:rPr>
        <w:t>抑螺成效</w:t>
      </w:r>
      <w:proofErr w:type="gramEnd"/>
      <w:r>
        <w:rPr>
          <w:szCs w:val="32"/>
        </w:rPr>
        <w:t>提升改造。</w:t>
      </w:r>
    </w:p>
    <w:p w:rsidR="0006759F" w:rsidRDefault="0006759F" w:rsidP="0006759F">
      <w:pPr>
        <w:adjustRightInd w:val="0"/>
        <w:snapToGrid w:val="0"/>
        <w:spacing w:line="580" w:lineRule="exact"/>
        <w:ind w:firstLineChars="200" w:firstLine="640"/>
        <w:outlineLvl w:val="0"/>
        <w:rPr>
          <w:szCs w:val="32"/>
        </w:rPr>
      </w:pPr>
      <w:r>
        <w:rPr>
          <w:rFonts w:eastAsia="楷体_GB2312"/>
          <w:szCs w:val="32"/>
        </w:rPr>
        <w:t>生态环境监测。</w:t>
      </w:r>
      <w:r>
        <w:rPr>
          <w:szCs w:val="32"/>
        </w:rPr>
        <w:t>在适宜钉螺孳生的区域加强生态环境监测与预警。开展林业防治血吸虫病生态防控试点，探索改善生态环境、抑制钉螺孳生的防控模式。结合</w:t>
      </w:r>
      <w:r>
        <w:rPr>
          <w:rFonts w:hint="eastAsia"/>
          <w:szCs w:val="32"/>
        </w:rPr>
        <w:t>实施</w:t>
      </w:r>
      <w:r>
        <w:rPr>
          <w:szCs w:val="32"/>
        </w:rPr>
        <w:t>湿地保护与恢复工程、野生动植物保护及自然保护区建设工程，建设防钉螺扩散设施，加强螺情监测。</w:t>
      </w:r>
    </w:p>
    <w:p w:rsidR="0006759F" w:rsidRDefault="0006759F" w:rsidP="0006759F">
      <w:pPr>
        <w:snapToGrid w:val="0"/>
        <w:spacing w:line="580" w:lineRule="exact"/>
        <w:ind w:firstLineChars="200" w:firstLine="640"/>
        <w:outlineLvl w:val="0"/>
        <w:rPr>
          <w:szCs w:val="32"/>
        </w:rPr>
      </w:pPr>
      <w:r>
        <w:rPr>
          <w:rFonts w:eastAsia="楷体_GB2312"/>
          <w:szCs w:val="32"/>
        </w:rPr>
        <w:t>（五）国土资源部门。</w:t>
      </w:r>
    </w:p>
    <w:p w:rsidR="0006759F" w:rsidRDefault="0006759F" w:rsidP="0006759F">
      <w:pPr>
        <w:snapToGrid w:val="0"/>
        <w:spacing w:line="580" w:lineRule="exact"/>
        <w:ind w:firstLineChars="200" w:firstLine="640"/>
        <w:outlineLvl w:val="0"/>
        <w:rPr>
          <w:szCs w:val="32"/>
        </w:rPr>
      </w:pPr>
      <w:r>
        <w:rPr>
          <w:rFonts w:eastAsia="楷体_GB2312"/>
          <w:szCs w:val="32"/>
        </w:rPr>
        <w:t>实施土地整治工程。</w:t>
      </w:r>
      <w:r>
        <w:rPr>
          <w:szCs w:val="32"/>
        </w:rPr>
        <w:t>在流行区开展土地整治时，结合土地平整、灌溉与排水工程、田间道路、农田防护与生态环境保持等工程，建设</w:t>
      </w:r>
      <w:proofErr w:type="gramStart"/>
      <w:r>
        <w:rPr>
          <w:szCs w:val="32"/>
        </w:rPr>
        <w:t>沉螺池等抑螺灭</w:t>
      </w:r>
      <w:proofErr w:type="gramEnd"/>
      <w:r>
        <w:rPr>
          <w:szCs w:val="32"/>
        </w:rPr>
        <w:t>螺设施，改变钉螺孳生环境。</w:t>
      </w:r>
    </w:p>
    <w:p w:rsidR="0006759F" w:rsidRDefault="0006759F" w:rsidP="0006759F">
      <w:pPr>
        <w:snapToGrid w:val="0"/>
        <w:spacing w:line="580" w:lineRule="exact"/>
        <w:ind w:firstLineChars="200" w:firstLine="640"/>
        <w:outlineLvl w:val="0"/>
        <w:rPr>
          <w:szCs w:val="32"/>
        </w:rPr>
      </w:pPr>
      <w:r>
        <w:rPr>
          <w:rFonts w:eastAsia="楷体_GB2312"/>
          <w:szCs w:val="32"/>
        </w:rPr>
        <w:t>实施农村建设用地整治工程。</w:t>
      </w:r>
      <w:r>
        <w:rPr>
          <w:szCs w:val="32"/>
        </w:rPr>
        <w:t>对一些疫情严重、村庄附近螺情复杂、钉螺难以消灭的地方，优先安排农村建设用地整治工程，选择安全地带建村。</w:t>
      </w:r>
    </w:p>
    <w:p w:rsidR="0006759F" w:rsidRDefault="0006759F" w:rsidP="0006759F">
      <w:pPr>
        <w:snapToGrid w:val="0"/>
        <w:spacing w:line="580" w:lineRule="exact"/>
        <w:ind w:firstLineChars="200" w:firstLine="640"/>
        <w:outlineLvl w:val="0"/>
        <w:rPr>
          <w:rFonts w:eastAsia="楷体_GB2312"/>
          <w:szCs w:val="32"/>
        </w:rPr>
      </w:pPr>
      <w:r>
        <w:rPr>
          <w:rFonts w:eastAsia="楷体_GB2312"/>
          <w:szCs w:val="32"/>
        </w:rPr>
        <w:t>（六）其他相关部门。</w:t>
      </w:r>
    </w:p>
    <w:p w:rsidR="0006759F" w:rsidRDefault="0006759F" w:rsidP="0006759F">
      <w:pPr>
        <w:snapToGrid w:val="0"/>
        <w:spacing w:line="580" w:lineRule="exact"/>
        <w:ind w:firstLineChars="200" w:firstLine="640"/>
        <w:outlineLvl w:val="0"/>
        <w:rPr>
          <w:szCs w:val="32"/>
        </w:rPr>
      </w:pPr>
      <w:r>
        <w:rPr>
          <w:szCs w:val="32"/>
        </w:rPr>
        <w:t>交通运输部门推行船舶按有关规定安装和使用粪便收集容器、生活污水处理设施，进行无害化处理。</w:t>
      </w:r>
    </w:p>
    <w:p w:rsidR="0006759F" w:rsidRDefault="0006759F" w:rsidP="0006759F">
      <w:pPr>
        <w:snapToGrid w:val="0"/>
        <w:spacing w:line="580" w:lineRule="exact"/>
        <w:ind w:firstLineChars="200" w:firstLine="640"/>
        <w:outlineLvl w:val="0"/>
        <w:rPr>
          <w:szCs w:val="32"/>
        </w:rPr>
      </w:pPr>
      <w:r>
        <w:rPr>
          <w:szCs w:val="32"/>
        </w:rPr>
        <w:t>教育部门科学安排血吸虫病防治教学内容，做好中小学生预防血吸虫病的健康教育，防止</w:t>
      </w:r>
      <w:r>
        <w:rPr>
          <w:rFonts w:hint="eastAsia"/>
          <w:szCs w:val="32"/>
        </w:rPr>
        <w:t>其</w:t>
      </w:r>
      <w:r>
        <w:rPr>
          <w:szCs w:val="32"/>
        </w:rPr>
        <w:t>感染血吸虫病。</w:t>
      </w:r>
    </w:p>
    <w:p w:rsidR="0006759F" w:rsidRDefault="0006759F" w:rsidP="0006759F">
      <w:pPr>
        <w:snapToGrid w:val="0"/>
        <w:spacing w:line="580" w:lineRule="exact"/>
        <w:ind w:firstLineChars="200" w:firstLine="640"/>
        <w:outlineLvl w:val="0"/>
        <w:rPr>
          <w:szCs w:val="32"/>
        </w:rPr>
      </w:pPr>
      <w:r>
        <w:rPr>
          <w:szCs w:val="32"/>
        </w:rPr>
        <w:t>新闻出版广电部门在流行区开展公益性血吸虫病健康教育活动，广泛宣传血吸虫病防治知识和政策，提高居民自我防</w:t>
      </w:r>
      <w:r>
        <w:rPr>
          <w:szCs w:val="32"/>
        </w:rPr>
        <w:lastRenderedPageBreak/>
        <w:t>护意识和参与血吸虫病防治工作的积极性。</w:t>
      </w:r>
    </w:p>
    <w:p w:rsidR="0006759F" w:rsidRDefault="0006759F" w:rsidP="0006759F">
      <w:pPr>
        <w:snapToGrid w:val="0"/>
        <w:spacing w:line="580" w:lineRule="exact"/>
        <w:ind w:firstLineChars="200" w:firstLine="640"/>
        <w:outlineLvl w:val="0"/>
        <w:rPr>
          <w:rFonts w:eastAsia="黑体"/>
          <w:szCs w:val="32"/>
        </w:rPr>
      </w:pPr>
      <w:r>
        <w:rPr>
          <w:rFonts w:eastAsia="黑体"/>
          <w:szCs w:val="32"/>
        </w:rPr>
        <w:t>五、保障措施</w:t>
      </w:r>
    </w:p>
    <w:p w:rsidR="0006759F" w:rsidRDefault="0006759F" w:rsidP="0006759F">
      <w:pPr>
        <w:snapToGrid w:val="0"/>
        <w:spacing w:line="580" w:lineRule="exact"/>
        <w:ind w:firstLineChars="200" w:firstLine="640"/>
        <w:outlineLvl w:val="0"/>
        <w:rPr>
          <w:szCs w:val="32"/>
        </w:rPr>
      </w:pPr>
      <w:r>
        <w:rPr>
          <w:rFonts w:eastAsia="楷体_GB2312"/>
          <w:szCs w:val="32"/>
        </w:rPr>
        <w:t>（一）组织保障。</w:t>
      </w:r>
      <w:r>
        <w:rPr>
          <w:szCs w:val="32"/>
        </w:rPr>
        <w:t>血吸虫病防治工作是国务院防治重大疾病工作部际联席会议（以下简称联席会议）制度的重要内容。联席会议各成员单位要按照职责分工，主动研究血吸虫病防治工作中的重大问题，认真落实联席会议确定的工作任务和议定事项，互通信息，密切配合，共同推进血吸虫病防治工作。联席会议办公室要发挥统筹协调作用，加强血吸虫病防治工作督导、检查和调研。</w:t>
      </w:r>
    </w:p>
    <w:p w:rsidR="0006759F" w:rsidRDefault="0006759F" w:rsidP="0006759F">
      <w:pPr>
        <w:snapToGrid w:val="0"/>
        <w:spacing w:line="580" w:lineRule="exact"/>
        <w:ind w:firstLineChars="200" w:firstLine="640"/>
        <w:outlineLvl w:val="0"/>
        <w:rPr>
          <w:szCs w:val="32"/>
        </w:rPr>
      </w:pPr>
      <w:r>
        <w:rPr>
          <w:szCs w:val="32"/>
        </w:rPr>
        <w:t>流行区及监测地区各级人民政府要建立健全血吸虫病防治工作领导协调机制和工作责任制，切实加强对血吸虫病防治工作的领导，及时协调解决防治工作中的重大问题，研究制定防治政策，组织落实各项防治措施。加强地区间联防联控，毗邻地区要按照血吸虫病流行特点，制订区域联防工作计划，根据各区域间的实际情况，分类分片确定联防联控工作重点和具体措施。结合新时期爱国卫生工作要求，充分发挥群防群控的优势，组织群众开展血吸虫病防治公益活动，改造生产生活环境。大力普及防病知识，提高人民群众的自我防护意识和能力。</w:t>
      </w:r>
    </w:p>
    <w:p w:rsidR="0006759F" w:rsidRDefault="0006759F" w:rsidP="0006759F">
      <w:pPr>
        <w:snapToGrid w:val="0"/>
        <w:spacing w:line="580" w:lineRule="exact"/>
        <w:ind w:firstLineChars="200" w:firstLine="640"/>
        <w:outlineLvl w:val="0"/>
        <w:rPr>
          <w:szCs w:val="32"/>
        </w:rPr>
      </w:pPr>
      <w:r>
        <w:rPr>
          <w:szCs w:val="32"/>
        </w:rPr>
        <w:t>地方各级人民政府要结合本规划制定本地区血吸虫病防治规划，依法推进各项防治工作，落实有螺地带禁牧工作，支持驻地部队开展防治工作。各有关部门要加强协同配合，共享防治信息，认真组织实施综合治理。坚持</w:t>
      </w:r>
      <w:r>
        <w:rPr>
          <w:szCs w:val="32"/>
        </w:rPr>
        <w:t>“</w:t>
      </w:r>
      <w:r>
        <w:rPr>
          <w:szCs w:val="32"/>
        </w:rPr>
        <w:t>春查秋会</w:t>
      </w:r>
      <w:r>
        <w:rPr>
          <w:szCs w:val="32"/>
        </w:rPr>
        <w:t>”</w:t>
      </w:r>
      <w:r>
        <w:rPr>
          <w:szCs w:val="32"/>
        </w:rPr>
        <w:t>制度，建立</w:t>
      </w:r>
      <w:proofErr w:type="gramStart"/>
      <w:r>
        <w:rPr>
          <w:szCs w:val="32"/>
        </w:rPr>
        <w:t>健全部门</w:t>
      </w:r>
      <w:proofErr w:type="gramEnd"/>
      <w:r>
        <w:rPr>
          <w:szCs w:val="32"/>
        </w:rPr>
        <w:t>述职制度、定期通报制度，加强工作指导和督查。</w:t>
      </w:r>
    </w:p>
    <w:p w:rsidR="0006759F" w:rsidRDefault="0006759F" w:rsidP="0006759F">
      <w:pPr>
        <w:snapToGrid w:val="0"/>
        <w:spacing w:line="580" w:lineRule="exact"/>
        <w:ind w:firstLineChars="200" w:firstLine="640"/>
        <w:outlineLvl w:val="0"/>
        <w:rPr>
          <w:szCs w:val="32"/>
        </w:rPr>
      </w:pPr>
      <w:r>
        <w:rPr>
          <w:rFonts w:eastAsia="楷体_GB2312"/>
          <w:szCs w:val="32"/>
        </w:rPr>
        <w:lastRenderedPageBreak/>
        <w:t>（二）经费保障。</w:t>
      </w:r>
      <w:r>
        <w:rPr>
          <w:szCs w:val="32"/>
        </w:rPr>
        <w:t>血吸虫病防治工作经费由中央和地方分级负担，纳入政府财政预算予以安排。省、市两级人民政府负责落实本地区血吸虫病综合治理工程项目经费，对县、乡两级开展血吸虫病防治工作给予专项经费补助。县、乡两级人民政府合理安排血吸虫病防治工作日常运转所需经费。</w:t>
      </w:r>
    </w:p>
    <w:p w:rsidR="0006759F" w:rsidRDefault="0006759F" w:rsidP="0006759F">
      <w:pPr>
        <w:snapToGrid w:val="0"/>
        <w:spacing w:line="580" w:lineRule="exact"/>
        <w:ind w:firstLineChars="200" w:firstLine="640"/>
        <w:outlineLvl w:val="0"/>
        <w:rPr>
          <w:szCs w:val="32"/>
        </w:rPr>
      </w:pPr>
      <w:r>
        <w:rPr>
          <w:szCs w:val="32"/>
        </w:rPr>
        <w:t>持续推动血吸虫病防治工作，对经济困难地区的血吸虫病防治经费、血吸虫病重大疫情应急处置经费给予适当补助。有关地方政府在编制或审批国土、水利、农业、林业等工程项目时，应当统筹考虑血吸虫病防治的工程措施。</w:t>
      </w:r>
    </w:p>
    <w:p w:rsidR="0006759F" w:rsidRDefault="0006759F" w:rsidP="0006759F">
      <w:pPr>
        <w:snapToGrid w:val="0"/>
        <w:spacing w:line="580" w:lineRule="exact"/>
        <w:ind w:firstLineChars="200" w:firstLine="640"/>
        <w:outlineLvl w:val="0"/>
        <w:rPr>
          <w:szCs w:val="32"/>
        </w:rPr>
      </w:pPr>
      <w:r>
        <w:rPr>
          <w:szCs w:val="32"/>
        </w:rPr>
        <w:t>地方各级人民政府要加强对资金的监管和审计，保证专款专用，提高使用效益。同时，要广泛动员和争取企业、个人</w:t>
      </w:r>
      <w:r>
        <w:rPr>
          <w:rFonts w:hint="eastAsia"/>
          <w:szCs w:val="32"/>
        </w:rPr>
        <w:t>及</w:t>
      </w:r>
      <w:r>
        <w:rPr>
          <w:szCs w:val="32"/>
        </w:rPr>
        <w:t>社会力量的支持。</w:t>
      </w:r>
    </w:p>
    <w:p w:rsidR="0006759F" w:rsidRDefault="0006759F" w:rsidP="0006759F">
      <w:pPr>
        <w:snapToGrid w:val="0"/>
        <w:spacing w:line="580" w:lineRule="exact"/>
        <w:ind w:firstLineChars="200" w:firstLine="640"/>
        <w:outlineLvl w:val="0"/>
        <w:rPr>
          <w:szCs w:val="32"/>
        </w:rPr>
      </w:pPr>
      <w:r>
        <w:rPr>
          <w:rFonts w:eastAsia="楷体_GB2312"/>
          <w:szCs w:val="32"/>
        </w:rPr>
        <w:t>（三）技术保障。</w:t>
      </w:r>
      <w:r>
        <w:rPr>
          <w:szCs w:val="32"/>
        </w:rPr>
        <w:t>加强消除血吸虫病科学研究，组织跨部门、跨行业、跨区域研发创新，加快传染源控制、监测预警、快速诊断技术、预防和治疗药品、灭螺药品和技术等方面的研究，开发一批适宜的防治技术和相关产品。及时制定、修订消除血吸虫病技术规范，指导消除血吸虫病工作。加强国际合作与交流，借鉴国外先进技术，交流推广我国血吸虫病防治工作经验和做法。</w:t>
      </w:r>
    </w:p>
    <w:p w:rsidR="0006759F" w:rsidRDefault="0006759F" w:rsidP="0006759F">
      <w:pPr>
        <w:snapToGrid w:val="0"/>
        <w:spacing w:line="580" w:lineRule="exact"/>
        <w:ind w:firstLineChars="200" w:firstLine="640"/>
        <w:outlineLvl w:val="0"/>
        <w:rPr>
          <w:szCs w:val="32"/>
        </w:rPr>
      </w:pPr>
      <w:r>
        <w:rPr>
          <w:rFonts w:eastAsia="楷体_GB2312"/>
          <w:szCs w:val="32"/>
        </w:rPr>
        <w:t>（四）机构和人员保障。</w:t>
      </w:r>
      <w:r>
        <w:rPr>
          <w:szCs w:val="32"/>
        </w:rPr>
        <w:t>强化血吸虫病防治能力，加强基础设施建设，完善血吸虫病监测体系。重点加强基层血吸虫病防治队伍建设和能力建设，开展专业人员素质教育和技术培训，建立完善与防治任务相适应的专业队伍。加强卫生、农业等血</w:t>
      </w:r>
      <w:r>
        <w:rPr>
          <w:szCs w:val="32"/>
        </w:rPr>
        <w:lastRenderedPageBreak/>
        <w:t>吸虫病检测实验室网络建设，提高检测能力。要按照国家有关规定保障血吸虫病防治机构专业人员的工资待遇</w:t>
      </w:r>
      <w:r>
        <w:rPr>
          <w:rFonts w:hint="eastAsia"/>
          <w:szCs w:val="32"/>
        </w:rPr>
        <w:t>和职业健康</w:t>
      </w:r>
      <w:r>
        <w:rPr>
          <w:szCs w:val="32"/>
        </w:rPr>
        <w:t>，保障血吸虫病防治工作正常开展。</w:t>
      </w:r>
    </w:p>
    <w:p w:rsidR="0006759F" w:rsidRDefault="0006759F" w:rsidP="0006759F">
      <w:pPr>
        <w:snapToGrid w:val="0"/>
        <w:spacing w:line="580" w:lineRule="exact"/>
        <w:ind w:firstLineChars="200" w:firstLine="640"/>
        <w:outlineLvl w:val="0"/>
        <w:rPr>
          <w:rFonts w:eastAsia="黑体"/>
          <w:szCs w:val="32"/>
        </w:rPr>
      </w:pPr>
      <w:r>
        <w:rPr>
          <w:rFonts w:eastAsia="黑体"/>
          <w:szCs w:val="32"/>
        </w:rPr>
        <w:t>六、监督和考核</w:t>
      </w:r>
    </w:p>
    <w:p w:rsidR="0006759F" w:rsidRDefault="0006759F" w:rsidP="0006759F">
      <w:pPr>
        <w:snapToGrid w:val="0"/>
        <w:spacing w:line="580" w:lineRule="exact"/>
        <w:ind w:firstLineChars="200" w:firstLine="640"/>
        <w:outlineLvl w:val="0"/>
        <w:rPr>
          <w:szCs w:val="32"/>
        </w:rPr>
      </w:pPr>
      <w:r>
        <w:rPr>
          <w:szCs w:val="32"/>
        </w:rPr>
        <w:t>流行区及监测地区各级人民政府、各有关部门要将防治、监测工作目标和任务层层分解，签订目标责任书。对没有实现防治工作目标的，追究有关责任人的责任。</w:t>
      </w:r>
    </w:p>
    <w:p w:rsidR="0006759F" w:rsidRDefault="0006759F" w:rsidP="0006759F">
      <w:pPr>
        <w:snapToGrid w:val="0"/>
        <w:spacing w:line="580" w:lineRule="exact"/>
        <w:ind w:firstLineChars="200" w:firstLine="640"/>
        <w:outlineLvl w:val="0"/>
        <w:rPr>
          <w:szCs w:val="32"/>
        </w:rPr>
      </w:pPr>
      <w:r>
        <w:rPr>
          <w:szCs w:val="32"/>
        </w:rPr>
        <w:t>国家卫生计生委定期组织开展血吸虫病流行病学调查，持续开展监测预警，会同有关部门于</w:t>
      </w:r>
      <w:r>
        <w:rPr>
          <w:szCs w:val="32"/>
        </w:rPr>
        <w:t>2020</w:t>
      </w:r>
      <w:r>
        <w:rPr>
          <w:szCs w:val="32"/>
        </w:rPr>
        <w:t>年开展规划实施情况终期评估。</w:t>
      </w:r>
    </w:p>
    <w:p w:rsidR="0006759F" w:rsidRDefault="0006759F" w:rsidP="0006759F">
      <w:pPr>
        <w:snapToGrid w:val="0"/>
        <w:spacing w:line="580" w:lineRule="exact"/>
        <w:ind w:firstLineChars="200" w:firstLine="640"/>
        <w:outlineLvl w:val="0"/>
        <w:rPr>
          <w:szCs w:val="32"/>
        </w:rPr>
      </w:pPr>
      <w:r>
        <w:rPr>
          <w:szCs w:val="32"/>
        </w:rPr>
        <w:t>注：</w:t>
      </w:r>
      <w:r>
        <w:rPr>
          <w:szCs w:val="32"/>
        </w:rPr>
        <w:t xml:space="preserve">1. </w:t>
      </w:r>
      <w:r>
        <w:rPr>
          <w:szCs w:val="32"/>
        </w:rPr>
        <w:t>本规划的实施范围是上海、江苏、浙江、安徽、福建、江西、湖北、湖南、广东、广西、重庆、四川、云南</w:t>
      </w:r>
      <w:r>
        <w:rPr>
          <w:szCs w:val="32"/>
        </w:rPr>
        <w:t>13</w:t>
      </w:r>
      <w:r>
        <w:rPr>
          <w:szCs w:val="32"/>
        </w:rPr>
        <w:t>个省（区、市）。</w:t>
      </w:r>
      <w:r>
        <w:rPr>
          <w:szCs w:val="32"/>
        </w:rPr>
        <w:t xml:space="preserve">2. </w:t>
      </w:r>
      <w:r>
        <w:rPr>
          <w:szCs w:val="32"/>
        </w:rPr>
        <w:t>本规划中传播控制标准是指人畜感染率低于</w:t>
      </w:r>
      <w:r>
        <w:rPr>
          <w:szCs w:val="32"/>
        </w:rPr>
        <w:t>1%</w:t>
      </w:r>
      <w:r>
        <w:rPr>
          <w:szCs w:val="32"/>
        </w:rPr>
        <w:t>，不出现当地感染的急性血吸虫病病人，连续</w:t>
      </w:r>
      <w:r>
        <w:rPr>
          <w:szCs w:val="32"/>
        </w:rPr>
        <w:t>2</w:t>
      </w:r>
      <w:r>
        <w:rPr>
          <w:szCs w:val="32"/>
        </w:rPr>
        <w:t>年以上查不到感染性钉螺。传播阻断标准是指连续</w:t>
      </w:r>
      <w:r>
        <w:rPr>
          <w:szCs w:val="32"/>
        </w:rPr>
        <w:t>5</w:t>
      </w:r>
      <w:r>
        <w:rPr>
          <w:szCs w:val="32"/>
        </w:rPr>
        <w:t>年未发现当地感染的血吸虫病病人和病畜、查不到感染性钉螺，以县为单位，建立和健全敏感、有效的血吸虫病监测体系。消除标准是指达到传播阻断后，连续</w:t>
      </w:r>
      <w:r>
        <w:rPr>
          <w:szCs w:val="32"/>
        </w:rPr>
        <w:t>5</w:t>
      </w:r>
      <w:r>
        <w:rPr>
          <w:szCs w:val="32"/>
        </w:rPr>
        <w:t>年未发现当地感染的血吸虫病病人、病畜和感染性钉螺。</w:t>
      </w:r>
    </w:p>
    <w:p w:rsidR="0006759F" w:rsidRDefault="0006759F" w:rsidP="0006759F">
      <w:pPr>
        <w:adjustRightInd w:val="0"/>
        <w:snapToGrid w:val="0"/>
        <w:spacing w:line="580" w:lineRule="exact"/>
        <w:outlineLvl w:val="0"/>
        <w:rPr>
          <w:szCs w:val="32"/>
        </w:rPr>
      </w:pPr>
    </w:p>
    <w:p w:rsidR="0006759F" w:rsidRDefault="0006759F" w:rsidP="0006759F">
      <w:pPr>
        <w:adjustRightInd w:val="0"/>
        <w:snapToGrid w:val="0"/>
        <w:spacing w:line="580" w:lineRule="exact"/>
        <w:ind w:firstLineChars="200" w:firstLine="640"/>
        <w:outlineLvl w:val="0"/>
        <w:rPr>
          <w:szCs w:val="32"/>
        </w:rPr>
      </w:pPr>
      <w:r>
        <w:rPr>
          <w:szCs w:val="32"/>
        </w:rPr>
        <w:t>附件：</w:t>
      </w:r>
      <w:r>
        <w:rPr>
          <w:szCs w:val="32"/>
        </w:rPr>
        <w:t xml:space="preserve">1. </w:t>
      </w:r>
      <w:r>
        <w:rPr>
          <w:szCs w:val="32"/>
        </w:rPr>
        <w:t>全国血吸虫病消除规划目标进度表</w:t>
      </w:r>
    </w:p>
    <w:p w:rsidR="0006759F" w:rsidRDefault="0006759F" w:rsidP="0006759F">
      <w:pPr>
        <w:adjustRightInd w:val="0"/>
        <w:snapToGrid w:val="0"/>
        <w:spacing w:line="580" w:lineRule="exact"/>
        <w:outlineLvl w:val="0"/>
        <w:rPr>
          <w:szCs w:val="32"/>
        </w:rPr>
      </w:pPr>
      <w:r>
        <w:rPr>
          <w:szCs w:val="32"/>
        </w:rPr>
        <w:t xml:space="preserve">          2. </w:t>
      </w:r>
      <w:r>
        <w:rPr>
          <w:szCs w:val="32"/>
        </w:rPr>
        <w:t>全国消除血吸虫病流行县（市、区）目标计</w:t>
      </w:r>
    </w:p>
    <w:p w:rsidR="0006759F" w:rsidRDefault="0006759F" w:rsidP="0006759F">
      <w:pPr>
        <w:widowControl/>
        <w:spacing w:line="580" w:lineRule="exact"/>
        <w:rPr>
          <w:rFonts w:ascii="黑体" w:eastAsia="黑体" w:hint="eastAsia"/>
          <w:szCs w:val="32"/>
        </w:rPr>
      </w:pPr>
      <w:r>
        <w:rPr>
          <w:szCs w:val="32"/>
        </w:rPr>
        <w:t xml:space="preserve">            </w:t>
      </w:r>
      <w:r>
        <w:rPr>
          <w:szCs w:val="32"/>
        </w:rPr>
        <w:t>划一览表</w:t>
      </w:r>
      <w:r>
        <w:rPr>
          <w:szCs w:val="32"/>
        </w:rPr>
        <w:br w:type="page"/>
      </w:r>
      <w:r>
        <w:rPr>
          <w:rFonts w:ascii="黑体" w:eastAsia="黑体" w:hint="eastAsia"/>
          <w:szCs w:val="32"/>
        </w:rPr>
        <w:lastRenderedPageBreak/>
        <w:t>附件1</w:t>
      </w:r>
    </w:p>
    <w:p w:rsidR="0006759F" w:rsidRDefault="0006759F" w:rsidP="0006759F">
      <w:pPr>
        <w:adjustRightInd w:val="0"/>
        <w:snapToGrid w:val="0"/>
        <w:spacing w:line="360" w:lineRule="auto"/>
        <w:outlineLvl w:val="0"/>
        <w:rPr>
          <w:rFonts w:eastAsia="宋体"/>
          <w:b/>
          <w:szCs w:val="32"/>
        </w:rPr>
      </w:pPr>
    </w:p>
    <w:p w:rsidR="0006759F" w:rsidRDefault="0006759F" w:rsidP="0006759F">
      <w:pPr>
        <w:widowControl/>
        <w:spacing w:line="360" w:lineRule="auto"/>
        <w:jc w:val="center"/>
        <w:rPr>
          <w:rFonts w:ascii="宋体" w:eastAsia="宋体" w:hAnsi="宋体"/>
          <w:b/>
          <w:sz w:val="44"/>
          <w:szCs w:val="36"/>
        </w:rPr>
      </w:pPr>
      <w:r>
        <w:rPr>
          <w:rFonts w:ascii="宋体" w:eastAsia="宋体" w:hAnsi="宋体"/>
          <w:b/>
          <w:sz w:val="44"/>
          <w:szCs w:val="36"/>
        </w:rPr>
        <w:t>全国血吸虫病消除规划目标进度表</w:t>
      </w:r>
    </w:p>
    <w:tbl>
      <w:tblPr>
        <w:tblW w:w="0" w:type="auto"/>
        <w:jc w:val="center"/>
        <w:tblLayout w:type="fixed"/>
        <w:tblLook w:val="0000" w:firstRow="0" w:lastRow="0" w:firstColumn="0" w:lastColumn="0" w:noHBand="0" w:noVBand="0"/>
      </w:tblPr>
      <w:tblGrid>
        <w:gridCol w:w="724"/>
        <w:gridCol w:w="992"/>
        <w:gridCol w:w="851"/>
        <w:gridCol w:w="992"/>
        <w:gridCol w:w="284"/>
        <w:gridCol w:w="992"/>
        <w:gridCol w:w="850"/>
        <w:gridCol w:w="851"/>
        <w:gridCol w:w="283"/>
        <w:gridCol w:w="851"/>
        <w:gridCol w:w="709"/>
        <w:gridCol w:w="850"/>
      </w:tblGrid>
      <w:tr w:rsidR="0006759F" w:rsidTr="002A0962">
        <w:trPr>
          <w:trHeight w:val="315"/>
          <w:jc w:val="center"/>
        </w:trPr>
        <w:tc>
          <w:tcPr>
            <w:tcW w:w="724" w:type="dxa"/>
            <w:vMerge w:val="restart"/>
            <w:tcBorders>
              <w:top w:val="single" w:sz="8" w:space="0" w:color="292934"/>
              <w:left w:val="single" w:sz="8" w:space="0" w:color="FFFFFF"/>
              <w:bottom w:val="single" w:sz="8" w:space="0" w:color="292934"/>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省份</w:t>
            </w:r>
          </w:p>
        </w:tc>
        <w:tc>
          <w:tcPr>
            <w:tcW w:w="992" w:type="dxa"/>
            <w:vMerge w:val="restart"/>
            <w:tcBorders>
              <w:top w:val="single" w:sz="8" w:space="0" w:color="292934"/>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流行县</w:t>
            </w:r>
          </w:p>
          <w:p w:rsidR="0006759F" w:rsidRDefault="0006759F" w:rsidP="002A0962">
            <w:pPr>
              <w:widowControl/>
              <w:spacing w:line="360" w:lineRule="auto"/>
              <w:rPr>
                <w:color w:val="292934"/>
                <w:kern w:val="0"/>
                <w:sz w:val="24"/>
              </w:rPr>
            </w:pPr>
            <w:r>
              <w:rPr>
                <w:color w:val="292934"/>
                <w:kern w:val="0"/>
                <w:sz w:val="24"/>
              </w:rPr>
              <w:t>总数</w:t>
            </w:r>
          </w:p>
        </w:tc>
        <w:tc>
          <w:tcPr>
            <w:tcW w:w="1843" w:type="dxa"/>
            <w:gridSpan w:val="2"/>
            <w:vMerge w:val="restart"/>
            <w:tcBorders>
              <w:top w:val="single" w:sz="8" w:space="0" w:color="292934"/>
              <w:left w:val="nil"/>
              <w:bottom w:val="single" w:sz="4" w:space="0" w:color="auto"/>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292934"/>
                <w:kern w:val="0"/>
                <w:sz w:val="24"/>
              </w:rPr>
            </w:pPr>
            <w:r>
              <w:rPr>
                <w:rFonts w:eastAsia="宋体"/>
                <w:color w:val="292934"/>
                <w:kern w:val="0"/>
                <w:sz w:val="24"/>
              </w:rPr>
              <w:t>2015</w:t>
            </w:r>
            <w:r>
              <w:rPr>
                <w:color w:val="292934"/>
                <w:kern w:val="0"/>
                <w:sz w:val="24"/>
              </w:rPr>
              <w:t>年</w:t>
            </w:r>
          </w:p>
        </w:tc>
        <w:tc>
          <w:tcPr>
            <w:tcW w:w="284" w:type="dxa"/>
            <w:tcBorders>
              <w:top w:val="single" w:sz="8" w:space="0" w:color="292934"/>
              <w:left w:val="nil"/>
              <w:bottom w:val="nil"/>
              <w:right w:val="nil"/>
            </w:tcBorders>
            <w:shd w:val="clear" w:color="auto" w:fill="FFFFFF"/>
            <w:vAlign w:val="center"/>
          </w:tcPr>
          <w:p w:rsidR="0006759F" w:rsidRDefault="0006759F" w:rsidP="002A0962">
            <w:pPr>
              <w:widowControl/>
              <w:spacing w:line="360" w:lineRule="auto"/>
              <w:rPr>
                <w:rFonts w:eastAsia="宋体"/>
                <w:color w:val="292934"/>
                <w:kern w:val="0"/>
                <w:sz w:val="24"/>
              </w:rPr>
            </w:pPr>
            <w:r>
              <w:rPr>
                <w:rFonts w:eastAsia="宋体"/>
                <w:color w:val="292934"/>
                <w:kern w:val="0"/>
                <w:sz w:val="24"/>
              </w:rPr>
              <w:t xml:space="preserve">　</w:t>
            </w:r>
          </w:p>
        </w:tc>
        <w:tc>
          <w:tcPr>
            <w:tcW w:w="2693" w:type="dxa"/>
            <w:gridSpan w:val="3"/>
            <w:vMerge w:val="restart"/>
            <w:tcBorders>
              <w:top w:val="single" w:sz="8" w:space="0" w:color="292934"/>
              <w:left w:val="single" w:sz="8" w:space="0" w:color="FFFFFF"/>
              <w:bottom w:val="single" w:sz="4" w:space="0" w:color="auto"/>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292934"/>
                <w:kern w:val="0"/>
                <w:sz w:val="24"/>
              </w:rPr>
            </w:pPr>
            <w:r>
              <w:rPr>
                <w:rFonts w:eastAsia="宋体"/>
                <w:color w:val="292934"/>
                <w:kern w:val="0"/>
                <w:sz w:val="24"/>
              </w:rPr>
              <w:t>2017</w:t>
            </w:r>
            <w:r>
              <w:rPr>
                <w:color w:val="292934"/>
                <w:kern w:val="0"/>
                <w:sz w:val="24"/>
              </w:rPr>
              <w:t>年</w:t>
            </w:r>
          </w:p>
        </w:tc>
        <w:tc>
          <w:tcPr>
            <w:tcW w:w="283" w:type="dxa"/>
            <w:tcBorders>
              <w:top w:val="single" w:sz="8" w:space="0" w:color="auto"/>
              <w:left w:val="nil"/>
              <w:bottom w:val="nil"/>
              <w:right w:val="single" w:sz="8" w:space="0" w:color="FFFFFF"/>
            </w:tcBorders>
            <w:shd w:val="clear" w:color="auto" w:fill="auto"/>
            <w:vAlign w:val="center"/>
          </w:tcPr>
          <w:p w:rsidR="0006759F" w:rsidRDefault="0006759F" w:rsidP="002A0962">
            <w:pPr>
              <w:widowControl/>
              <w:spacing w:line="360" w:lineRule="auto"/>
              <w:rPr>
                <w:rFonts w:eastAsia="宋体"/>
                <w:color w:val="000000"/>
                <w:kern w:val="0"/>
                <w:sz w:val="22"/>
                <w:szCs w:val="22"/>
              </w:rPr>
            </w:pPr>
            <w:r>
              <w:rPr>
                <w:rFonts w:eastAsia="宋体"/>
                <w:color w:val="000000"/>
                <w:kern w:val="0"/>
                <w:sz w:val="22"/>
                <w:szCs w:val="22"/>
              </w:rPr>
              <w:t xml:space="preserve">　</w:t>
            </w:r>
          </w:p>
        </w:tc>
        <w:tc>
          <w:tcPr>
            <w:tcW w:w="2410" w:type="dxa"/>
            <w:gridSpan w:val="3"/>
            <w:vMerge w:val="restart"/>
            <w:tcBorders>
              <w:top w:val="single" w:sz="8" w:space="0" w:color="292934"/>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jc w:val="center"/>
              <w:rPr>
                <w:color w:val="292934"/>
                <w:kern w:val="0"/>
                <w:sz w:val="24"/>
              </w:rPr>
            </w:pPr>
            <w:r>
              <w:rPr>
                <w:rFonts w:eastAsia="宋体"/>
                <w:color w:val="292934"/>
                <w:kern w:val="0"/>
                <w:sz w:val="24"/>
              </w:rPr>
              <w:t>2020</w:t>
            </w:r>
            <w:r>
              <w:rPr>
                <w:color w:val="292934"/>
                <w:kern w:val="0"/>
                <w:sz w:val="24"/>
              </w:rPr>
              <w:t>年</w:t>
            </w:r>
          </w:p>
        </w:tc>
      </w:tr>
      <w:tr w:rsidR="0006759F" w:rsidTr="002A0962">
        <w:trPr>
          <w:trHeight w:val="300"/>
          <w:jc w:val="center"/>
        </w:trPr>
        <w:tc>
          <w:tcPr>
            <w:tcW w:w="724" w:type="dxa"/>
            <w:vMerge/>
            <w:tcBorders>
              <w:top w:val="single" w:sz="8" w:space="0" w:color="292934"/>
              <w:left w:val="single" w:sz="8" w:space="0" w:color="FFFFFF"/>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c>
          <w:tcPr>
            <w:tcW w:w="992" w:type="dxa"/>
            <w:vMerge/>
            <w:tcBorders>
              <w:top w:val="single" w:sz="8" w:space="0" w:color="292934"/>
              <w:left w:val="nil"/>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c>
          <w:tcPr>
            <w:tcW w:w="1843" w:type="dxa"/>
            <w:gridSpan w:val="2"/>
            <w:vMerge/>
            <w:tcBorders>
              <w:top w:val="single" w:sz="8" w:space="0" w:color="292934"/>
              <w:left w:val="nil"/>
              <w:bottom w:val="single" w:sz="4" w:space="0" w:color="auto"/>
              <w:right w:val="single" w:sz="8" w:space="0" w:color="FFFFFF"/>
            </w:tcBorders>
            <w:shd w:val="clear" w:color="auto" w:fill="FFFFFF"/>
            <w:vAlign w:val="center"/>
          </w:tcPr>
          <w:p w:rsidR="0006759F" w:rsidRDefault="0006759F" w:rsidP="002A0962">
            <w:pPr>
              <w:rPr>
                <w:rFonts w:eastAsia="宋体"/>
                <w:sz w:val="20"/>
                <w:szCs w:val="20"/>
              </w:rPr>
            </w:pPr>
          </w:p>
        </w:tc>
        <w:tc>
          <w:tcPr>
            <w:tcW w:w="284" w:type="dxa"/>
            <w:tcBorders>
              <w:top w:val="nil"/>
              <w:left w:val="nil"/>
              <w:bottom w:val="nil"/>
              <w:right w:val="nil"/>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 xml:space="preserve">　</w:t>
            </w:r>
          </w:p>
        </w:tc>
        <w:tc>
          <w:tcPr>
            <w:tcW w:w="2693" w:type="dxa"/>
            <w:gridSpan w:val="3"/>
            <w:vMerge/>
            <w:tcBorders>
              <w:top w:val="single" w:sz="8" w:space="0" w:color="292934"/>
              <w:left w:val="single" w:sz="8" w:space="0" w:color="FFFFFF"/>
              <w:bottom w:val="single" w:sz="4" w:space="0" w:color="auto"/>
              <w:right w:val="single" w:sz="8" w:space="0" w:color="FFFFFF"/>
            </w:tcBorders>
            <w:shd w:val="clear" w:color="auto" w:fill="FFFFFF"/>
            <w:vAlign w:val="center"/>
          </w:tcPr>
          <w:p w:rsidR="0006759F" w:rsidRDefault="0006759F" w:rsidP="002A0962">
            <w:pPr>
              <w:rPr>
                <w:rFonts w:eastAsia="宋体"/>
                <w:sz w:val="20"/>
                <w:szCs w:val="20"/>
              </w:rPr>
            </w:pPr>
          </w:p>
        </w:tc>
        <w:tc>
          <w:tcPr>
            <w:tcW w:w="283" w:type="dxa"/>
            <w:tcBorders>
              <w:top w:val="nil"/>
              <w:left w:val="nil"/>
              <w:bottom w:val="nil"/>
              <w:right w:val="single" w:sz="8" w:space="0" w:color="FFFFFF"/>
            </w:tcBorders>
            <w:shd w:val="clear" w:color="auto" w:fill="auto"/>
            <w:vAlign w:val="center"/>
          </w:tcPr>
          <w:p w:rsidR="0006759F" w:rsidRDefault="0006759F" w:rsidP="002A0962">
            <w:pPr>
              <w:widowControl/>
              <w:spacing w:line="360" w:lineRule="auto"/>
              <w:rPr>
                <w:rFonts w:eastAsia="宋体"/>
                <w:color w:val="000000"/>
                <w:kern w:val="0"/>
                <w:sz w:val="22"/>
                <w:szCs w:val="22"/>
              </w:rPr>
            </w:pPr>
            <w:r>
              <w:rPr>
                <w:rFonts w:eastAsia="宋体"/>
                <w:color w:val="000000"/>
                <w:kern w:val="0"/>
                <w:sz w:val="22"/>
                <w:szCs w:val="22"/>
              </w:rPr>
              <w:t xml:space="preserve">　</w:t>
            </w:r>
          </w:p>
        </w:tc>
        <w:tc>
          <w:tcPr>
            <w:tcW w:w="2410" w:type="dxa"/>
            <w:gridSpan w:val="3"/>
            <w:vMerge/>
            <w:tcBorders>
              <w:top w:val="single" w:sz="8" w:space="0" w:color="292934"/>
              <w:left w:val="nil"/>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r>
      <w:tr w:rsidR="0006759F" w:rsidTr="002A0962">
        <w:trPr>
          <w:trHeight w:val="285"/>
          <w:jc w:val="center"/>
        </w:trPr>
        <w:tc>
          <w:tcPr>
            <w:tcW w:w="724" w:type="dxa"/>
            <w:vMerge/>
            <w:tcBorders>
              <w:top w:val="single" w:sz="8" w:space="0" w:color="292934"/>
              <w:left w:val="single" w:sz="8" w:space="0" w:color="FFFFFF"/>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c>
          <w:tcPr>
            <w:tcW w:w="992" w:type="dxa"/>
            <w:vMerge/>
            <w:tcBorders>
              <w:top w:val="single" w:sz="8" w:space="0" w:color="292934"/>
              <w:left w:val="nil"/>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c>
          <w:tcPr>
            <w:tcW w:w="851" w:type="dxa"/>
            <w:vMerge w:val="restart"/>
            <w:tcBorders>
              <w:top w:val="nil"/>
              <w:left w:val="nil"/>
              <w:bottom w:val="single" w:sz="4" w:space="0" w:color="auto"/>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传播</w:t>
            </w:r>
          </w:p>
          <w:p w:rsidR="0006759F" w:rsidRDefault="0006759F" w:rsidP="002A0962">
            <w:pPr>
              <w:widowControl/>
              <w:spacing w:line="360" w:lineRule="auto"/>
              <w:rPr>
                <w:color w:val="292934"/>
                <w:kern w:val="0"/>
                <w:sz w:val="24"/>
              </w:rPr>
            </w:pPr>
            <w:r>
              <w:rPr>
                <w:color w:val="292934"/>
                <w:kern w:val="0"/>
                <w:sz w:val="24"/>
              </w:rPr>
              <w:t>控制</w:t>
            </w:r>
          </w:p>
        </w:tc>
        <w:tc>
          <w:tcPr>
            <w:tcW w:w="992" w:type="dxa"/>
            <w:vMerge w:val="restart"/>
            <w:tcBorders>
              <w:top w:val="single" w:sz="4" w:space="0" w:color="auto"/>
              <w:left w:val="nil"/>
              <w:bottom w:val="single" w:sz="4" w:space="0" w:color="auto"/>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传播</w:t>
            </w:r>
          </w:p>
          <w:p w:rsidR="0006759F" w:rsidRDefault="0006759F" w:rsidP="002A0962">
            <w:pPr>
              <w:spacing w:line="360" w:lineRule="auto"/>
              <w:rPr>
                <w:color w:val="292934"/>
                <w:kern w:val="0"/>
                <w:sz w:val="24"/>
              </w:rPr>
            </w:pPr>
            <w:r>
              <w:rPr>
                <w:color w:val="292934"/>
                <w:kern w:val="0"/>
                <w:sz w:val="24"/>
              </w:rPr>
              <w:t>阻断</w:t>
            </w:r>
          </w:p>
        </w:tc>
        <w:tc>
          <w:tcPr>
            <w:tcW w:w="284" w:type="dxa"/>
            <w:tcBorders>
              <w:top w:val="single" w:sz="8" w:space="0" w:color="FFFFFF"/>
              <w:left w:val="nil"/>
              <w:bottom w:val="nil"/>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 xml:space="preserve">　</w:t>
            </w:r>
          </w:p>
        </w:tc>
        <w:tc>
          <w:tcPr>
            <w:tcW w:w="992" w:type="dxa"/>
            <w:vMerge w:val="restart"/>
            <w:tcBorders>
              <w:top w:val="single" w:sz="4" w:space="0" w:color="auto"/>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传播</w:t>
            </w:r>
          </w:p>
          <w:p w:rsidR="0006759F" w:rsidRDefault="0006759F" w:rsidP="002A0962">
            <w:pPr>
              <w:widowControl/>
              <w:spacing w:line="360" w:lineRule="auto"/>
              <w:rPr>
                <w:color w:val="292934"/>
                <w:kern w:val="0"/>
                <w:sz w:val="24"/>
              </w:rPr>
            </w:pPr>
            <w:r>
              <w:rPr>
                <w:color w:val="292934"/>
                <w:kern w:val="0"/>
                <w:sz w:val="24"/>
              </w:rPr>
              <w:t>控制</w:t>
            </w:r>
          </w:p>
        </w:tc>
        <w:tc>
          <w:tcPr>
            <w:tcW w:w="850" w:type="dxa"/>
            <w:vMerge w:val="restart"/>
            <w:tcBorders>
              <w:top w:val="single" w:sz="4" w:space="0" w:color="auto"/>
              <w:left w:val="nil"/>
              <w:bottom w:val="single" w:sz="4" w:space="0" w:color="auto"/>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传播</w:t>
            </w:r>
          </w:p>
          <w:p w:rsidR="0006759F" w:rsidRDefault="0006759F" w:rsidP="002A0962">
            <w:pPr>
              <w:spacing w:line="360" w:lineRule="auto"/>
              <w:rPr>
                <w:color w:val="292934"/>
                <w:kern w:val="0"/>
                <w:sz w:val="24"/>
              </w:rPr>
            </w:pPr>
            <w:r>
              <w:rPr>
                <w:color w:val="292934"/>
                <w:kern w:val="0"/>
                <w:sz w:val="24"/>
              </w:rPr>
              <w:t>阻断</w:t>
            </w:r>
          </w:p>
        </w:tc>
        <w:tc>
          <w:tcPr>
            <w:tcW w:w="851" w:type="dxa"/>
            <w:vMerge w:val="restart"/>
            <w:tcBorders>
              <w:top w:val="single" w:sz="4" w:space="0" w:color="auto"/>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消除</w:t>
            </w:r>
          </w:p>
        </w:tc>
        <w:tc>
          <w:tcPr>
            <w:tcW w:w="283" w:type="dxa"/>
            <w:tcBorders>
              <w:top w:val="single" w:sz="8" w:space="0" w:color="FFFFFF"/>
              <w:left w:val="nil"/>
              <w:bottom w:val="nil"/>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 xml:space="preserve">　</w:t>
            </w:r>
          </w:p>
        </w:tc>
        <w:tc>
          <w:tcPr>
            <w:tcW w:w="851" w:type="dxa"/>
            <w:vMerge w:val="restart"/>
            <w:tcBorders>
              <w:top w:val="single" w:sz="8" w:space="0" w:color="292934"/>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传播</w:t>
            </w:r>
          </w:p>
          <w:p w:rsidR="0006759F" w:rsidRDefault="0006759F" w:rsidP="002A0962">
            <w:pPr>
              <w:widowControl/>
              <w:spacing w:line="360" w:lineRule="auto"/>
              <w:rPr>
                <w:color w:val="292934"/>
                <w:kern w:val="0"/>
                <w:sz w:val="24"/>
              </w:rPr>
            </w:pPr>
            <w:r>
              <w:rPr>
                <w:color w:val="292934"/>
                <w:kern w:val="0"/>
                <w:sz w:val="24"/>
              </w:rPr>
              <w:t>控制</w:t>
            </w:r>
          </w:p>
        </w:tc>
        <w:tc>
          <w:tcPr>
            <w:tcW w:w="709" w:type="dxa"/>
            <w:tcBorders>
              <w:top w:val="single" w:sz="8" w:space="0" w:color="292934"/>
              <w:left w:val="nil"/>
              <w:bottom w:val="nil"/>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传播</w:t>
            </w:r>
          </w:p>
        </w:tc>
        <w:tc>
          <w:tcPr>
            <w:tcW w:w="850" w:type="dxa"/>
            <w:vMerge w:val="restart"/>
            <w:tcBorders>
              <w:top w:val="single" w:sz="8" w:space="0" w:color="292934"/>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消除</w:t>
            </w:r>
          </w:p>
        </w:tc>
      </w:tr>
      <w:tr w:rsidR="0006759F" w:rsidTr="002A0962">
        <w:trPr>
          <w:trHeight w:val="548"/>
          <w:jc w:val="center"/>
        </w:trPr>
        <w:tc>
          <w:tcPr>
            <w:tcW w:w="724" w:type="dxa"/>
            <w:vMerge/>
            <w:tcBorders>
              <w:top w:val="single" w:sz="8" w:space="0" w:color="292934"/>
              <w:left w:val="single" w:sz="8" w:space="0" w:color="FFFFFF"/>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c>
          <w:tcPr>
            <w:tcW w:w="992" w:type="dxa"/>
            <w:vMerge/>
            <w:tcBorders>
              <w:top w:val="single" w:sz="8" w:space="0" w:color="292934"/>
              <w:left w:val="nil"/>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c>
          <w:tcPr>
            <w:tcW w:w="851" w:type="dxa"/>
            <w:vMerge/>
            <w:tcBorders>
              <w:top w:val="nil"/>
              <w:left w:val="nil"/>
              <w:bottom w:val="single" w:sz="4" w:space="0" w:color="auto"/>
              <w:right w:val="single" w:sz="8" w:space="0" w:color="FFFFFF"/>
            </w:tcBorders>
            <w:shd w:val="clear" w:color="auto" w:fill="FFFFFF"/>
            <w:vAlign w:val="center"/>
          </w:tcPr>
          <w:p w:rsidR="0006759F" w:rsidRDefault="0006759F" w:rsidP="002A0962">
            <w:pPr>
              <w:rPr>
                <w:rFonts w:eastAsia="宋体"/>
                <w:sz w:val="20"/>
                <w:szCs w:val="20"/>
              </w:rPr>
            </w:pPr>
          </w:p>
        </w:tc>
        <w:tc>
          <w:tcPr>
            <w:tcW w:w="992" w:type="dxa"/>
            <w:vMerge/>
            <w:tcBorders>
              <w:top w:val="single" w:sz="4" w:space="0" w:color="auto"/>
              <w:left w:val="nil"/>
              <w:bottom w:val="single" w:sz="4" w:space="0" w:color="auto"/>
              <w:right w:val="single" w:sz="8" w:space="0" w:color="FFFFFF"/>
            </w:tcBorders>
            <w:shd w:val="clear" w:color="auto" w:fill="FFFFFF"/>
            <w:vAlign w:val="center"/>
          </w:tcPr>
          <w:p w:rsidR="0006759F" w:rsidRDefault="0006759F" w:rsidP="002A0962">
            <w:pPr>
              <w:rPr>
                <w:rFonts w:eastAsia="宋体"/>
                <w:sz w:val="20"/>
                <w:szCs w:val="20"/>
              </w:rPr>
            </w:pPr>
          </w:p>
        </w:tc>
        <w:tc>
          <w:tcPr>
            <w:tcW w:w="284" w:type="dxa"/>
            <w:tcBorders>
              <w:top w:val="nil"/>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 xml:space="preserve">　</w:t>
            </w:r>
          </w:p>
        </w:tc>
        <w:tc>
          <w:tcPr>
            <w:tcW w:w="992" w:type="dxa"/>
            <w:vMerge/>
            <w:tcBorders>
              <w:top w:val="single" w:sz="4" w:space="0" w:color="auto"/>
              <w:left w:val="nil"/>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c>
          <w:tcPr>
            <w:tcW w:w="850" w:type="dxa"/>
            <w:vMerge/>
            <w:tcBorders>
              <w:top w:val="single" w:sz="4" w:space="0" w:color="auto"/>
              <w:left w:val="nil"/>
              <w:bottom w:val="single" w:sz="4" w:space="0" w:color="auto"/>
              <w:right w:val="single" w:sz="8" w:space="0" w:color="FFFFFF"/>
            </w:tcBorders>
            <w:shd w:val="clear" w:color="auto" w:fill="FFFFFF"/>
            <w:vAlign w:val="center"/>
          </w:tcPr>
          <w:p w:rsidR="0006759F" w:rsidRDefault="0006759F" w:rsidP="002A0962">
            <w:pPr>
              <w:rPr>
                <w:rFonts w:eastAsia="宋体"/>
                <w:sz w:val="20"/>
                <w:szCs w:val="20"/>
              </w:rPr>
            </w:pPr>
          </w:p>
        </w:tc>
        <w:tc>
          <w:tcPr>
            <w:tcW w:w="851" w:type="dxa"/>
            <w:vMerge/>
            <w:tcBorders>
              <w:top w:val="single" w:sz="4" w:space="0" w:color="auto"/>
              <w:left w:val="nil"/>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c>
          <w:tcPr>
            <w:tcW w:w="283" w:type="dxa"/>
            <w:tcBorders>
              <w:top w:val="nil"/>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 xml:space="preserve">　</w:t>
            </w:r>
          </w:p>
        </w:tc>
        <w:tc>
          <w:tcPr>
            <w:tcW w:w="851" w:type="dxa"/>
            <w:vMerge/>
            <w:tcBorders>
              <w:top w:val="single" w:sz="8" w:space="0" w:color="292934"/>
              <w:left w:val="nil"/>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c>
          <w:tcPr>
            <w:tcW w:w="709" w:type="dxa"/>
            <w:tcBorders>
              <w:top w:val="nil"/>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rPr>
                <w:color w:val="292934"/>
                <w:kern w:val="0"/>
                <w:sz w:val="24"/>
              </w:rPr>
            </w:pPr>
            <w:r>
              <w:rPr>
                <w:color w:val="292934"/>
                <w:kern w:val="0"/>
                <w:sz w:val="24"/>
              </w:rPr>
              <w:t>阻断</w:t>
            </w:r>
          </w:p>
        </w:tc>
        <w:tc>
          <w:tcPr>
            <w:tcW w:w="850" w:type="dxa"/>
            <w:vMerge/>
            <w:tcBorders>
              <w:top w:val="single" w:sz="8" w:space="0" w:color="292934"/>
              <w:left w:val="nil"/>
              <w:bottom w:val="single" w:sz="8" w:space="0" w:color="292934"/>
              <w:right w:val="single" w:sz="8" w:space="0" w:color="FFFFFF"/>
            </w:tcBorders>
            <w:shd w:val="clear" w:color="auto" w:fill="FFFFFF"/>
            <w:vAlign w:val="center"/>
          </w:tcPr>
          <w:p w:rsidR="0006759F" w:rsidRDefault="0006759F" w:rsidP="002A0962">
            <w:pPr>
              <w:rPr>
                <w:rFonts w:eastAsia="宋体"/>
                <w:sz w:val="20"/>
                <w:szCs w:val="20"/>
              </w:rPr>
            </w:pP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上海</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8</w:t>
            </w:r>
          </w:p>
        </w:tc>
        <w:tc>
          <w:tcPr>
            <w:tcW w:w="851" w:type="dxa"/>
            <w:tcBorders>
              <w:top w:val="single" w:sz="4" w:space="0" w:color="auto"/>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single" w:sz="4" w:space="0" w:color="auto"/>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8</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single" w:sz="4" w:space="0" w:color="auto"/>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8</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8</w:t>
            </w: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江苏</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67</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7</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60</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7</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60</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7</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60</w:t>
            </w: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浙江</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55</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55</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55</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55</w:t>
            </w: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安徽</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51</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28</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23</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28</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23</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5</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23</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23</w:t>
            </w: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福建</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16</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16</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16</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16</w:t>
            </w: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江西</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39</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15</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24</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15</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24</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11</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4</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24</w:t>
            </w: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湖北</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63</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27</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36</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27</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36</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27</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36</w:t>
            </w: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湖南</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41</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26</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15</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26</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15</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26</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15</w:t>
            </w: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广东</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13</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13</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13</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13</w:t>
            </w: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广西</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19</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19</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19</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19</w:t>
            </w:r>
          </w:p>
        </w:tc>
      </w:tr>
      <w:tr w:rsidR="0006759F" w:rsidTr="002A0962">
        <w:trPr>
          <w:trHeight w:val="330"/>
          <w:jc w:val="center"/>
        </w:trPr>
        <w:tc>
          <w:tcPr>
            <w:tcW w:w="724" w:type="dxa"/>
            <w:tcBorders>
              <w:top w:val="nil"/>
              <w:left w:val="single" w:sz="8" w:space="0" w:color="FFFFFF"/>
              <w:bottom w:val="single" w:sz="8" w:space="0" w:color="FFFFFF"/>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四川</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63</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63</w:t>
            </w:r>
          </w:p>
        </w:tc>
        <w:tc>
          <w:tcPr>
            <w:tcW w:w="284"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63</w:t>
            </w: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sz="8" w:space="0" w:color="FFFFFF"/>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3</w:t>
            </w:r>
          </w:p>
        </w:tc>
        <w:tc>
          <w:tcPr>
            <w:tcW w:w="850" w:type="dxa"/>
            <w:tcBorders>
              <w:top w:val="nil"/>
              <w:left w:val="nil"/>
              <w:bottom w:val="single" w:sz="8" w:space="0" w:color="FFFFFF"/>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60</w:t>
            </w:r>
          </w:p>
        </w:tc>
      </w:tr>
      <w:tr w:rsidR="0006759F" w:rsidTr="002A0962">
        <w:trPr>
          <w:trHeight w:val="330"/>
          <w:jc w:val="center"/>
        </w:trPr>
        <w:tc>
          <w:tcPr>
            <w:tcW w:w="724" w:type="dxa"/>
            <w:tcBorders>
              <w:top w:val="nil"/>
              <w:left w:val="single" w:sz="8" w:space="0" w:color="FFFFFF"/>
              <w:bottom w:val="single" w:sz="8" w:space="0" w:color="292934"/>
              <w:right w:val="single" w:sz="8" w:space="0" w:color="FFFFFF"/>
            </w:tcBorders>
            <w:shd w:val="clear" w:color="auto" w:fill="FFFFFF"/>
            <w:vAlign w:val="center"/>
          </w:tcPr>
          <w:p w:rsidR="0006759F" w:rsidRDefault="0006759F" w:rsidP="002A0962">
            <w:pPr>
              <w:widowControl/>
              <w:spacing w:line="360" w:lineRule="auto"/>
              <w:rPr>
                <w:color w:val="000000"/>
                <w:kern w:val="0"/>
                <w:sz w:val="24"/>
              </w:rPr>
            </w:pPr>
            <w:r>
              <w:rPr>
                <w:color w:val="000000"/>
                <w:kern w:val="0"/>
                <w:sz w:val="24"/>
              </w:rPr>
              <w:t>云南</w:t>
            </w:r>
          </w:p>
        </w:tc>
        <w:tc>
          <w:tcPr>
            <w:tcW w:w="992" w:type="dxa"/>
            <w:tcBorders>
              <w:top w:val="nil"/>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18</w:t>
            </w:r>
          </w:p>
        </w:tc>
        <w:tc>
          <w:tcPr>
            <w:tcW w:w="851" w:type="dxa"/>
            <w:tcBorders>
              <w:top w:val="nil"/>
              <w:left w:val="nil"/>
              <w:bottom w:val="single" w:sz="8" w:space="0" w:color="auto"/>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7</w:t>
            </w:r>
          </w:p>
        </w:tc>
        <w:tc>
          <w:tcPr>
            <w:tcW w:w="992" w:type="dxa"/>
            <w:tcBorders>
              <w:top w:val="nil"/>
              <w:left w:val="nil"/>
              <w:bottom w:val="single" w:sz="8" w:space="0" w:color="auto"/>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11</w:t>
            </w:r>
          </w:p>
        </w:tc>
        <w:tc>
          <w:tcPr>
            <w:tcW w:w="284" w:type="dxa"/>
            <w:tcBorders>
              <w:top w:val="nil"/>
              <w:left w:val="nil"/>
              <w:bottom w:val="single" w:sz="8" w:space="0" w:color="auto"/>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auto"/>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7</w:t>
            </w:r>
          </w:p>
        </w:tc>
        <w:tc>
          <w:tcPr>
            <w:tcW w:w="850" w:type="dxa"/>
            <w:tcBorders>
              <w:top w:val="nil"/>
              <w:left w:val="nil"/>
              <w:bottom w:val="single" w:sz="8" w:space="0" w:color="auto"/>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11</w:t>
            </w:r>
          </w:p>
        </w:tc>
        <w:tc>
          <w:tcPr>
            <w:tcW w:w="851" w:type="dxa"/>
            <w:tcBorders>
              <w:top w:val="nil"/>
              <w:left w:val="nil"/>
              <w:bottom w:val="single" w:sz="8" w:space="0" w:color="auto"/>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sz="8" w:space="0" w:color="auto"/>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auto"/>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sz="8" w:space="0" w:color="auto"/>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7</w:t>
            </w:r>
          </w:p>
        </w:tc>
        <w:tc>
          <w:tcPr>
            <w:tcW w:w="850" w:type="dxa"/>
            <w:tcBorders>
              <w:top w:val="nil"/>
              <w:left w:val="nil"/>
              <w:bottom w:val="single" w:sz="8" w:space="0" w:color="auto"/>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11</w:t>
            </w:r>
          </w:p>
        </w:tc>
      </w:tr>
      <w:tr w:rsidR="0006759F" w:rsidTr="002A0962">
        <w:trPr>
          <w:trHeight w:val="330"/>
          <w:jc w:val="center"/>
        </w:trPr>
        <w:tc>
          <w:tcPr>
            <w:tcW w:w="724" w:type="dxa"/>
            <w:tcBorders>
              <w:top w:val="nil"/>
              <w:left w:val="single" w:sz="8" w:space="0" w:color="FFFFFF"/>
              <w:bottom w:val="single" w:sz="8" w:space="0" w:color="292934"/>
              <w:right w:val="single" w:sz="8" w:space="0" w:color="FFFFFF"/>
            </w:tcBorders>
            <w:shd w:val="clear" w:color="auto" w:fill="FFFFFF"/>
            <w:vAlign w:val="center"/>
          </w:tcPr>
          <w:p w:rsidR="0006759F" w:rsidRDefault="0006759F" w:rsidP="002A0962">
            <w:pPr>
              <w:widowControl/>
              <w:spacing w:line="360" w:lineRule="auto"/>
              <w:rPr>
                <w:b/>
                <w:color w:val="000000"/>
                <w:kern w:val="0"/>
                <w:sz w:val="24"/>
              </w:rPr>
            </w:pPr>
            <w:r>
              <w:rPr>
                <w:b/>
                <w:color w:val="000000"/>
                <w:kern w:val="0"/>
                <w:sz w:val="24"/>
              </w:rPr>
              <w:t>合计</w:t>
            </w:r>
          </w:p>
        </w:tc>
        <w:tc>
          <w:tcPr>
            <w:tcW w:w="992" w:type="dxa"/>
            <w:tcBorders>
              <w:top w:val="nil"/>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453</w:t>
            </w:r>
          </w:p>
        </w:tc>
        <w:tc>
          <w:tcPr>
            <w:tcW w:w="851" w:type="dxa"/>
            <w:tcBorders>
              <w:top w:val="nil"/>
              <w:left w:val="nil"/>
              <w:bottom w:val="single" w:sz="4" w:space="0" w:color="auto"/>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110</w:t>
            </w:r>
          </w:p>
        </w:tc>
        <w:tc>
          <w:tcPr>
            <w:tcW w:w="992" w:type="dxa"/>
            <w:tcBorders>
              <w:top w:val="nil"/>
              <w:left w:val="nil"/>
              <w:bottom w:val="single" w:sz="4" w:space="0" w:color="auto"/>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343</w:t>
            </w:r>
          </w:p>
        </w:tc>
        <w:tc>
          <w:tcPr>
            <w:tcW w:w="284" w:type="dxa"/>
            <w:tcBorders>
              <w:top w:val="nil"/>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992" w:type="dxa"/>
            <w:tcBorders>
              <w:top w:val="nil"/>
              <w:left w:val="nil"/>
              <w:bottom w:val="single" w:sz="8" w:space="0" w:color="292934"/>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110</w:t>
            </w:r>
          </w:p>
        </w:tc>
        <w:tc>
          <w:tcPr>
            <w:tcW w:w="850" w:type="dxa"/>
            <w:tcBorders>
              <w:top w:val="nil"/>
              <w:left w:val="nil"/>
              <w:bottom w:val="single" w:sz="8" w:space="0" w:color="292934"/>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232</w:t>
            </w:r>
          </w:p>
        </w:tc>
        <w:tc>
          <w:tcPr>
            <w:tcW w:w="851" w:type="dxa"/>
            <w:tcBorders>
              <w:top w:val="nil"/>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r>
              <w:rPr>
                <w:rFonts w:eastAsia="宋体"/>
                <w:color w:val="000000"/>
                <w:kern w:val="0"/>
                <w:sz w:val="24"/>
              </w:rPr>
              <w:t>111</w:t>
            </w:r>
          </w:p>
        </w:tc>
        <w:tc>
          <w:tcPr>
            <w:tcW w:w="283" w:type="dxa"/>
            <w:tcBorders>
              <w:top w:val="nil"/>
              <w:left w:val="nil"/>
              <w:bottom w:val="single" w:sz="8" w:space="0" w:color="292934"/>
              <w:right w:val="single" w:sz="8" w:space="0" w:color="FFFFFF"/>
            </w:tcBorders>
            <w:shd w:val="clear" w:color="auto" w:fill="FFFFFF"/>
            <w:vAlign w:val="center"/>
          </w:tcPr>
          <w:p w:rsidR="0006759F" w:rsidRDefault="0006759F" w:rsidP="002A0962">
            <w:pPr>
              <w:widowControl/>
              <w:spacing w:line="360" w:lineRule="auto"/>
              <w:jc w:val="center"/>
              <w:rPr>
                <w:rFonts w:eastAsia="宋体"/>
                <w:color w:val="000000"/>
                <w:kern w:val="0"/>
                <w:sz w:val="24"/>
              </w:rPr>
            </w:pPr>
          </w:p>
        </w:tc>
        <w:tc>
          <w:tcPr>
            <w:tcW w:w="851" w:type="dxa"/>
            <w:tcBorders>
              <w:top w:val="nil"/>
              <w:left w:val="nil"/>
              <w:bottom w:val="single" w:sz="8" w:space="0" w:color="292934"/>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16</w:t>
            </w:r>
          </w:p>
        </w:tc>
        <w:tc>
          <w:tcPr>
            <w:tcW w:w="709" w:type="dxa"/>
            <w:tcBorders>
              <w:top w:val="nil"/>
              <w:left w:val="nil"/>
              <w:bottom w:val="single" w:sz="8" w:space="0" w:color="292934"/>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97</w:t>
            </w:r>
          </w:p>
        </w:tc>
        <w:tc>
          <w:tcPr>
            <w:tcW w:w="850" w:type="dxa"/>
            <w:tcBorders>
              <w:top w:val="nil"/>
              <w:left w:val="nil"/>
              <w:bottom w:val="single" w:sz="8" w:space="0" w:color="292934"/>
              <w:right w:val="single" w:sz="8" w:space="0" w:color="FFFFFF"/>
            </w:tcBorders>
            <w:shd w:val="clear" w:color="auto" w:fill="FFFFFF"/>
            <w:vAlign w:val="center"/>
          </w:tcPr>
          <w:p w:rsidR="0006759F" w:rsidRDefault="0006759F" w:rsidP="002A0962">
            <w:pPr>
              <w:spacing w:line="360" w:lineRule="auto"/>
              <w:jc w:val="center"/>
              <w:rPr>
                <w:rFonts w:eastAsia="宋体"/>
                <w:color w:val="000000"/>
                <w:kern w:val="0"/>
                <w:sz w:val="24"/>
              </w:rPr>
            </w:pPr>
            <w:r>
              <w:rPr>
                <w:rFonts w:eastAsia="宋体"/>
                <w:color w:val="000000"/>
                <w:kern w:val="0"/>
                <w:sz w:val="24"/>
              </w:rPr>
              <w:t>340</w:t>
            </w:r>
          </w:p>
        </w:tc>
      </w:tr>
    </w:tbl>
    <w:p w:rsidR="0006759F" w:rsidRDefault="0006759F" w:rsidP="0006759F">
      <w:pPr>
        <w:rPr>
          <w:rFonts w:eastAsia="黑体"/>
          <w:sz w:val="28"/>
          <w:szCs w:val="28"/>
        </w:rPr>
        <w:sectPr w:rsidR="0006759F">
          <w:headerReference w:type="default" r:id="rId5"/>
          <w:footerReference w:type="even" r:id="rId6"/>
          <w:footerReference w:type="default" r:id="rId7"/>
          <w:footerReference w:type="first" r:id="rId8"/>
          <w:pgSz w:w="11907" w:h="16839"/>
          <w:pgMar w:top="1644" w:right="1644" w:bottom="1644" w:left="1644" w:header="851" w:footer="992" w:gutter="0"/>
          <w:pgNumType w:start="1"/>
          <w:cols w:space="720"/>
          <w:titlePg/>
          <w:docGrid w:type="lines" w:linePitch="312"/>
        </w:sectPr>
      </w:pPr>
    </w:p>
    <w:p w:rsidR="0006759F" w:rsidRDefault="0006759F" w:rsidP="0006759F">
      <w:pPr>
        <w:adjustRightInd w:val="0"/>
        <w:snapToGrid w:val="0"/>
        <w:spacing w:line="360" w:lineRule="auto"/>
        <w:outlineLvl w:val="0"/>
        <w:rPr>
          <w:rFonts w:ascii="黑体" w:eastAsia="黑体" w:hint="eastAsia"/>
          <w:szCs w:val="32"/>
        </w:rPr>
      </w:pPr>
      <w:r>
        <w:rPr>
          <w:rFonts w:ascii="黑体" w:eastAsia="黑体" w:hint="eastAsia"/>
          <w:szCs w:val="32"/>
        </w:rPr>
        <w:lastRenderedPageBreak/>
        <w:t xml:space="preserve">附件2 </w:t>
      </w:r>
    </w:p>
    <w:p w:rsidR="0006759F" w:rsidRDefault="0006759F" w:rsidP="0006759F">
      <w:pPr>
        <w:widowControl/>
        <w:spacing w:line="580" w:lineRule="exact"/>
        <w:jc w:val="center"/>
        <w:rPr>
          <w:rFonts w:ascii="宋体" w:eastAsia="宋体" w:hAnsi="宋体"/>
          <w:b/>
          <w:sz w:val="44"/>
          <w:szCs w:val="36"/>
        </w:rPr>
      </w:pPr>
      <w:r>
        <w:rPr>
          <w:rFonts w:ascii="宋体" w:eastAsia="宋体" w:hAnsi="宋体"/>
          <w:b/>
          <w:sz w:val="44"/>
          <w:szCs w:val="36"/>
        </w:rPr>
        <w:t>全国消除血吸虫病流行县（市、区）目标计划表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96"/>
        <w:gridCol w:w="5103"/>
        <w:gridCol w:w="5953"/>
      </w:tblGrid>
      <w:tr w:rsidR="0006759F" w:rsidTr="002A0962">
        <w:trPr>
          <w:trHeight w:val="234"/>
          <w:tblHeader/>
        </w:trPr>
        <w:tc>
          <w:tcPr>
            <w:tcW w:w="1080" w:type="dxa"/>
            <w:vMerge w:val="restart"/>
            <w:vAlign w:val="center"/>
          </w:tcPr>
          <w:p w:rsidR="0006759F" w:rsidRDefault="0006759F" w:rsidP="002A0962">
            <w:pPr>
              <w:widowControl/>
              <w:jc w:val="center"/>
              <w:rPr>
                <w:b/>
                <w:color w:val="000000"/>
                <w:kern w:val="0"/>
                <w:sz w:val="24"/>
              </w:rPr>
            </w:pPr>
            <w:r>
              <w:rPr>
                <w:b/>
                <w:color w:val="000000"/>
                <w:kern w:val="0"/>
                <w:sz w:val="24"/>
              </w:rPr>
              <w:t>省份</w:t>
            </w:r>
          </w:p>
        </w:tc>
        <w:tc>
          <w:tcPr>
            <w:tcW w:w="13252" w:type="dxa"/>
            <w:gridSpan w:val="3"/>
            <w:vAlign w:val="center"/>
          </w:tcPr>
          <w:p w:rsidR="0006759F" w:rsidRDefault="0006759F" w:rsidP="002A0962">
            <w:pPr>
              <w:widowControl/>
              <w:jc w:val="center"/>
              <w:rPr>
                <w:b/>
                <w:color w:val="000000"/>
                <w:kern w:val="0"/>
                <w:sz w:val="24"/>
              </w:rPr>
            </w:pPr>
            <w:r>
              <w:rPr>
                <w:b/>
                <w:color w:val="000000"/>
                <w:kern w:val="0"/>
                <w:sz w:val="24"/>
              </w:rPr>
              <w:t>2016</w:t>
            </w:r>
            <w:r>
              <w:rPr>
                <w:rFonts w:ascii="方正仿宋_GBK" w:eastAsia="方正仿宋_GBK" w:hint="eastAsia"/>
                <w:b/>
                <w:color w:val="000000"/>
                <w:kern w:val="0"/>
                <w:sz w:val="24"/>
              </w:rPr>
              <w:t>―</w:t>
            </w:r>
            <w:r>
              <w:rPr>
                <w:b/>
                <w:color w:val="000000"/>
                <w:kern w:val="0"/>
                <w:sz w:val="24"/>
              </w:rPr>
              <w:t>2020</w:t>
            </w:r>
            <w:r>
              <w:rPr>
                <w:b/>
                <w:color w:val="000000"/>
                <w:kern w:val="0"/>
                <w:sz w:val="24"/>
              </w:rPr>
              <w:t>年</w:t>
            </w:r>
          </w:p>
        </w:tc>
      </w:tr>
      <w:tr w:rsidR="0006759F" w:rsidTr="002A0962">
        <w:trPr>
          <w:trHeight w:val="436"/>
          <w:tblHeader/>
        </w:trPr>
        <w:tc>
          <w:tcPr>
            <w:tcW w:w="1080" w:type="dxa"/>
            <w:vMerge/>
            <w:vAlign w:val="center"/>
          </w:tcPr>
          <w:p w:rsidR="0006759F" w:rsidRDefault="0006759F" w:rsidP="002A0962">
            <w:pPr>
              <w:jc w:val="center"/>
              <w:rPr>
                <w:sz w:val="20"/>
                <w:szCs w:val="20"/>
              </w:rPr>
            </w:pPr>
          </w:p>
        </w:tc>
        <w:tc>
          <w:tcPr>
            <w:tcW w:w="2196" w:type="dxa"/>
            <w:vAlign w:val="center"/>
          </w:tcPr>
          <w:p w:rsidR="0006759F" w:rsidRDefault="0006759F" w:rsidP="002A0962">
            <w:pPr>
              <w:widowControl/>
              <w:jc w:val="center"/>
              <w:rPr>
                <w:b/>
                <w:color w:val="000000"/>
                <w:kern w:val="0"/>
                <w:sz w:val="24"/>
              </w:rPr>
            </w:pPr>
            <w:r>
              <w:rPr>
                <w:b/>
                <w:color w:val="000000"/>
                <w:kern w:val="0"/>
                <w:sz w:val="24"/>
              </w:rPr>
              <w:t>传播控制</w:t>
            </w:r>
          </w:p>
        </w:tc>
        <w:tc>
          <w:tcPr>
            <w:tcW w:w="5103" w:type="dxa"/>
            <w:vAlign w:val="center"/>
          </w:tcPr>
          <w:p w:rsidR="0006759F" w:rsidRDefault="0006759F" w:rsidP="002A0962">
            <w:pPr>
              <w:widowControl/>
              <w:jc w:val="center"/>
              <w:rPr>
                <w:b/>
                <w:color w:val="000000"/>
                <w:kern w:val="0"/>
                <w:sz w:val="24"/>
              </w:rPr>
            </w:pPr>
            <w:r>
              <w:rPr>
                <w:b/>
                <w:color w:val="000000"/>
                <w:kern w:val="0"/>
                <w:sz w:val="24"/>
              </w:rPr>
              <w:t>传播阻断</w:t>
            </w:r>
          </w:p>
        </w:tc>
        <w:tc>
          <w:tcPr>
            <w:tcW w:w="5953" w:type="dxa"/>
            <w:vAlign w:val="center"/>
          </w:tcPr>
          <w:p w:rsidR="0006759F" w:rsidRDefault="0006759F" w:rsidP="002A0962">
            <w:pPr>
              <w:widowControl/>
              <w:jc w:val="center"/>
              <w:rPr>
                <w:b/>
                <w:color w:val="000000"/>
                <w:kern w:val="0"/>
                <w:sz w:val="24"/>
              </w:rPr>
            </w:pPr>
            <w:r>
              <w:rPr>
                <w:b/>
                <w:color w:val="000000"/>
                <w:kern w:val="0"/>
                <w:sz w:val="24"/>
              </w:rPr>
              <w:t>消除</w:t>
            </w:r>
          </w:p>
        </w:tc>
      </w:tr>
      <w:tr w:rsidR="0006759F" w:rsidTr="002A0962">
        <w:trPr>
          <w:trHeight w:val="705"/>
          <w:tblHeader/>
        </w:trPr>
        <w:tc>
          <w:tcPr>
            <w:tcW w:w="1080" w:type="dxa"/>
            <w:vAlign w:val="center"/>
          </w:tcPr>
          <w:p w:rsidR="0006759F" w:rsidRDefault="0006759F" w:rsidP="002A0962">
            <w:pPr>
              <w:widowControl/>
              <w:jc w:val="center"/>
              <w:rPr>
                <w:color w:val="000000"/>
                <w:kern w:val="0"/>
                <w:sz w:val="24"/>
              </w:rPr>
            </w:pPr>
            <w:r>
              <w:rPr>
                <w:color w:val="000000"/>
                <w:kern w:val="0"/>
                <w:sz w:val="24"/>
              </w:rPr>
              <w:t>上海</w:t>
            </w:r>
          </w:p>
        </w:tc>
        <w:tc>
          <w:tcPr>
            <w:tcW w:w="2196" w:type="dxa"/>
            <w:vAlign w:val="center"/>
          </w:tcPr>
          <w:p w:rsidR="0006759F" w:rsidRDefault="0006759F" w:rsidP="002A0962">
            <w:pPr>
              <w:widowControl/>
              <w:rPr>
                <w:color w:val="000000"/>
                <w:kern w:val="0"/>
                <w:sz w:val="24"/>
              </w:rPr>
            </w:pPr>
            <w:r>
              <w:rPr>
                <w:color w:val="000000"/>
                <w:kern w:val="0"/>
                <w:sz w:val="24"/>
              </w:rPr>
              <w:t xml:space="preserve">　</w:t>
            </w:r>
          </w:p>
        </w:tc>
        <w:tc>
          <w:tcPr>
            <w:tcW w:w="5103" w:type="dxa"/>
            <w:vAlign w:val="center"/>
          </w:tcPr>
          <w:p w:rsidR="0006759F" w:rsidRDefault="0006759F" w:rsidP="002A0962">
            <w:pPr>
              <w:widowControl/>
              <w:rPr>
                <w:color w:val="000000"/>
                <w:kern w:val="0"/>
                <w:sz w:val="24"/>
              </w:rPr>
            </w:pPr>
            <w:r>
              <w:rPr>
                <w:color w:val="000000"/>
                <w:kern w:val="0"/>
                <w:sz w:val="24"/>
              </w:rPr>
              <w:t xml:space="preserve">　</w:t>
            </w:r>
          </w:p>
        </w:tc>
        <w:tc>
          <w:tcPr>
            <w:tcW w:w="5953" w:type="dxa"/>
            <w:vAlign w:val="center"/>
          </w:tcPr>
          <w:p w:rsidR="0006759F" w:rsidRDefault="0006759F" w:rsidP="002A0962">
            <w:pPr>
              <w:widowControl/>
              <w:rPr>
                <w:color w:val="000000"/>
                <w:kern w:val="0"/>
                <w:sz w:val="24"/>
              </w:rPr>
            </w:pPr>
            <w:r>
              <w:rPr>
                <w:color w:val="000000"/>
                <w:kern w:val="0"/>
                <w:sz w:val="24"/>
              </w:rPr>
              <w:t>闵行区、嘉定区、宝山区、浦东新区、奉贤区、松江区、金山区、青浦区</w:t>
            </w:r>
          </w:p>
        </w:tc>
      </w:tr>
      <w:tr w:rsidR="0006759F" w:rsidTr="002A0962">
        <w:trPr>
          <w:trHeight w:val="3465"/>
          <w:tblHeader/>
        </w:trPr>
        <w:tc>
          <w:tcPr>
            <w:tcW w:w="1080" w:type="dxa"/>
            <w:vAlign w:val="center"/>
          </w:tcPr>
          <w:p w:rsidR="0006759F" w:rsidRDefault="0006759F" w:rsidP="002A0962">
            <w:pPr>
              <w:widowControl/>
              <w:jc w:val="center"/>
              <w:rPr>
                <w:color w:val="000000"/>
                <w:kern w:val="0"/>
                <w:sz w:val="24"/>
              </w:rPr>
            </w:pPr>
            <w:r>
              <w:rPr>
                <w:color w:val="000000"/>
                <w:kern w:val="0"/>
                <w:sz w:val="24"/>
              </w:rPr>
              <w:t>江苏</w:t>
            </w:r>
          </w:p>
        </w:tc>
        <w:tc>
          <w:tcPr>
            <w:tcW w:w="2196" w:type="dxa"/>
            <w:vAlign w:val="center"/>
          </w:tcPr>
          <w:p w:rsidR="0006759F" w:rsidRDefault="0006759F" w:rsidP="002A0962">
            <w:pPr>
              <w:widowControl/>
              <w:rPr>
                <w:color w:val="000000"/>
                <w:kern w:val="0"/>
                <w:sz w:val="24"/>
              </w:rPr>
            </w:pPr>
            <w:r>
              <w:rPr>
                <w:color w:val="000000"/>
                <w:kern w:val="0"/>
                <w:sz w:val="24"/>
              </w:rPr>
              <w:t xml:space="preserve">　</w:t>
            </w:r>
          </w:p>
        </w:tc>
        <w:tc>
          <w:tcPr>
            <w:tcW w:w="5103" w:type="dxa"/>
            <w:vAlign w:val="center"/>
          </w:tcPr>
          <w:p w:rsidR="0006759F" w:rsidRDefault="0006759F" w:rsidP="002A0962">
            <w:pPr>
              <w:widowControl/>
              <w:rPr>
                <w:color w:val="000000"/>
                <w:kern w:val="0"/>
                <w:sz w:val="24"/>
              </w:rPr>
            </w:pPr>
            <w:r>
              <w:rPr>
                <w:color w:val="000000"/>
                <w:kern w:val="0"/>
                <w:sz w:val="24"/>
              </w:rPr>
              <w:t>南京市浦口区、栖霞区、江宁区、六合区、镇江市润州区、丹徒区、扬中市</w:t>
            </w:r>
          </w:p>
        </w:tc>
        <w:tc>
          <w:tcPr>
            <w:tcW w:w="5953" w:type="dxa"/>
            <w:vAlign w:val="center"/>
          </w:tcPr>
          <w:p w:rsidR="0006759F" w:rsidRDefault="0006759F" w:rsidP="002A0962">
            <w:pPr>
              <w:widowControl/>
              <w:rPr>
                <w:color w:val="000000"/>
                <w:kern w:val="0"/>
                <w:sz w:val="24"/>
              </w:rPr>
            </w:pPr>
            <w:r>
              <w:rPr>
                <w:color w:val="000000"/>
                <w:kern w:val="0"/>
                <w:sz w:val="24"/>
              </w:rPr>
              <w:t>南京市秦淮区、建</w:t>
            </w:r>
            <w:proofErr w:type="gramStart"/>
            <w:r>
              <w:rPr>
                <w:color w:val="000000"/>
                <w:kern w:val="0"/>
                <w:sz w:val="24"/>
              </w:rPr>
              <w:t>邺</w:t>
            </w:r>
            <w:proofErr w:type="gramEnd"/>
            <w:r>
              <w:rPr>
                <w:color w:val="000000"/>
                <w:kern w:val="0"/>
                <w:sz w:val="24"/>
              </w:rPr>
              <w:t>区、鼓楼区、化学工业园区、雨花台区、溧水区、高淳区；无锡市崇安区、南长区、北塘区、无锡新区、锡山区、惠山区、滨湖区、江阴市、宜兴市；常州市天宁区、钟楼区、戚</w:t>
            </w:r>
            <w:proofErr w:type="gramStart"/>
            <w:r>
              <w:rPr>
                <w:color w:val="000000"/>
                <w:kern w:val="0"/>
                <w:sz w:val="24"/>
              </w:rPr>
              <w:t>墅</w:t>
            </w:r>
            <w:proofErr w:type="gramEnd"/>
            <w:r>
              <w:rPr>
                <w:color w:val="000000"/>
                <w:kern w:val="0"/>
                <w:sz w:val="24"/>
              </w:rPr>
              <w:t>堰区、新北区、武进区、溧阳市、金坛市；苏州市姑苏区、虎丘区、苏州工业园区、吴中区、相城区、常熟市、昆山市、太仓市、吴江市；南通市崇川区、港闸区、通州市、如皋市、海门市、海安县、如东县；金湖县；东台市、大丰市；扬州市邗江区、开发区、广陵区、江都区、宝应县、仪征市、高邮市；镇江市京口区、镇江新区、丹阳市、句容市；泰州市海陵区、高港区、泰州医药高新区（泰州开发区）、兴化市、靖江市、泰兴市、姜堰市</w:t>
            </w:r>
          </w:p>
        </w:tc>
      </w:tr>
      <w:tr w:rsidR="0006759F" w:rsidTr="002A0962">
        <w:trPr>
          <w:trHeight w:val="2835"/>
          <w:tblHeader/>
        </w:trPr>
        <w:tc>
          <w:tcPr>
            <w:tcW w:w="1080" w:type="dxa"/>
            <w:vAlign w:val="center"/>
          </w:tcPr>
          <w:p w:rsidR="0006759F" w:rsidRDefault="0006759F" w:rsidP="002A0962">
            <w:pPr>
              <w:widowControl/>
              <w:jc w:val="center"/>
              <w:rPr>
                <w:color w:val="000000"/>
                <w:kern w:val="0"/>
                <w:sz w:val="24"/>
              </w:rPr>
            </w:pPr>
            <w:r>
              <w:rPr>
                <w:color w:val="000000"/>
                <w:kern w:val="0"/>
                <w:sz w:val="24"/>
              </w:rPr>
              <w:lastRenderedPageBreak/>
              <w:t>浙江</w:t>
            </w:r>
          </w:p>
        </w:tc>
        <w:tc>
          <w:tcPr>
            <w:tcW w:w="2196" w:type="dxa"/>
            <w:vAlign w:val="center"/>
          </w:tcPr>
          <w:p w:rsidR="0006759F" w:rsidRDefault="0006759F" w:rsidP="002A0962">
            <w:pPr>
              <w:widowControl/>
              <w:rPr>
                <w:color w:val="000000"/>
                <w:kern w:val="0"/>
                <w:sz w:val="24"/>
              </w:rPr>
            </w:pPr>
            <w:r>
              <w:rPr>
                <w:color w:val="000000"/>
                <w:kern w:val="0"/>
                <w:sz w:val="24"/>
              </w:rPr>
              <w:t xml:space="preserve">　</w:t>
            </w:r>
          </w:p>
        </w:tc>
        <w:tc>
          <w:tcPr>
            <w:tcW w:w="5103" w:type="dxa"/>
            <w:vAlign w:val="center"/>
          </w:tcPr>
          <w:p w:rsidR="0006759F" w:rsidRDefault="0006759F" w:rsidP="002A0962">
            <w:pPr>
              <w:widowControl/>
              <w:rPr>
                <w:color w:val="000000"/>
                <w:kern w:val="0"/>
                <w:sz w:val="24"/>
              </w:rPr>
            </w:pPr>
            <w:r>
              <w:rPr>
                <w:color w:val="000000"/>
                <w:kern w:val="0"/>
                <w:sz w:val="24"/>
              </w:rPr>
              <w:t xml:space="preserve">　</w:t>
            </w:r>
          </w:p>
        </w:tc>
        <w:tc>
          <w:tcPr>
            <w:tcW w:w="5953" w:type="dxa"/>
            <w:vAlign w:val="center"/>
          </w:tcPr>
          <w:p w:rsidR="0006759F" w:rsidRDefault="0006759F" w:rsidP="002A0962">
            <w:pPr>
              <w:widowControl/>
              <w:rPr>
                <w:color w:val="000000"/>
                <w:kern w:val="0"/>
                <w:sz w:val="24"/>
              </w:rPr>
            </w:pPr>
            <w:r>
              <w:rPr>
                <w:color w:val="000000"/>
                <w:kern w:val="0"/>
                <w:sz w:val="24"/>
              </w:rPr>
              <w:t>下城区、江干区、拱</w:t>
            </w:r>
            <w:proofErr w:type="gramStart"/>
            <w:r>
              <w:rPr>
                <w:color w:val="000000"/>
                <w:kern w:val="0"/>
                <w:sz w:val="24"/>
              </w:rPr>
              <w:t>墅</w:t>
            </w:r>
            <w:proofErr w:type="gramEnd"/>
            <w:r>
              <w:rPr>
                <w:color w:val="000000"/>
                <w:kern w:val="0"/>
                <w:sz w:val="24"/>
              </w:rPr>
              <w:t>区、西湖区、萧山区、桐庐县、富阳区、临安市、余杭区、建德市、淳安县、海</w:t>
            </w:r>
            <w:proofErr w:type="gramStart"/>
            <w:r>
              <w:rPr>
                <w:color w:val="000000"/>
                <w:kern w:val="0"/>
                <w:sz w:val="24"/>
              </w:rPr>
              <w:t>曙</w:t>
            </w:r>
            <w:proofErr w:type="gramEnd"/>
            <w:r>
              <w:rPr>
                <w:color w:val="000000"/>
                <w:kern w:val="0"/>
                <w:sz w:val="24"/>
              </w:rPr>
              <w:t>区、江东区、江北区、慈溪市、余姚市、奉化市、宁海县、</w:t>
            </w:r>
            <w:proofErr w:type="gramStart"/>
            <w:r>
              <w:rPr>
                <w:color w:val="000000"/>
                <w:kern w:val="0"/>
                <w:sz w:val="24"/>
              </w:rPr>
              <w:t>鄞</w:t>
            </w:r>
            <w:proofErr w:type="gramEnd"/>
            <w:r>
              <w:rPr>
                <w:color w:val="000000"/>
                <w:kern w:val="0"/>
                <w:sz w:val="24"/>
              </w:rPr>
              <w:t>州区、南湖区、</w:t>
            </w:r>
            <w:proofErr w:type="gramStart"/>
            <w:r>
              <w:rPr>
                <w:color w:val="000000"/>
                <w:kern w:val="0"/>
                <w:sz w:val="24"/>
              </w:rPr>
              <w:t>秀洲区</w:t>
            </w:r>
            <w:proofErr w:type="gramEnd"/>
            <w:r>
              <w:rPr>
                <w:color w:val="000000"/>
                <w:kern w:val="0"/>
                <w:sz w:val="24"/>
              </w:rPr>
              <w:t>、嘉善县、平湖市、海宁市、海盐县、桐乡市、吴兴区、南浔区、德清县、长兴县、安吉县、越城区、柯桥区、上虞区、嵊州市、新昌县、诸暨市、</w:t>
            </w:r>
            <w:proofErr w:type="gramStart"/>
            <w:r>
              <w:rPr>
                <w:color w:val="000000"/>
                <w:kern w:val="0"/>
                <w:sz w:val="24"/>
              </w:rPr>
              <w:t>婺</w:t>
            </w:r>
            <w:proofErr w:type="gramEnd"/>
            <w:r>
              <w:rPr>
                <w:color w:val="000000"/>
                <w:kern w:val="0"/>
                <w:sz w:val="24"/>
              </w:rPr>
              <w:t>城区、金东区、兰溪市、义乌市、东阳市、永康市、武义县、浦江县、</w:t>
            </w:r>
            <w:proofErr w:type="gramStart"/>
            <w:r>
              <w:rPr>
                <w:color w:val="000000"/>
                <w:kern w:val="0"/>
                <w:sz w:val="24"/>
              </w:rPr>
              <w:t>柯</w:t>
            </w:r>
            <w:proofErr w:type="gramEnd"/>
            <w:r>
              <w:rPr>
                <w:color w:val="000000"/>
                <w:kern w:val="0"/>
                <w:sz w:val="24"/>
              </w:rPr>
              <w:t>城区、江山市、</w:t>
            </w:r>
            <w:proofErr w:type="gramStart"/>
            <w:r>
              <w:rPr>
                <w:color w:val="000000"/>
                <w:kern w:val="0"/>
                <w:sz w:val="24"/>
              </w:rPr>
              <w:t>衢</w:t>
            </w:r>
            <w:proofErr w:type="gramEnd"/>
            <w:r>
              <w:rPr>
                <w:color w:val="000000"/>
                <w:kern w:val="0"/>
                <w:sz w:val="24"/>
              </w:rPr>
              <w:t>江区、常山县、开化县、龙游县、缙云县、临海市、黄岩区、天台县</w:t>
            </w:r>
          </w:p>
        </w:tc>
      </w:tr>
      <w:tr w:rsidR="0006759F" w:rsidTr="002A0962">
        <w:trPr>
          <w:trHeight w:val="3345"/>
          <w:tblHeader/>
        </w:trPr>
        <w:tc>
          <w:tcPr>
            <w:tcW w:w="1080" w:type="dxa"/>
            <w:vAlign w:val="center"/>
          </w:tcPr>
          <w:p w:rsidR="0006759F" w:rsidRDefault="0006759F" w:rsidP="002A0962">
            <w:pPr>
              <w:widowControl/>
              <w:jc w:val="center"/>
              <w:rPr>
                <w:color w:val="000000"/>
                <w:kern w:val="0"/>
                <w:sz w:val="24"/>
              </w:rPr>
            </w:pPr>
            <w:r>
              <w:rPr>
                <w:color w:val="000000"/>
                <w:kern w:val="0"/>
                <w:sz w:val="24"/>
              </w:rPr>
              <w:t>安徽</w:t>
            </w:r>
          </w:p>
        </w:tc>
        <w:tc>
          <w:tcPr>
            <w:tcW w:w="2196" w:type="dxa"/>
            <w:vAlign w:val="center"/>
          </w:tcPr>
          <w:p w:rsidR="0006759F" w:rsidRDefault="0006759F" w:rsidP="002A0962">
            <w:pPr>
              <w:widowControl/>
              <w:rPr>
                <w:color w:val="000000"/>
                <w:kern w:val="0"/>
                <w:sz w:val="24"/>
              </w:rPr>
            </w:pPr>
            <w:r>
              <w:rPr>
                <w:color w:val="000000"/>
                <w:kern w:val="0"/>
                <w:sz w:val="24"/>
              </w:rPr>
              <w:t>东至县、安庆市大观区、枞阳县、当涂县、芜湖县</w:t>
            </w:r>
          </w:p>
        </w:tc>
        <w:tc>
          <w:tcPr>
            <w:tcW w:w="5103" w:type="dxa"/>
            <w:vAlign w:val="center"/>
          </w:tcPr>
          <w:p w:rsidR="0006759F" w:rsidRDefault="0006759F" w:rsidP="002A0962">
            <w:pPr>
              <w:widowControl/>
              <w:rPr>
                <w:color w:val="000000"/>
                <w:kern w:val="0"/>
                <w:sz w:val="24"/>
              </w:rPr>
            </w:pPr>
            <w:r>
              <w:rPr>
                <w:color w:val="000000"/>
                <w:kern w:val="0"/>
                <w:sz w:val="24"/>
              </w:rPr>
              <w:t>铜陵市郊区、铜陵县、贵池区、安庆市迎江区、安庆市宜秀区、怀宁县、太湖县、桐城市、望江县、马鞍山市博望区、和县、宣州区、泾县、芜湖市弋江区、芜湖市</w:t>
            </w:r>
            <w:proofErr w:type="gramStart"/>
            <w:r>
              <w:rPr>
                <w:color w:val="000000"/>
                <w:kern w:val="0"/>
                <w:sz w:val="24"/>
              </w:rPr>
              <w:t>鸠</w:t>
            </w:r>
            <w:proofErr w:type="gramEnd"/>
            <w:r>
              <w:rPr>
                <w:color w:val="000000"/>
                <w:kern w:val="0"/>
                <w:sz w:val="24"/>
              </w:rPr>
              <w:t>江区、芜湖市三山区、繁昌县、无为县、芜湖市开发区、南陵县、石台县、宿松县、青阳县</w:t>
            </w:r>
          </w:p>
        </w:tc>
        <w:tc>
          <w:tcPr>
            <w:tcW w:w="5953" w:type="dxa"/>
            <w:vAlign w:val="center"/>
          </w:tcPr>
          <w:p w:rsidR="0006759F" w:rsidRDefault="0006759F" w:rsidP="002A0962">
            <w:pPr>
              <w:widowControl/>
              <w:rPr>
                <w:color w:val="000000"/>
                <w:kern w:val="0"/>
                <w:sz w:val="24"/>
              </w:rPr>
            </w:pPr>
            <w:r>
              <w:rPr>
                <w:color w:val="000000"/>
                <w:kern w:val="0"/>
                <w:sz w:val="24"/>
              </w:rPr>
              <w:t>铜陵市铜官山区、庐江县、含山县、旌德县、全椒县、天长市、屯溪区、黄山区、黟县、巢湖市、郎溪县、绩溪县、宁国市、徽州区、歙县、休宁县、祁门县、铜陵市狮子山区、马鞍山市雨山区、马鞍山市花山区、潜山县、芜湖市镜湖区、广德县、</w:t>
            </w:r>
          </w:p>
        </w:tc>
      </w:tr>
      <w:tr w:rsidR="0006759F" w:rsidTr="002A0962">
        <w:trPr>
          <w:trHeight w:val="1305"/>
          <w:tblHeader/>
        </w:trPr>
        <w:tc>
          <w:tcPr>
            <w:tcW w:w="1080" w:type="dxa"/>
            <w:vAlign w:val="center"/>
          </w:tcPr>
          <w:p w:rsidR="0006759F" w:rsidRDefault="0006759F" w:rsidP="002A0962">
            <w:pPr>
              <w:widowControl/>
              <w:jc w:val="center"/>
              <w:rPr>
                <w:color w:val="000000"/>
                <w:kern w:val="0"/>
                <w:sz w:val="24"/>
              </w:rPr>
            </w:pPr>
            <w:r>
              <w:rPr>
                <w:color w:val="000000"/>
                <w:kern w:val="0"/>
                <w:sz w:val="24"/>
              </w:rPr>
              <w:lastRenderedPageBreak/>
              <w:t>福建</w:t>
            </w:r>
          </w:p>
        </w:tc>
        <w:tc>
          <w:tcPr>
            <w:tcW w:w="2196" w:type="dxa"/>
            <w:vAlign w:val="center"/>
          </w:tcPr>
          <w:p w:rsidR="0006759F" w:rsidRDefault="0006759F" w:rsidP="002A0962">
            <w:pPr>
              <w:widowControl/>
              <w:rPr>
                <w:color w:val="000000"/>
                <w:kern w:val="0"/>
                <w:sz w:val="24"/>
              </w:rPr>
            </w:pPr>
            <w:r>
              <w:rPr>
                <w:color w:val="000000"/>
                <w:kern w:val="0"/>
                <w:sz w:val="24"/>
              </w:rPr>
              <w:t xml:space="preserve">　</w:t>
            </w:r>
          </w:p>
        </w:tc>
        <w:tc>
          <w:tcPr>
            <w:tcW w:w="5103" w:type="dxa"/>
            <w:vAlign w:val="center"/>
          </w:tcPr>
          <w:p w:rsidR="0006759F" w:rsidRDefault="0006759F" w:rsidP="002A0962">
            <w:pPr>
              <w:widowControl/>
              <w:rPr>
                <w:color w:val="000000"/>
                <w:kern w:val="0"/>
                <w:sz w:val="24"/>
              </w:rPr>
            </w:pPr>
            <w:r>
              <w:rPr>
                <w:color w:val="000000"/>
                <w:kern w:val="0"/>
                <w:sz w:val="24"/>
              </w:rPr>
              <w:t xml:space="preserve">　</w:t>
            </w:r>
          </w:p>
        </w:tc>
        <w:tc>
          <w:tcPr>
            <w:tcW w:w="5953" w:type="dxa"/>
            <w:vAlign w:val="center"/>
          </w:tcPr>
          <w:p w:rsidR="0006759F" w:rsidRDefault="0006759F" w:rsidP="002A0962">
            <w:pPr>
              <w:widowControl/>
              <w:rPr>
                <w:color w:val="000000"/>
                <w:kern w:val="0"/>
                <w:sz w:val="24"/>
              </w:rPr>
            </w:pPr>
            <w:r>
              <w:rPr>
                <w:color w:val="000000"/>
                <w:kern w:val="0"/>
                <w:sz w:val="24"/>
              </w:rPr>
              <w:t>闽侯县、长乐市、福清市、平潭综合实验区、</w:t>
            </w:r>
            <w:proofErr w:type="gramStart"/>
            <w:r>
              <w:rPr>
                <w:color w:val="000000"/>
                <w:kern w:val="0"/>
                <w:sz w:val="24"/>
              </w:rPr>
              <w:t>翔安区</w:t>
            </w:r>
            <w:proofErr w:type="gramEnd"/>
            <w:r>
              <w:rPr>
                <w:color w:val="000000"/>
                <w:kern w:val="0"/>
                <w:sz w:val="24"/>
              </w:rPr>
              <w:t>、城厢区、</w:t>
            </w:r>
            <w:proofErr w:type="gramStart"/>
            <w:r>
              <w:rPr>
                <w:color w:val="000000"/>
                <w:kern w:val="0"/>
                <w:sz w:val="24"/>
              </w:rPr>
              <w:t>荔</w:t>
            </w:r>
            <w:proofErr w:type="gramEnd"/>
            <w:r>
              <w:rPr>
                <w:color w:val="000000"/>
                <w:kern w:val="0"/>
                <w:sz w:val="24"/>
              </w:rPr>
              <w:t>城区、秀屿区、仙游县、南安市、龙海市、云霄县、漳浦县、华安县、霞浦县、福安市</w:t>
            </w:r>
          </w:p>
        </w:tc>
      </w:tr>
      <w:tr w:rsidR="0006759F" w:rsidTr="002A0962">
        <w:trPr>
          <w:trHeight w:val="1800"/>
          <w:tblHeader/>
        </w:trPr>
        <w:tc>
          <w:tcPr>
            <w:tcW w:w="1080" w:type="dxa"/>
            <w:vAlign w:val="center"/>
          </w:tcPr>
          <w:p w:rsidR="0006759F" w:rsidRDefault="0006759F" w:rsidP="002A0962">
            <w:pPr>
              <w:widowControl/>
              <w:jc w:val="center"/>
              <w:rPr>
                <w:color w:val="000000"/>
                <w:kern w:val="0"/>
                <w:sz w:val="24"/>
              </w:rPr>
            </w:pPr>
            <w:r>
              <w:rPr>
                <w:color w:val="000000"/>
                <w:kern w:val="0"/>
                <w:sz w:val="24"/>
              </w:rPr>
              <w:t>江西</w:t>
            </w:r>
          </w:p>
        </w:tc>
        <w:tc>
          <w:tcPr>
            <w:tcW w:w="2196" w:type="dxa"/>
            <w:vAlign w:val="center"/>
          </w:tcPr>
          <w:p w:rsidR="0006759F" w:rsidRDefault="0006759F" w:rsidP="002A0962">
            <w:pPr>
              <w:widowControl/>
              <w:rPr>
                <w:color w:val="000000"/>
                <w:kern w:val="0"/>
                <w:sz w:val="24"/>
              </w:rPr>
            </w:pPr>
            <w:r>
              <w:rPr>
                <w:color w:val="000000"/>
                <w:kern w:val="0"/>
                <w:sz w:val="24"/>
              </w:rPr>
              <w:t>南昌县、新建区、永修县、星子县、都昌县、余干县、鄱阳县、彭泽县、瑞昌市、共青城市、进贤县</w:t>
            </w:r>
          </w:p>
        </w:tc>
        <w:tc>
          <w:tcPr>
            <w:tcW w:w="5103" w:type="dxa"/>
            <w:vAlign w:val="center"/>
          </w:tcPr>
          <w:p w:rsidR="0006759F" w:rsidRDefault="0006759F" w:rsidP="002A0962">
            <w:pPr>
              <w:widowControl/>
              <w:rPr>
                <w:color w:val="000000"/>
                <w:kern w:val="0"/>
                <w:sz w:val="24"/>
              </w:rPr>
            </w:pPr>
            <w:r>
              <w:rPr>
                <w:color w:val="000000"/>
                <w:kern w:val="0"/>
                <w:sz w:val="24"/>
              </w:rPr>
              <w:t>九江市庐山区、湖口县、玉山县、九江县</w:t>
            </w:r>
          </w:p>
        </w:tc>
        <w:tc>
          <w:tcPr>
            <w:tcW w:w="5953" w:type="dxa"/>
            <w:vAlign w:val="center"/>
          </w:tcPr>
          <w:p w:rsidR="0006759F" w:rsidRDefault="0006759F" w:rsidP="002A0962">
            <w:pPr>
              <w:widowControl/>
              <w:rPr>
                <w:color w:val="000000"/>
                <w:kern w:val="0"/>
                <w:sz w:val="24"/>
              </w:rPr>
            </w:pPr>
            <w:r>
              <w:rPr>
                <w:color w:val="000000"/>
                <w:kern w:val="0"/>
                <w:sz w:val="24"/>
              </w:rPr>
              <w:t>南昌市经济开发区、九江市</w:t>
            </w:r>
            <w:proofErr w:type="gramStart"/>
            <w:r>
              <w:rPr>
                <w:color w:val="000000"/>
                <w:kern w:val="0"/>
                <w:sz w:val="24"/>
              </w:rPr>
              <w:t>浔</w:t>
            </w:r>
            <w:proofErr w:type="gramEnd"/>
            <w:r>
              <w:rPr>
                <w:color w:val="000000"/>
                <w:kern w:val="0"/>
                <w:sz w:val="24"/>
              </w:rPr>
              <w:t>阳区、武宁县、广丰区、万年县、德兴市、婺源县、景德镇市昌江区、浮梁县、贵溪市、余江县、上犹县、奉新县、上高县、泰和县、万安县、九江市开发区、上饶市信州区、安义县、高安市、德安县、丰城市、南昌市高新区、上饶县</w:t>
            </w:r>
          </w:p>
        </w:tc>
      </w:tr>
      <w:tr w:rsidR="0006759F" w:rsidTr="002A0962">
        <w:trPr>
          <w:trHeight w:val="2565"/>
          <w:tblHeader/>
        </w:trPr>
        <w:tc>
          <w:tcPr>
            <w:tcW w:w="1080" w:type="dxa"/>
            <w:vAlign w:val="center"/>
          </w:tcPr>
          <w:p w:rsidR="0006759F" w:rsidRDefault="0006759F" w:rsidP="002A0962">
            <w:pPr>
              <w:widowControl/>
              <w:jc w:val="center"/>
              <w:rPr>
                <w:color w:val="000000"/>
                <w:kern w:val="0"/>
                <w:sz w:val="24"/>
              </w:rPr>
            </w:pPr>
            <w:r>
              <w:rPr>
                <w:color w:val="000000"/>
                <w:kern w:val="0"/>
                <w:sz w:val="24"/>
              </w:rPr>
              <w:t>湖北</w:t>
            </w:r>
          </w:p>
        </w:tc>
        <w:tc>
          <w:tcPr>
            <w:tcW w:w="2196" w:type="dxa"/>
            <w:vAlign w:val="center"/>
          </w:tcPr>
          <w:p w:rsidR="0006759F" w:rsidRDefault="0006759F" w:rsidP="002A0962">
            <w:pPr>
              <w:widowControl/>
              <w:rPr>
                <w:color w:val="000000"/>
                <w:kern w:val="0"/>
                <w:sz w:val="24"/>
              </w:rPr>
            </w:pPr>
            <w:r>
              <w:rPr>
                <w:color w:val="000000"/>
                <w:kern w:val="0"/>
                <w:sz w:val="24"/>
              </w:rPr>
              <w:t xml:space="preserve">　</w:t>
            </w:r>
          </w:p>
        </w:tc>
        <w:tc>
          <w:tcPr>
            <w:tcW w:w="5103" w:type="dxa"/>
            <w:vAlign w:val="center"/>
          </w:tcPr>
          <w:p w:rsidR="0006759F" w:rsidRDefault="0006759F" w:rsidP="002A0962">
            <w:pPr>
              <w:widowControl/>
              <w:rPr>
                <w:color w:val="000000"/>
                <w:kern w:val="0"/>
                <w:sz w:val="24"/>
              </w:rPr>
            </w:pPr>
            <w:r>
              <w:rPr>
                <w:color w:val="000000"/>
                <w:kern w:val="0"/>
                <w:sz w:val="24"/>
              </w:rPr>
              <w:t>钟祥市、京山县、应城市、天门市、洪山区、江夏区、团</w:t>
            </w:r>
            <w:proofErr w:type="gramStart"/>
            <w:r>
              <w:rPr>
                <w:color w:val="000000"/>
                <w:kern w:val="0"/>
                <w:sz w:val="24"/>
              </w:rPr>
              <w:t>风县</w:t>
            </w:r>
            <w:proofErr w:type="gramEnd"/>
            <w:r>
              <w:rPr>
                <w:color w:val="000000"/>
                <w:kern w:val="0"/>
                <w:sz w:val="24"/>
              </w:rPr>
              <w:t>、黄州区、汉南区、</w:t>
            </w:r>
            <w:proofErr w:type="gramStart"/>
            <w:r>
              <w:rPr>
                <w:color w:val="000000"/>
                <w:kern w:val="0"/>
                <w:sz w:val="24"/>
              </w:rPr>
              <w:t>蔡甸</w:t>
            </w:r>
            <w:proofErr w:type="gramEnd"/>
            <w:r>
              <w:rPr>
                <w:color w:val="000000"/>
                <w:kern w:val="0"/>
                <w:sz w:val="24"/>
              </w:rPr>
              <w:t>区、黄陂区、阳新县、荆州区、荆州开发区、江陵县、沙市区、石首市、洪湖市、松滋市、公安县、监利县、仙桃市、孝南区、汉川市、赤壁市、嘉鱼县、潜江市</w:t>
            </w:r>
          </w:p>
        </w:tc>
        <w:tc>
          <w:tcPr>
            <w:tcW w:w="5953" w:type="dxa"/>
            <w:vAlign w:val="center"/>
          </w:tcPr>
          <w:p w:rsidR="0006759F" w:rsidRDefault="0006759F" w:rsidP="002A0962">
            <w:pPr>
              <w:widowControl/>
              <w:rPr>
                <w:color w:val="000000"/>
                <w:kern w:val="0"/>
                <w:sz w:val="24"/>
              </w:rPr>
            </w:pPr>
            <w:r>
              <w:rPr>
                <w:color w:val="000000"/>
                <w:kern w:val="0"/>
                <w:sz w:val="24"/>
              </w:rPr>
              <w:t>武昌区、青山区、汉阳区、武汉开发区、新洲区、黄石港区、西塞山区、下陆区、大冶市、伍家岗区、点军区、</w:t>
            </w:r>
            <w:r>
              <w:rPr>
                <w:rFonts w:eastAsia="宋体"/>
                <w:color w:val="000000"/>
                <w:kern w:val="0"/>
                <w:sz w:val="24"/>
              </w:rPr>
              <w:t>猇</w:t>
            </w:r>
            <w:r>
              <w:rPr>
                <w:color w:val="000000"/>
                <w:kern w:val="0"/>
                <w:sz w:val="24"/>
              </w:rPr>
              <w:t>亭区、宜都市、当</w:t>
            </w:r>
            <w:bookmarkStart w:id="0" w:name="_GoBack"/>
            <w:bookmarkEnd w:id="0"/>
            <w:r>
              <w:rPr>
                <w:color w:val="000000"/>
                <w:kern w:val="0"/>
                <w:sz w:val="24"/>
              </w:rPr>
              <w:t>阳市、夷陵区、枝江市、远安县、襄城区、谷城县、通山县、</w:t>
            </w:r>
            <w:proofErr w:type="gramStart"/>
            <w:r>
              <w:rPr>
                <w:color w:val="000000"/>
                <w:kern w:val="0"/>
                <w:sz w:val="24"/>
              </w:rPr>
              <w:t>掇</w:t>
            </w:r>
            <w:proofErr w:type="gramEnd"/>
            <w:r>
              <w:rPr>
                <w:color w:val="000000"/>
                <w:kern w:val="0"/>
                <w:sz w:val="24"/>
              </w:rPr>
              <w:t>刀区、龙感湖管理区、华容区、鄂城区、云梦县、屈家岭管理区、江岸区、东西湖区、南漳县、东宝区、沙洋县、武穴市、浠水县、蕲春县、黄梅县、咸安区</w:t>
            </w:r>
          </w:p>
        </w:tc>
      </w:tr>
      <w:tr w:rsidR="0006759F" w:rsidTr="002A0962">
        <w:trPr>
          <w:trHeight w:val="2925"/>
          <w:tblHeader/>
        </w:trPr>
        <w:tc>
          <w:tcPr>
            <w:tcW w:w="1080" w:type="dxa"/>
            <w:vAlign w:val="center"/>
          </w:tcPr>
          <w:p w:rsidR="0006759F" w:rsidRDefault="0006759F" w:rsidP="002A0962">
            <w:pPr>
              <w:widowControl/>
              <w:jc w:val="center"/>
              <w:rPr>
                <w:color w:val="000000"/>
                <w:kern w:val="0"/>
                <w:sz w:val="24"/>
              </w:rPr>
            </w:pPr>
            <w:r>
              <w:rPr>
                <w:color w:val="000000"/>
                <w:kern w:val="0"/>
                <w:sz w:val="24"/>
              </w:rPr>
              <w:lastRenderedPageBreak/>
              <w:t>湖南</w:t>
            </w:r>
          </w:p>
        </w:tc>
        <w:tc>
          <w:tcPr>
            <w:tcW w:w="2196" w:type="dxa"/>
            <w:vAlign w:val="center"/>
          </w:tcPr>
          <w:p w:rsidR="0006759F" w:rsidRDefault="0006759F" w:rsidP="002A0962">
            <w:pPr>
              <w:widowControl/>
              <w:rPr>
                <w:color w:val="000000"/>
                <w:kern w:val="0"/>
                <w:sz w:val="24"/>
              </w:rPr>
            </w:pPr>
            <w:r>
              <w:rPr>
                <w:color w:val="000000"/>
                <w:kern w:val="0"/>
                <w:sz w:val="24"/>
              </w:rPr>
              <w:t xml:space="preserve">　</w:t>
            </w:r>
          </w:p>
        </w:tc>
        <w:tc>
          <w:tcPr>
            <w:tcW w:w="5103" w:type="dxa"/>
            <w:vAlign w:val="center"/>
          </w:tcPr>
          <w:p w:rsidR="0006759F" w:rsidRDefault="0006759F" w:rsidP="002A0962">
            <w:pPr>
              <w:widowControl/>
              <w:rPr>
                <w:color w:val="000000"/>
                <w:kern w:val="0"/>
                <w:sz w:val="24"/>
              </w:rPr>
            </w:pPr>
            <w:r>
              <w:rPr>
                <w:color w:val="000000"/>
                <w:kern w:val="0"/>
                <w:sz w:val="24"/>
              </w:rPr>
              <w:t>岳阳县、华容县、湘阴县、</w:t>
            </w:r>
            <w:proofErr w:type="gramStart"/>
            <w:r>
              <w:rPr>
                <w:color w:val="000000"/>
                <w:kern w:val="0"/>
                <w:sz w:val="24"/>
              </w:rPr>
              <w:t>汩</w:t>
            </w:r>
            <w:proofErr w:type="gramEnd"/>
            <w:r>
              <w:rPr>
                <w:color w:val="000000"/>
                <w:kern w:val="0"/>
                <w:sz w:val="24"/>
              </w:rPr>
              <w:t>罗市、鼎城区、汉寿县、澧县、津市</w:t>
            </w:r>
            <w:proofErr w:type="gramStart"/>
            <w:r>
              <w:rPr>
                <w:color w:val="000000"/>
                <w:kern w:val="0"/>
                <w:sz w:val="24"/>
              </w:rPr>
              <w:t>市</w:t>
            </w:r>
            <w:proofErr w:type="gramEnd"/>
            <w:r>
              <w:rPr>
                <w:color w:val="000000"/>
                <w:kern w:val="0"/>
                <w:sz w:val="24"/>
              </w:rPr>
              <w:t>、沅江市、南县、君山区、临湘市、安乡县、临澧县、大通湖管理区、建新农场、贺家山原种场、屈原管理区、资阳区、岳阳楼区、南湖风景管理区、云溪区、西湖管理区、津市</w:t>
            </w:r>
            <w:proofErr w:type="gramStart"/>
            <w:r>
              <w:rPr>
                <w:color w:val="000000"/>
                <w:kern w:val="0"/>
                <w:sz w:val="24"/>
              </w:rPr>
              <w:t>市</w:t>
            </w:r>
            <w:proofErr w:type="gramEnd"/>
            <w:r>
              <w:rPr>
                <w:color w:val="000000"/>
                <w:kern w:val="0"/>
                <w:sz w:val="24"/>
              </w:rPr>
              <w:t>（含</w:t>
            </w:r>
            <w:proofErr w:type="gramStart"/>
            <w:r>
              <w:rPr>
                <w:color w:val="000000"/>
                <w:kern w:val="0"/>
                <w:sz w:val="24"/>
              </w:rPr>
              <w:t>涔澹</w:t>
            </w:r>
            <w:proofErr w:type="gramEnd"/>
            <w:r>
              <w:rPr>
                <w:color w:val="000000"/>
                <w:kern w:val="0"/>
                <w:sz w:val="24"/>
              </w:rPr>
              <w:t>农场）、</w:t>
            </w:r>
            <w:proofErr w:type="gramStart"/>
            <w:r>
              <w:rPr>
                <w:color w:val="000000"/>
                <w:kern w:val="0"/>
                <w:sz w:val="24"/>
              </w:rPr>
              <w:t>赫</w:t>
            </w:r>
            <w:proofErr w:type="gramEnd"/>
            <w:r>
              <w:rPr>
                <w:color w:val="000000"/>
                <w:kern w:val="0"/>
                <w:sz w:val="24"/>
              </w:rPr>
              <w:t>山区、望城区</w:t>
            </w:r>
          </w:p>
        </w:tc>
        <w:tc>
          <w:tcPr>
            <w:tcW w:w="5953" w:type="dxa"/>
            <w:vAlign w:val="center"/>
          </w:tcPr>
          <w:p w:rsidR="0006759F" w:rsidRDefault="0006759F" w:rsidP="002A0962">
            <w:pPr>
              <w:widowControl/>
              <w:rPr>
                <w:color w:val="000000"/>
                <w:kern w:val="0"/>
                <w:sz w:val="24"/>
              </w:rPr>
            </w:pPr>
            <w:r>
              <w:rPr>
                <w:color w:val="000000"/>
                <w:kern w:val="0"/>
                <w:sz w:val="24"/>
              </w:rPr>
              <w:t>武陵区、石门县、西洞庭管理区、慈利县、长沙县、天心区、开福区、岳阳经济开发区、芦淞区、石峰区、岳</w:t>
            </w:r>
            <w:proofErr w:type="gramStart"/>
            <w:r>
              <w:rPr>
                <w:color w:val="000000"/>
                <w:kern w:val="0"/>
                <w:sz w:val="24"/>
              </w:rPr>
              <w:t>麓</w:t>
            </w:r>
            <w:proofErr w:type="gramEnd"/>
            <w:r>
              <w:rPr>
                <w:color w:val="000000"/>
                <w:kern w:val="0"/>
                <w:sz w:val="24"/>
              </w:rPr>
              <w:t>区、宁乡县、云龙区、荷塘区、桃源县</w:t>
            </w:r>
          </w:p>
        </w:tc>
      </w:tr>
      <w:tr w:rsidR="0006759F" w:rsidTr="002A0962">
        <w:trPr>
          <w:trHeight w:val="855"/>
          <w:tblHeader/>
        </w:trPr>
        <w:tc>
          <w:tcPr>
            <w:tcW w:w="1080" w:type="dxa"/>
            <w:vAlign w:val="center"/>
          </w:tcPr>
          <w:p w:rsidR="0006759F" w:rsidRDefault="0006759F" w:rsidP="002A0962">
            <w:pPr>
              <w:widowControl/>
              <w:jc w:val="center"/>
              <w:rPr>
                <w:color w:val="000000"/>
                <w:kern w:val="0"/>
                <w:sz w:val="24"/>
              </w:rPr>
            </w:pPr>
            <w:r>
              <w:rPr>
                <w:color w:val="000000"/>
                <w:kern w:val="0"/>
                <w:sz w:val="24"/>
              </w:rPr>
              <w:t>广东</w:t>
            </w:r>
          </w:p>
        </w:tc>
        <w:tc>
          <w:tcPr>
            <w:tcW w:w="2196" w:type="dxa"/>
            <w:vAlign w:val="center"/>
          </w:tcPr>
          <w:p w:rsidR="0006759F" w:rsidRDefault="0006759F" w:rsidP="002A0962">
            <w:pPr>
              <w:widowControl/>
              <w:rPr>
                <w:color w:val="000000"/>
                <w:kern w:val="0"/>
                <w:sz w:val="24"/>
              </w:rPr>
            </w:pPr>
            <w:r>
              <w:rPr>
                <w:color w:val="000000"/>
                <w:kern w:val="0"/>
                <w:sz w:val="24"/>
              </w:rPr>
              <w:t xml:space="preserve">　</w:t>
            </w:r>
          </w:p>
        </w:tc>
        <w:tc>
          <w:tcPr>
            <w:tcW w:w="5103" w:type="dxa"/>
            <w:vAlign w:val="center"/>
          </w:tcPr>
          <w:p w:rsidR="0006759F" w:rsidRDefault="0006759F" w:rsidP="002A0962">
            <w:pPr>
              <w:widowControl/>
              <w:rPr>
                <w:color w:val="000000"/>
                <w:kern w:val="0"/>
                <w:sz w:val="24"/>
              </w:rPr>
            </w:pPr>
            <w:r>
              <w:rPr>
                <w:color w:val="000000"/>
                <w:kern w:val="0"/>
                <w:sz w:val="24"/>
              </w:rPr>
              <w:t xml:space="preserve">　</w:t>
            </w:r>
          </w:p>
        </w:tc>
        <w:tc>
          <w:tcPr>
            <w:tcW w:w="5953" w:type="dxa"/>
            <w:vAlign w:val="center"/>
          </w:tcPr>
          <w:p w:rsidR="0006759F" w:rsidRDefault="0006759F" w:rsidP="002A0962">
            <w:pPr>
              <w:widowControl/>
              <w:rPr>
                <w:color w:val="000000"/>
                <w:kern w:val="0"/>
                <w:sz w:val="24"/>
              </w:rPr>
            </w:pPr>
            <w:r>
              <w:rPr>
                <w:color w:val="000000"/>
                <w:kern w:val="0"/>
                <w:sz w:val="24"/>
              </w:rPr>
              <w:t>花都区、增城区、曲江区、仁化县、翁源县、三水区、南海区、四会市、清城区、清新区、英德市、顺德区、肇庆高新区</w:t>
            </w:r>
          </w:p>
        </w:tc>
      </w:tr>
      <w:tr w:rsidR="0006759F" w:rsidTr="002A0962">
        <w:trPr>
          <w:trHeight w:val="1140"/>
          <w:tblHeader/>
        </w:trPr>
        <w:tc>
          <w:tcPr>
            <w:tcW w:w="1080" w:type="dxa"/>
            <w:vAlign w:val="center"/>
          </w:tcPr>
          <w:p w:rsidR="0006759F" w:rsidRDefault="0006759F" w:rsidP="002A0962">
            <w:pPr>
              <w:widowControl/>
              <w:jc w:val="center"/>
              <w:rPr>
                <w:color w:val="000000"/>
                <w:kern w:val="0"/>
                <w:sz w:val="24"/>
              </w:rPr>
            </w:pPr>
            <w:r>
              <w:rPr>
                <w:color w:val="000000"/>
                <w:kern w:val="0"/>
                <w:sz w:val="24"/>
              </w:rPr>
              <w:t>广西</w:t>
            </w:r>
          </w:p>
        </w:tc>
        <w:tc>
          <w:tcPr>
            <w:tcW w:w="2196" w:type="dxa"/>
            <w:vAlign w:val="center"/>
          </w:tcPr>
          <w:p w:rsidR="0006759F" w:rsidRDefault="0006759F" w:rsidP="002A0962">
            <w:pPr>
              <w:widowControl/>
              <w:rPr>
                <w:color w:val="000000"/>
                <w:kern w:val="0"/>
                <w:sz w:val="24"/>
              </w:rPr>
            </w:pPr>
            <w:r>
              <w:rPr>
                <w:color w:val="000000"/>
                <w:kern w:val="0"/>
                <w:sz w:val="24"/>
              </w:rPr>
              <w:t xml:space="preserve">　</w:t>
            </w:r>
          </w:p>
        </w:tc>
        <w:tc>
          <w:tcPr>
            <w:tcW w:w="5103" w:type="dxa"/>
            <w:vAlign w:val="center"/>
          </w:tcPr>
          <w:p w:rsidR="0006759F" w:rsidRDefault="0006759F" w:rsidP="002A0962">
            <w:pPr>
              <w:widowControl/>
              <w:rPr>
                <w:color w:val="000000"/>
                <w:kern w:val="0"/>
                <w:sz w:val="24"/>
              </w:rPr>
            </w:pPr>
            <w:r>
              <w:rPr>
                <w:color w:val="000000"/>
                <w:kern w:val="0"/>
                <w:sz w:val="24"/>
              </w:rPr>
              <w:t xml:space="preserve">　</w:t>
            </w:r>
          </w:p>
        </w:tc>
        <w:tc>
          <w:tcPr>
            <w:tcW w:w="5953" w:type="dxa"/>
            <w:vAlign w:val="center"/>
          </w:tcPr>
          <w:p w:rsidR="0006759F" w:rsidRDefault="0006759F" w:rsidP="002A0962">
            <w:pPr>
              <w:widowControl/>
              <w:rPr>
                <w:color w:val="000000"/>
                <w:kern w:val="0"/>
                <w:sz w:val="24"/>
              </w:rPr>
            </w:pPr>
            <w:r>
              <w:rPr>
                <w:color w:val="000000"/>
                <w:kern w:val="0"/>
                <w:sz w:val="24"/>
              </w:rPr>
              <w:t>武鸣县、贵港市、桂平市、玉林市、平果县、德保县、靖西县、河池市、宜州市、罗城县、环江县、东兰县、巴马县、都安县、横县、宾阳县、天等县、融水县、忻城县</w:t>
            </w:r>
          </w:p>
        </w:tc>
      </w:tr>
      <w:tr w:rsidR="0006759F" w:rsidTr="002A0962">
        <w:trPr>
          <w:trHeight w:val="3135"/>
          <w:tblHeader/>
        </w:trPr>
        <w:tc>
          <w:tcPr>
            <w:tcW w:w="1080" w:type="dxa"/>
            <w:vAlign w:val="center"/>
          </w:tcPr>
          <w:p w:rsidR="0006759F" w:rsidRDefault="0006759F" w:rsidP="002A0962">
            <w:pPr>
              <w:widowControl/>
              <w:jc w:val="center"/>
              <w:rPr>
                <w:color w:val="000000"/>
                <w:kern w:val="0"/>
                <w:sz w:val="24"/>
              </w:rPr>
            </w:pPr>
            <w:r>
              <w:rPr>
                <w:color w:val="000000"/>
                <w:kern w:val="0"/>
                <w:sz w:val="24"/>
              </w:rPr>
              <w:lastRenderedPageBreak/>
              <w:t>四川</w:t>
            </w:r>
          </w:p>
        </w:tc>
        <w:tc>
          <w:tcPr>
            <w:tcW w:w="2196" w:type="dxa"/>
            <w:vAlign w:val="center"/>
          </w:tcPr>
          <w:p w:rsidR="0006759F" w:rsidRDefault="0006759F" w:rsidP="002A0962">
            <w:pPr>
              <w:widowControl/>
              <w:rPr>
                <w:color w:val="000000"/>
                <w:kern w:val="0"/>
                <w:sz w:val="24"/>
              </w:rPr>
            </w:pPr>
            <w:r>
              <w:rPr>
                <w:color w:val="000000"/>
                <w:kern w:val="0"/>
                <w:sz w:val="24"/>
              </w:rPr>
              <w:t xml:space="preserve">　</w:t>
            </w:r>
          </w:p>
        </w:tc>
        <w:tc>
          <w:tcPr>
            <w:tcW w:w="5103" w:type="dxa"/>
            <w:vAlign w:val="center"/>
          </w:tcPr>
          <w:p w:rsidR="0006759F" w:rsidRDefault="0006759F" w:rsidP="002A0962">
            <w:pPr>
              <w:widowControl/>
              <w:rPr>
                <w:color w:val="000000"/>
                <w:kern w:val="0"/>
                <w:sz w:val="24"/>
              </w:rPr>
            </w:pPr>
            <w:r>
              <w:rPr>
                <w:color w:val="000000"/>
                <w:kern w:val="0"/>
                <w:sz w:val="24"/>
              </w:rPr>
              <w:t>中江县、普格县、芦山县</w:t>
            </w:r>
          </w:p>
        </w:tc>
        <w:tc>
          <w:tcPr>
            <w:tcW w:w="5953" w:type="dxa"/>
            <w:vAlign w:val="center"/>
          </w:tcPr>
          <w:p w:rsidR="0006759F" w:rsidRDefault="0006759F" w:rsidP="002A0962">
            <w:pPr>
              <w:widowControl/>
              <w:rPr>
                <w:color w:val="000000"/>
                <w:kern w:val="0"/>
                <w:sz w:val="24"/>
              </w:rPr>
            </w:pPr>
            <w:r>
              <w:rPr>
                <w:color w:val="000000"/>
                <w:kern w:val="0"/>
                <w:sz w:val="24"/>
              </w:rPr>
              <w:t>龙泉</w:t>
            </w:r>
            <w:proofErr w:type="gramStart"/>
            <w:r>
              <w:rPr>
                <w:color w:val="000000"/>
                <w:kern w:val="0"/>
                <w:sz w:val="24"/>
              </w:rPr>
              <w:t>驿</w:t>
            </w:r>
            <w:proofErr w:type="gramEnd"/>
            <w:r>
              <w:rPr>
                <w:color w:val="000000"/>
                <w:kern w:val="0"/>
                <w:sz w:val="24"/>
              </w:rPr>
              <w:t>区、锦江区、温江区、武侯区、郫县、成华区、金牛区、都江堰市、成都高新区、青羊区、新都区、双流县、彭州市、新津县、</w:t>
            </w:r>
            <w:proofErr w:type="gramStart"/>
            <w:r>
              <w:rPr>
                <w:color w:val="000000"/>
                <w:kern w:val="0"/>
                <w:sz w:val="24"/>
              </w:rPr>
              <w:t>青白江</w:t>
            </w:r>
            <w:proofErr w:type="gramEnd"/>
            <w:r>
              <w:rPr>
                <w:color w:val="000000"/>
                <w:kern w:val="0"/>
                <w:sz w:val="24"/>
              </w:rPr>
              <w:t>区、崇州市、金堂县、蒲江县、乐山市</w:t>
            </w:r>
            <w:proofErr w:type="gramStart"/>
            <w:r>
              <w:rPr>
                <w:color w:val="000000"/>
                <w:kern w:val="0"/>
                <w:sz w:val="24"/>
              </w:rPr>
              <w:t>市</w:t>
            </w:r>
            <w:proofErr w:type="gramEnd"/>
            <w:r>
              <w:rPr>
                <w:color w:val="000000"/>
                <w:kern w:val="0"/>
                <w:sz w:val="24"/>
              </w:rPr>
              <w:t>中区、峨眉山市、五通桥区、井研县、沙湾区、会理县、</w:t>
            </w:r>
            <w:r>
              <w:rPr>
                <w:color w:val="000000"/>
                <w:kern w:val="0"/>
                <w:sz w:val="24"/>
              </w:rPr>
              <w:t xml:space="preserve"> </w:t>
            </w:r>
            <w:r>
              <w:rPr>
                <w:color w:val="000000"/>
                <w:kern w:val="0"/>
                <w:sz w:val="24"/>
              </w:rPr>
              <w:t>冕宁县、青神县、丹棱县、洪雅县、江油市、游仙区、北川县、资中县、盐边县、米易县、荥经县、雨城区、名山区、翠屏区、简阳市、乐至县、</w:t>
            </w:r>
            <w:proofErr w:type="gramStart"/>
            <w:r>
              <w:rPr>
                <w:color w:val="000000"/>
                <w:kern w:val="0"/>
                <w:sz w:val="24"/>
              </w:rPr>
              <w:t>雁江区</w:t>
            </w:r>
            <w:proofErr w:type="gramEnd"/>
            <w:r>
              <w:rPr>
                <w:color w:val="000000"/>
                <w:kern w:val="0"/>
                <w:sz w:val="24"/>
              </w:rPr>
              <w:t>、邛崃市、大邑县、绵竹市、什邡市、夹江县、德昌县、喜德县、罗江县、绵阳高新区、</w:t>
            </w:r>
            <w:proofErr w:type="gramStart"/>
            <w:r>
              <w:rPr>
                <w:color w:val="000000"/>
                <w:kern w:val="0"/>
                <w:sz w:val="24"/>
              </w:rPr>
              <w:t>旌</w:t>
            </w:r>
            <w:proofErr w:type="gramEnd"/>
            <w:r>
              <w:rPr>
                <w:color w:val="000000"/>
                <w:kern w:val="0"/>
                <w:sz w:val="24"/>
              </w:rPr>
              <w:t>阳区、广汉市、西昌市、昭觉县、东坡区、仁寿县、</w:t>
            </w:r>
            <w:proofErr w:type="gramStart"/>
            <w:r>
              <w:rPr>
                <w:color w:val="000000"/>
                <w:kern w:val="0"/>
                <w:sz w:val="24"/>
              </w:rPr>
              <w:t>彭</w:t>
            </w:r>
            <w:proofErr w:type="gramEnd"/>
            <w:r>
              <w:rPr>
                <w:color w:val="000000"/>
                <w:kern w:val="0"/>
                <w:sz w:val="24"/>
              </w:rPr>
              <w:t>山区、安县、</w:t>
            </w:r>
            <w:proofErr w:type="gramStart"/>
            <w:r>
              <w:rPr>
                <w:color w:val="000000"/>
                <w:kern w:val="0"/>
                <w:sz w:val="24"/>
              </w:rPr>
              <w:t>涪</w:t>
            </w:r>
            <w:proofErr w:type="gramEnd"/>
            <w:r>
              <w:rPr>
                <w:color w:val="000000"/>
                <w:kern w:val="0"/>
                <w:sz w:val="24"/>
              </w:rPr>
              <w:t>城区、天全县</w:t>
            </w:r>
          </w:p>
        </w:tc>
      </w:tr>
      <w:tr w:rsidR="0006759F" w:rsidTr="002A0962">
        <w:trPr>
          <w:trHeight w:val="780"/>
          <w:tblHeader/>
        </w:trPr>
        <w:tc>
          <w:tcPr>
            <w:tcW w:w="1080" w:type="dxa"/>
            <w:vAlign w:val="center"/>
          </w:tcPr>
          <w:p w:rsidR="0006759F" w:rsidRDefault="0006759F" w:rsidP="002A0962">
            <w:pPr>
              <w:widowControl/>
              <w:jc w:val="center"/>
              <w:rPr>
                <w:color w:val="000000"/>
                <w:kern w:val="0"/>
                <w:sz w:val="24"/>
              </w:rPr>
            </w:pPr>
            <w:r>
              <w:rPr>
                <w:color w:val="000000"/>
                <w:kern w:val="0"/>
                <w:sz w:val="24"/>
              </w:rPr>
              <w:t>云南</w:t>
            </w:r>
          </w:p>
        </w:tc>
        <w:tc>
          <w:tcPr>
            <w:tcW w:w="2196" w:type="dxa"/>
            <w:vAlign w:val="center"/>
          </w:tcPr>
          <w:p w:rsidR="0006759F" w:rsidRDefault="0006759F" w:rsidP="002A0962">
            <w:pPr>
              <w:widowControl/>
              <w:rPr>
                <w:color w:val="000000"/>
                <w:kern w:val="0"/>
                <w:sz w:val="24"/>
              </w:rPr>
            </w:pPr>
            <w:r>
              <w:rPr>
                <w:color w:val="000000"/>
                <w:kern w:val="0"/>
                <w:sz w:val="24"/>
              </w:rPr>
              <w:t xml:space="preserve">　</w:t>
            </w:r>
          </w:p>
        </w:tc>
        <w:tc>
          <w:tcPr>
            <w:tcW w:w="5103" w:type="dxa"/>
            <w:vAlign w:val="center"/>
          </w:tcPr>
          <w:p w:rsidR="0006759F" w:rsidRDefault="0006759F" w:rsidP="002A0962">
            <w:pPr>
              <w:widowControl/>
              <w:rPr>
                <w:color w:val="000000"/>
                <w:kern w:val="0"/>
                <w:sz w:val="24"/>
              </w:rPr>
            </w:pPr>
            <w:r>
              <w:rPr>
                <w:color w:val="000000"/>
                <w:kern w:val="0"/>
                <w:sz w:val="24"/>
              </w:rPr>
              <w:t>洱源县、鹤庆县、大理市、南涧县、弥渡县、永胜县、巍山县</w:t>
            </w:r>
          </w:p>
        </w:tc>
        <w:tc>
          <w:tcPr>
            <w:tcW w:w="5953" w:type="dxa"/>
            <w:vAlign w:val="center"/>
          </w:tcPr>
          <w:p w:rsidR="0006759F" w:rsidRDefault="0006759F" w:rsidP="002A0962">
            <w:pPr>
              <w:widowControl/>
              <w:rPr>
                <w:color w:val="000000"/>
                <w:kern w:val="0"/>
                <w:sz w:val="24"/>
              </w:rPr>
            </w:pPr>
            <w:r>
              <w:rPr>
                <w:color w:val="000000"/>
                <w:kern w:val="0"/>
                <w:sz w:val="24"/>
              </w:rPr>
              <w:t>楚雄市、禄丰县、个旧市、漾濞县、祥云县、宾川县、云龙县、剑川县、玉龙县、古城区、宁蒗县</w:t>
            </w:r>
          </w:p>
        </w:tc>
      </w:tr>
    </w:tbl>
    <w:p w:rsidR="0006759F" w:rsidRDefault="0006759F" w:rsidP="0006759F">
      <w:pPr>
        <w:adjustRightInd w:val="0"/>
        <w:snapToGrid w:val="0"/>
        <w:spacing w:line="520" w:lineRule="exact"/>
        <w:ind w:rightChars="73" w:right="234"/>
        <w:sectPr w:rsidR="0006759F">
          <w:headerReference w:type="even" r:id="rId9"/>
          <w:headerReference w:type="default" r:id="rId10"/>
          <w:footerReference w:type="even" r:id="rId11"/>
          <w:footerReference w:type="default" r:id="rId12"/>
          <w:headerReference w:type="first" r:id="rId13"/>
          <w:footerReference w:type="first" r:id="rId14"/>
          <w:pgSz w:w="16838" w:h="11906" w:orient="landscape"/>
          <w:pgMar w:top="1797" w:right="1440" w:bottom="1797" w:left="1440" w:header="284" w:footer="284" w:gutter="0"/>
          <w:cols w:space="720"/>
          <w:docGrid w:type="linesAndChars" w:linePitch="435"/>
        </w:sectPr>
      </w:pPr>
    </w:p>
    <w:p w:rsidR="0006759F" w:rsidRDefault="0006759F" w:rsidP="0006759F">
      <w:pPr>
        <w:adjustRightInd w:val="0"/>
        <w:snapToGrid w:val="0"/>
        <w:spacing w:line="520" w:lineRule="exact"/>
        <w:ind w:rightChars="73" w:right="234"/>
      </w:pPr>
    </w:p>
    <w:p w:rsidR="0006759F" w:rsidRDefault="0006759F" w:rsidP="0006759F">
      <w:pPr>
        <w:pStyle w:val="1"/>
        <w:jc w:val="center"/>
        <w:rPr>
          <w:rFonts w:ascii="宋体" w:eastAsia="宋体" w:hAnsi="宋体"/>
          <w:b/>
          <w:bCs/>
          <w:sz w:val="44"/>
        </w:rPr>
      </w:pPr>
    </w:p>
    <w:p w:rsidR="00F751B9" w:rsidRPr="0006759F" w:rsidRDefault="00F751B9"/>
    <w:sectPr w:rsidR="00F751B9" w:rsidRPr="0006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0000" w:rsidRDefault="0006759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00000" w:rsidRDefault="0006759F">
    <w:pPr>
      <w:pStyle w:val="a3"/>
      <w:jc w:val="center"/>
    </w:pPr>
  </w:p>
  <w:p w:rsidR="00000000" w:rsidRDefault="0006759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9F">
    <w:pPr>
      <w:pStyle w:val="a3"/>
    </w:pPr>
    <w:r>
      <w:rPr>
        <w:noProof/>
      </w:rPr>
      <mc:AlternateContent>
        <mc:Choice Requires="wps">
          <w:drawing>
            <wp:anchor distT="0" distB="0" distL="114300" distR="114300" simplePos="0" relativeHeight="251659264" behindDoc="0" locked="0" layoutInCell="1" allowOverlap="1" wp14:anchorId="0A606C7E" wp14:editId="302ED4EC">
              <wp:simplePos x="0" y="0"/>
              <wp:positionH relativeFrom="margin">
                <wp:align>center</wp:align>
              </wp:positionH>
              <wp:positionV relativeFrom="paragraph">
                <wp:posOffset>0</wp:posOffset>
              </wp:positionV>
              <wp:extent cx="67310" cy="1530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6759F">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Pr="0006759F">
                            <w:rPr>
                              <w:noProof/>
                              <w:sz w:val="21"/>
                              <w:szCs w:val="21"/>
                              <w:lang w:val="en-US" w:eastAsia="zh-CN"/>
                            </w:rPr>
                            <w:t>1</w:t>
                          </w:r>
                          <w:r>
                            <w:rPr>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3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" filled="f" stroked="f">
              <v:textbox style="mso-fit-shape-to-text:t" inset="0,0,0,0">
                <w:txbxContent>
                  <w:p w:rsidR="00000000" w:rsidRDefault="0006759F">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Pr="0006759F">
                      <w:rPr>
                        <w:noProof/>
                        <w:sz w:val="21"/>
                        <w:szCs w:val="21"/>
                        <w:lang w:val="en-US" w:eastAsia="zh-CN"/>
                      </w:rPr>
                      <w:t>1</w:t>
                    </w:r>
                    <w:r>
                      <w:rPr>
                        <w:sz w:val="21"/>
                        <w:szCs w:val="21"/>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9F">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9F">
    <w:pPr>
      <w:pStyle w:val="a3"/>
      <w:jc w:val="center"/>
    </w:pPr>
    <w:r>
      <w:fldChar w:fldCharType="begin"/>
    </w:r>
    <w:r>
      <w:instrText>PAGE   \* MERGEFORMAT</w:instrText>
    </w:r>
    <w:r>
      <w:fldChar w:fldCharType="separate"/>
    </w:r>
    <w:r w:rsidRPr="0006759F">
      <w:rPr>
        <w:noProof/>
        <w:lang w:val="zh-CN"/>
      </w:rPr>
      <w:t>12</w:t>
    </w:r>
    <w:r>
      <w:fldChar w:fldCharType="end"/>
    </w:r>
  </w:p>
  <w:p w:rsidR="00000000" w:rsidRDefault="0006759F">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9F">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9F">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9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9F">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9F"/>
    <w:rsid w:val="0006759F"/>
    <w:rsid w:val="00F7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9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6759F"/>
    <w:rPr>
      <w:sz w:val="18"/>
      <w:szCs w:val="18"/>
    </w:rPr>
  </w:style>
  <w:style w:type="character" w:customStyle="1" w:styleId="Char0">
    <w:name w:val="页眉 Char"/>
    <w:link w:val="a4"/>
    <w:rsid w:val="0006759F"/>
    <w:rPr>
      <w:sz w:val="18"/>
      <w:szCs w:val="18"/>
    </w:rPr>
  </w:style>
  <w:style w:type="paragraph" w:styleId="a3">
    <w:name w:val="footer"/>
    <w:basedOn w:val="a"/>
    <w:link w:val="Char"/>
    <w:uiPriority w:val="99"/>
    <w:rsid w:val="000675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6759F"/>
    <w:rPr>
      <w:rFonts w:ascii="Times New Roman" w:eastAsia="仿宋_GB2312" w:hAnsi="Times New Roman" w:cs="Times New Roman"/>
      <w:sz w:val="18"/>
      <w:szCs w:val="18"/>
    </w:rPr>
  </w:style>
  <w:style w:type="paragraph" w:styleId="a4">
    <w:name w:val="header"/>
    <w:basedOn w:val="a"/>
    <w:link w:val="Char0"/>
    <w:rsid w:val="000675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06759F"/>
    <w:rPr>
      <w:rFonts w:ascii="Times New Roman" w:eastAsia="仿宋_GB2312" w:hAnsi="Times New Roman" w:cs="Times New Roman"/>
      <w:sz w:val="18"/>
      <w:szCs w:val="18"/>
    </w:rPr>
  </w:style>
  <w:style w:type="paragraph" w:customStyle="1" w:styleId="1">
    <w:name w:val="样式1"/>
    <w:basedOn w:val="a"/>
    <w:rsid w:val="0006759F"/>
    <w:rPr>
      <w:rFonts w:ascii="仿宋_GB2312"/>
      <w:sz w:val="28"/>
    </w:rPr>
  </w:style>
  <w:style w:type="character" w:styleId="a5">
    <w:name w:val="page number"/>
    <w:rsid w:val="0006759F"/>
  </w:style>
  <w:style w:type="paragraph" w:styleId="a6">
    <w:name w:val="Balloon Text"/>
    <w:basedOn w:val="a"/>
    <w:link w:val="Char2"/>
    <w:uiPriority w:val="99"/>
    <w:semiHidden/>
    <w:unhideWhenUsed/>
    <w:rsid w:val="0006759F"/>
    <w:rPr>
      <w:sz w:val="18"/>
      <w:szCs w:val="18"/>
    </w:rPr>
  </w:style>
  <w:style w:type="character" w:customStyle="1" w:styleId="Char2">
    <w:name w:val="批注框文本 Char"/>
    <w:basedOn w:val="a0"/>
    <w:link w:val="a6"/>
    <w:uiPriority w:val="99"/>
    <w:semiHidden/>
    <w:rsid w:val="0006759F"/>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9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6759F"/>
    <w:rPr>
      <w:sz w:val="18"/>
      <w:szCs w:val="18"/>
    </w:rPr>
  </w:style>
  <w:style w:type="character" w:customStyle="1" w:styleId="Char0">
    <w:name w:val="页眉 Char"/>
    <w:link w:val="a4"/>
    <w:rsid w:val="0006759F"/>
    <w:rPr>
      <w:sz w:val="18"/>
      <w:szCs w:val="18"/>
    </w:rPr>
  </w:style>
  <w:style w:type="paragraph" w:styleId="a3">
    <w:name w:val="footer"/>
    <w:basedOn w:val="a"/>
    <w:link w:val="Char"/>
    <w:uiPriority w:val="99"/>
    <w:rsid w:val="000675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6759F"/>
    <w:rPr>
      <w:rFonts w:ascii="Times New Roman" w:eastAsia="仿宋_GB2312" w:hAnsi="Times New Roman" w:cs="Times New Roman"/>
      <w:sz w:val="18"/>
      <w:szCs w:val="18"/>
    </w:rPr>
  </w:style>
  <w:style w:type="paragraph" w:styleId="a4">
    <w:name w:val="header"/>
    <w:basedOn w:val="a"/>
    <w:link w:val="Char0"/>
    <w:rsid w:val="000675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06759F"/>
    <w:rPr>
      <w:rFonts w:ascii="Times New Roman" w:eastAsia="仿宋_GB2312" w:hAnsi="Times New Roman" w:cs="Times New Roman"/>
      <w:sz w:val="18"/>
      <w:szCs w:val="18"/>
    </w:rPr>
  </w:style>
  <w:style w:type="paragraph" w:customStyle="1" w:styleId="1">
    <w:name w:val="样式1"/>
    <w:basedOn w:val="a"/>
    <w:rsid w:val="0006759F"/>
    <w:rPr>
      <w:rFonts w:ascii="仿宋_GB2312"/>
      <w:sz w:val="28"/>
    </w:rPr>
  </w:style>
  <w:style w:type="character" w:styleId="a5">
    <w:name w:val="page number"/>
    <w:rsid w:val="0006759F"/>
  </w:style>
  <w:style w:type="paragraph" w:styleId="a6">
    <w:name w:val="Balloon Text"/>
    <w:basedOn w:val="a"/>
    <w:link w:val="Char2"/>
    <w:uiPriority w:val="99"/>
    <w:semiHidden/>
    <w:unhideWhenUsed/>
    <w:rsid w:val="0006759F"/>
    <w:rPr>
      <w:sz w:val="18"/>
      <w:szCs w:val="18"/>
    </w:rPr>
  </w:style>
  <w:style w:type="character" w:customStyle="1" w:styleId="Char2">
    <w:name w:val="批注框文本 Char"/>
    <w:basedOn w:val="a0"/>
    <w:link w:val="a6"/>
    <w:uiPriority w:val="99"/>
    <w:semiHidden/>
    <w:rsid w:val="0006759F"/>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1172</Words>
  <Characters>6681</Characters>
  <Application>Microsoft Office Word</Application>
  <DocSecurity>0</DocSecurity>
  <Lines>55</Lines>
  <Paragraphs>15</Paragraphs>
  <ScaleCrop>false</ScaleCrop>
  <Company>中华人民共和国国家卫生和计划生育委员会</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jiyc</dc:creator>
  <cp:lastModifiedBy>jiyc</cp:lastModifiedBy>
  <cp:revision>1</cp:revision>
  <dcterms:created xsi:type="dcterms:W3CDTF">2017-03-16T06:16:00Z</dcterms:created>
  <dcterms:modified xsi:type="dcterms:W3CDTF">2017-03-16T06:17:00Z</dcterms:modified>
</cp:coreProperties>
</file>