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0B" w:rsidRPr="007B002E" w:rsidRDefault="004D3D0B" w:rsidP="004D3D0B">
      <w:pPr>
        <w:adjustRightInd w:val="0"/>
        <w:snapToGrid w:val="0"/>
        <w:jc w:val="left"/>
        <w:rPr>
          <w:rFonts w:ascii="黑体" w:eastAsia="黑体" w:hAnsi="黑体"/>
          <w:sz w:val="28"/>
          <w:szCs w:val="28"/>
        </w:rPr>
      </w:pPr>
      <w:r w:rsidRPr="007B002E">
        <w:rPr>
          <w:rFonts w:ascii="黑体" w:eastAsia="黑体" w:hAnsi="黑体" w:hint="eastAsia"/>
          <w:sz w:val="28"/>
          <w:szCs w:val="28"/>
        </w:rPr>
        <w:t>附件</w:t>
      </w:r>
      <w:r w:rsidR="000B31A5">
        <w:rPr>
          <w:rFonts w:ascii="黑体" w:eastAsia="黑体" w:hAnsi="黑体" w:hint="eastAsia"/>
          <w:sz w:val="28"/>
          <w:szCs w:val="28"/>
        </w:rPr>
        <w:t>14</w:t>
      </w:r>
    </w:p>
    <w:p w:rsidR="000B31A5" w:rsidRDefault="004D3D0B" w:rsidP="004D3D0B">
      <w:pPr>
        <w:adjustRightInd w:val="0"/>
        <w:snapToGrid w:val="0"/>
        <w:jc w:val="center"/>
        <w:rPr>
          <w:rFonts w:ascii="宋体" w:hAnsi="宋体"/>
          <w:b/>
          <w:sz w:val="44"/>
          <w:szCs w:val="44"/>
        </w:rPr>
      </w:pPr>
      <w:r w:rsidRPr="000F3987">
        <w:rPr>
          <w:rFonts w:ascii="宋体" w:hAnsi="宋体" w:hint="eastAsia"/>
          <w:b/>
          <w:sz w:val="44"/>
          <w:szCs w:val="44"/>
        </w:rPr>
        <w:t>质子和重离子加速器放射治疗技术</w:t>
      </w:r>
    </w:p>
    <w:p w:rsidR="004D3D0B" w:rsidRDefault="000B31A5" w:rsidP="004D3D0B">
      <w:pPr>
        <w:adjustRightInd w:val="0"/>
        <w:snapToGrid w:val="0"/>
        <w:jc w:val="center"/>
        <w:rPr>
          <w:rFonts w:ascii="宋体" w:hAnsi="宋体"/>
          <w:b/>
          <w:sz w:val="44"/>
          <w:szCs w:val="44"/>
        </w:rPr>
      </w:pPr>
      <w:r w:rsidRPr="000B31A5">
        <w:rPr>
          <w:rFonts w:ascii="宋体" w:hAnsi="宋体" w:hint="eastAsia"/>
          <w:b/>
          <w:sz w:val="44"/>
          <w:szCs w:val="44"/>
        </w:rPr>
        <w:t>临床应用质量控制指标</w:t>
      </w:r>
    </w:p>
    <w:p w:rsidR="004D3D0B" w:rsidRPr="00C623B6" w:rsidRDefault="004D3D0B" w:rsidP="004D3D0B">
      <w:pPr>
        <w:adjustRightInd w:val="0"/>
        <w:snapToGrid w:val="0"/>
        <w:jc w:val="center"/>
        <w:rPr>
          <w:rFonts w:ascii="楷体_GB2312" w:eastAsia="楷体_GB2312" w:hAnsi="宋体"/>
          <w:b/>
          <w:sz w:val="32"/>
          <w:szCs w:val="32"/>
        </w:rPr>
      </w:pPr>
      <w:r>
        <w:rPr>
          <w:rFonts w:ascii="楷体_GB2312" w:eastAsia="楷体_GB2312" w:hAnsi="宋体" w:hint="eastAsia"/>
          <w:b/>
          <w:sz w:val="32"/>
          <w:szCs w:val="32"/>
        </w:rPr>
        <w:t>（201</w:t>
      </w:r>
      <w:r w:rsidR="00725C6C">
        <w:rPr>
          <w:rFonts w:ascii="楷体_GB2312" w:eastAsia="楷体_GB2312" w:hAnsi="宋体" w:hint="eastAsia"/>
          <w:b/>
          <w:sz w:val="32"/>
          <w:szCs w:val="32"/>
        </w:rPr>
        <w:t>7</w:t>
      </w:r>
      <w:bookmarkStart w:id="0" w:name="_GoBack"/>
      <w:bookmarkEnd w:id="0"/>
      <w:r>
        <w:rPr>
          <w:rFonts w:ascii="楷体_GB2312" w:eastAsia="楷体_GB2312" w:hAnsi="宋体" w:hint="eastAsia"/>
          <w:b/>
          <w:sz w:val="32"/>
          <w:szCs w:val="32"/>
        </w:rPr>
        <w:t>年</w:t>
      </w:r>
      <w:r w:rsidR="00BA4749">
        <w:rPr>
          <w:rFonts w:ascii="楷体_GB2312" w:eastAsia="楷体_GB2312" w:hAnsi="宋体" w:cs="宋体" w:hint="eastAsia"/>
          <w:b/>
          <w:color w:val="000000"/>
          <w:kern w:val="0"/>
          <w:sz w:val="32"/>
          <w:szCs w:val="32"/>
        </w:rPr>
        <w:t>版</w:t>
      </w:r>
      <w:r>
        <w:rPr>
          <w:rFonts w:ascii="楷体_GB2312" w:eastAsia="楷体_GB2312" w:hAnsi="宋体" w:hint="eastAsia"/>
          <w:b/>
          <w:sz w:val="32"/>
          <w:szCs w:val="32"/>
        </w:rPr>
        <w:t>）</w:t>
      </w:r>
    </w:p>
    <w:p w:rsidR="004D3D0B" w:rsidRPr="00FD1CFA" w:rsidRDefault="004D3D0B" w:rsidP="004D3D0B">
      <w:pPr>
        <w:snapToGrid w:val="0"/>
        <w:jc w:val="center"/>
        <w:rPr>
          <w:rFonts w:ascii="宋体" w:hAnsi="宋体"/>
          <w:b/>
          <w:szCs w:val="21"/>
        </w:rPr>
      </w:pPr>
    </w:p>
    <w:p w:rsidR="004D3D0B" w:rsidRPr="00136B2F" w:rsidRDefault="004D3D0B" w:rsidP="004D3D0B">
      <w:pPr>
        <w:adjustRightInd w:val="0"/>
        <w:snapToGrid w:val="0"/>
        <w:spacing w:line="360" w:lineRule="auto"/>
        <w:ind w:firstLineChars="200" w:firstLine="640"/>
        <w:rPr>
          <w:rFonts w:ascii="黑体" w:eastAsia="黑体" w:hAnsi="黑体"/>
          <w:sz w:val="32"/>
          <w:szCs w:val="32"/>
        </w:rPr>
      </w:pPr>
      <w:r w:rsidRPr="00136B2F">
        <w:rPr>
          <w:rFonts w:ascii="黑体" w:eastAsia="黑体" w:hAnsi="黑体" w:hint="eastAsia"/>
          <w:sz w:val="32"/>
          <w:szCs w:val="32"/>
        </w:rPr>
        <w:t>一、适应证符合率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符合质子或重离子放射治疗</w:t>
      </w:r>
      <w:r w:rsidR="00196F8E">
        <w:rPr>
          <w:rFonts w:ascii="仿宋_GB2312" w:eastAsia="仿宋_GB2312" w:hAnsi="仿宋_GB2312" w:cs="仿宋_GB2312" w:hint="eastAsia"/>
          <w:sz w:val="32"/>
          <w:szCs w:val="32"/>
        </w:rPr>
        <w:t>临床</w:t>
      </w:r>
      <w:r>
        <w:rPr>
          <w:rFonts w:ascii="仿宋_GB2312" w:eastAsia="仿宋_GB2312" w:hAnsi="仿宋_GB2312" w:cs="仿宋_GB2312" w:hint="eastAsia"/>
          <w:sz w:val="32"/>
          <w:szCs w:val="32"/>
        </w:rPr>
        <w:t>适应证的患者例次</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治疗总</w:t>
      </w:r>
      <w:r>
        <w:rPr>
          <w:rFonts w:ascii="仿宋_GB2312" w:eastAsia="仿宋_GB2312" w:hAnsi="仿宋_GB2312" w:cs="仿宋_GB2312" w:hint="eastAsia"/>
          <w:sz w:val="32"/>
          <w:szCs w:val="32"/>
        </w:rPr>
        <w:t>例次</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适应证符合率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符合该机构制定的临床治疗适应证的例次数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总例次数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Default="004D3D0B" w:rsidP="004D3D0B">
      <w:pPr>
        <w:pStyle w:val="a5"/>
        <w:adjustRightInd w:val="0"/>
        <w:snapToGrid w:val="0"/>
        <w:spacing w:line="360" w:lineRule="auto"/>
        <w:ind w:left="640" w:firstLineChars="0" w:firstLine="0"/>
        <w:rPr>
          <w:rFonts w:ascii="仿宋_GB2312" w:eastAsia="仿宋_GB2312" w:hAnsi="仿宋_GB2312" w:cs="仿宋_GB2312"/>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反映医疗机构质子或重离子放射治疗的规范性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sidRPr="006A003B">
        <w:rPr>
          <w:rFonts w:ascii="黑体" w:eastAsia="黑体" w:hAnsi="黑体" w:hint="eastAsia"/>
          <w:sz w:val="32"/>
          <w:szCs w:val="32"/>
        </w:rPr>
        <w:t>二、病理诊断率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实施质子或重离子放射治疗前有明确病理诊断的患者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病理诊断率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接受质子或重离子放射治疗前有明确病理诊断的患者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Default="004D3D0B" w:rsidP="004D3D0B">
      <w:pPr>
        <w:pStyle w:val="a5"/>
        <w:adjustRightInd w:val="0"/>
        <w:snapToGrid w:val="0"/>
        <w:spacing w:line="360" w:lineRule="auto"/>
        <w:ind w:left="640" w:firstLineChars="0" w:firstLine="0"/>
        <w:rPr>
          <w:rFonts w:ascii="仿宋_GB2312" w:eastAsia="仿宋_GB2312" w:hAnsi="仿宋_GB2312" w:cs="仿宋_GB2312"/>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反映医疗机构质子或重离子放射治疗的规范性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Pr>
          <w:rFonts w:ascii="黑体" w:eastAsia="黑体" w:hAnsi="黑体" w:hint="eastAsia"/>
          <w:sz w:val="32"/>
          <w:szCs w:val="32"/>
        </w:rPr>
        <w:t>三</w:t>
      </w:r>
      <w:r w:rsidRPr="006A003B">
        <w:rPr>
          <w:rFonts w:ascii="黑体" w:eastAsia="黑体" w:hAnsi="黑体" w:hint="eastAsia"/>
          <w:sz w:val="32"/>
          <w:szCs w:val="32"/>
        </w:rPr>
        <w:t>、</w:t>
      </w:r>
      <w:r>
        <w:rPr>
          <w:rFonts w:ascii="黑体" w:eastAsia="黑体" w:hAnsi="黑体" w:hint="eastAsia"/>
          <w:sz w:val="32"/>
          <w:szCs w:val="32"/>
        </w:rPr>
        <w:t>临床</w:t>
      </w:r>
      <w:r w:rsidRPr="00292C97">
        <w:rPr>
          <w:rFonts w:ascii="黑体" w:eastAsia="黑体" w:hAnsi="黑体" w:hint="eastAsia"/>
          <w:sz w:val="32"/>
          <w:szCs w:val="32"/>
        </w:rPr>
        <w:t>TNM分期</w:t>
      </w:r>
      <w:r>
        <w:rPr>
          <w:rFonts w:ascii="黑体" w:eastAsia="黑体" w:hAnsi="黑体" w:hint="eastAsia"/>
          <w:sz w:val="32"/>
          <w:szCs w:val="32"/>
        </w:rPr>
        <w:t>比例</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sidRPr="00C258B7">
        <w:rPr>
          <w:rFonts w:ascii="仿宋_GB2312" w:eastAsia="仿宋_GB2312" w:hAnsi="仿宋" w:hint="eastAsia"/>
          <w:sz w:val="32"/>
          <w:szCs w:val="32"/>
        </w:rPr>
        <w:t>根据</w:t>
      </w:r>
      <w:r w:rsidRPr="006D1880">
        <w:rPr>
          <w:rFonts w:ascii="仿宋_GB2312" w:eastAsia="仿宋_GB2312" w:hAnsi="宋体" w:hint="eastAsia"/>
          <w:sz w:val="32"/>
          <w:szCs w:val="32"/>
        </w:rPr>
        <w:t>AJCC/UICC临床TNM分期</w:t>
      </w:r>
      <w:r>
        <w:rPr>
          <w:rFonts w:ascii="仿宋_GB2312" w:eastAsia="仿宋_GB2312" w:hAnsi="仿宋" w:hint="eastAsia"/>
          <w:sz w:val="32"/>
          <w:szCs w:val="32"/>
        </w:rPr>
        <w:t>标准</w:t>
      </w:r>
      <w:r w:rsidRPr="00C258B7">
        <w:rPr>
          <w:rFonts w:ascii="仿宋_GB2312" w:eastAsia="仿宋_GB2312" w:hAnsi="仿宋" w:hint="eastAsia"/>
          <w:sz w:val="32"/>
          <w:szCs w:val="32"/>
        </w:rPr>
        <w:t>，对于接受</w:t>
      </w:r>
      <w:r>
        <w:rPr>
          <w:rFonts w:ascii="仿宋_GB2312" w:eastAsia="仿宋_GB2312" w:hAnsi="仿宋_GB2312" w:cs="仿宋_GB2312" w:hint="eastAsia"/>
          <w:sz w:val="32"/>
          <w:szCs w:val="32"/>
        </w:rPr>
        <w:t>质子或重离子放射治疗的患者进行分期</w:t>
      </w:r>
      <w:r w:rsidRPr="00C258B7">
        <w:rPr>
          <w:rFonts w:ascii="仿宋_GB2312" w:eastAsia="仿宋_GB2312" w:hAnsi="仿宋" w:hint="eastAsia"/>
          <w:sz w:val="32"/>
          <w:szCs w:val="32"/>
        </w:rPr>
        <w:t>。</w:t>
      </w:r>
      <w:r w:rsidRPr="004663A0">
        <w:rPr>
          <w:rFonts w:ascii="仿宋_GB2312" w:eastAsia="仿宋_GB2312" w:hAnsi="仿宋" w:hint="eastAsia"/>
          <w:sz w:val="32"/>
          <w:szCs w:val="32"/>
        </w:rPr>
        <w:t>临床TNM分期比例</w:t>
      </w:r>
      <w:r>
        <w:rPr>
          <w:rFonts w:ascii="仿宋_GB2312" w:eastAsia="仿宋_GB2312" w:hAnsi="仿宋" w:hint="eastAsia"/>
          <w:sz w:val="32"/>
          <w:szCs w:val="32"/>
        </w:rPr>
        <w:t>是指对</w:t>
      </w:r>
      <w:r>
        <w:rPr>
          <w:rFonts w:ascii="仿宋_GB2312" w:eastAsia="仿宋_GB2312" w:hAnsi="仿宋_GB2312" w:cs="仿宋_GB2312" w:hint="eastAsia"/>
          <w:sz w:val="32"/>
          <w:szCs w:val="32"/>
        </w:rPr>
        <w:t>实施质子或重离子放射治疗的患者进行</w:t>
      </w:r>
      <w:r w:rsidR="008C62E8">
        <w:rPr>
          <w:rFonts w:ascii="仿宋_GB2312" w:eastAsia="仿宋_GB2312" w:hAnsi="仿宋_GB2312" w:cs="仿宋_GB2312" w:hint="eastAsia"/>
          <w:sz w:val="32"/>
          <w:szCs w:val="32"/>
        </w:rPr>
        <w:t>各</w:t>
      </w:r>
      <w:r w:rsidRPr="004663A0">
        <w:rPr>
          <w:rFonts w:ascii="仿宋_GB2312" w:eastAsia="仿宋_GB2312" w:hAnsi="仿宋" w:hint="eastAsia"/>
          <w:sz w:val="32"/>
          <w:szCs w:val="32"/>
        </w:rPr>
        <w:t>临床TNM分期</w:t>
      </w:r>
      <w:r>
        <w:rPr>
          <w:rFonts w:ascii="仿宋_GB2312" w:eastAsia="仿宋_GB2312" w:hAnsi="仿宋_GB2312" w:cs="仿宋_GB2312" w:hint="eastAsia"/>
          <w:sz w:val="32"/>
          <w:szCs w:val="32"/>
        </w:rPr>
        <w:t>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lastRenderedPageBreak/>
        <w:t>临床</w:t>
      </w:r>
      <w:r w:rsidRPr="004D0D74">
        <w:rPr>
          <w:rFonts w:ascii="Cambria Math" w:eastAsia="仿宋_GB2312" w:hAnsi="Cambria Math" w:cs="Times New Roman" w:hint="eastAsia"/>
          <w:sz w:val="24"/>
          <w:szCs w:val="28"/>
        </w:rPr>
        <w:t>TNM</w:t>
      </w:r>
      <w:r w:rsidRPr="004D0D74">
        <w:rPr>
          <w:rFonts w:ascii="Cambria Math" w:eastAsia="仿宋_GB2312" w:hAnsi="Cambria Math" w:cs="Times New Roman" w:hint="eastAsia"/>
          <w:sz w:val="24"/>
          <w:szCs w:val="28"/>
        </w:rPr>
        <w:t>分期比例</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进行各临床</m:t>
            </m:r>
            <m:r>
              <m:rPr>
                <m:sty m:val="p"/>
              </m:rPr>
              <w:rPr>
                <w:rFonts w:ascii="Cambria Math" w:eastAsia="仿宋_GB2312" w:hAnsi="Cambria Math" w:cs="Times New Roman"/>
                <w:sz w:val="24"/>
                <w:szCs w:val="28"/>
              </w:rPr>
              <m:t>TNM</m:t>
            </m:r>
            <m:r>
              <m:rPr>
                <m:sty m:val="p"/>
              </m:rPr>
              <w:rPr>
                <w:rFonts w:ascii="Cambria Math" w:eastAsia="仿宋_GB2312" w:hAnsi="Cambria Math" w:cs="Times New Roman"/>
                <w:sz w:val="24"/>
                <w:szCs w:val="28"/>
              </w:rPr>
              <m:t>分期</m:t>
            </m:r>
            <m:r>
              <m:rPr>
                <m:sty m:val="p"/>
              </m:rPr>
              <w:rPr>
                <w:rFonts w:ascii="Cambria Math" w:eastAsia="仿宋_GB2312" w:hAnsi="Cambria Math" w:cs="Times New Roman" w:hint="eastAsia"/>
                <w:sz w:val="24"/>
                <w:szCs w:val="28"/>
              </w:rPr>
              <m:t>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6D1880" w:rsidRDefault="004D3D0B" w:rsidP="004D3D0B">
      <w:pPr>
        <w:pStyle w:val="a5"/>
        <w:adjustRightInd w:val="0"/>
        <w:snapToGrid w:val="0"/>
        <w:spacing w:line="360" w:lineRule="auto"/>
        <w:ind w:left="640" w:firstLineChars="0" w:firstLine="0"/>
        <w:rPr>
          <w:rFonts w:ascii="仿宋_GB2312" w:eastAsia="仿宋_GB2312" w:hAnsi="宋体"/>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反映医疗机构质子或重离子放射治疗的规范性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Pr>
          <w:rFonts w:ascii="黑体" w:eastAsia="黑体" w:hAnsi="黑体" w:hint="eastAsia"/>
          <w:sz w:val="32"/>
          <w:szCs w:val="32"/>
        </w:rPr>
        <w:t>四</w:t>
      </w:r>
      <w:r w:rsidRPr="006A003B">
        <w:rPr>
          <w:rFonts w:ascii="黑体" w:eastAsia="黑体" w:hAnsi="黑体" w:hint="eastAsia"/>
          <w:sz w:val="32"/>
          <w:szCs w:val="32"/>
        </w:rPr>
        <w:t>、</w:t>
      </w:r>
      <w:r w:rsidRPr="003D5859">
        <w:rPr>
          <w:rFonts w:ascii="黑体" w:eastAsia="黑体" w:hAnsi="黑体" w:hint="eastAsia"/>
          <w:sz w:val="32"/>
          <w:szCs w:val="32"/>
        </w:rPr>
        <w:t>MDT执行率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sidRPr="003D5859">
        <w:rPr>
          <w:rFonts w:ascii="仿宋_GB2312" w:eastAsia="仿宋_GB2312" w:hAnsi="仿宋_GB2312" w:cs="仿宋_GB2312" w:hint="eastAsia"/>
          <w:sz w:val="32"/>
          <w:szCs w:val="32"/>
        </w:rPr>
        <w:t>MDT</w:t>
      </w:r>
      <w:r w:rsidRPr="006D1880">
        <w:rPr>
          <w:rFonts w:ascii="仿宋_GB2312" w:eastAsia="仿宋_GB2312" w:hAnsi="宋体" w:hint="eastAsia"/>
          <w:sz w:val="32"/>
          <w:szCs w:val="32"/>
        </w:rPr>
        <w:t>（</w:t>
      </w:r>
      <w:proofErr w:type="spellStart"/>
      <w:r w:rsidRPr="006D1880">
        <w:rPr>
          <w:rFonts w:ascii="仿宋_GB2312" w:eastAsia="仿宋_GB2312" w:hAnsi="宋体" w:hint="eastAsia"/>
          <w:sz w:val="32"/>
          <w:szCs w:val="32"/>
        </w:rPr>
        <w:t>Multidiciplinary</w:t>
      </w:r>
      <w:proofErr w:type="spellEnd"/>
      <w:r w:rsidRPr="006D1880">
        <w:rPr>
          <w:rFonts w:ascii="仿宋_GB2312" w:eastAsia="仿宋_GB2312" w:hAnsi="宋体" w:hint="eastAsia"/>
          <w:sz w:val="32"/>
          <w:szCs w:val="32"/>
        </w:rPr>
        <w:t xml:space="preserve"> Team）</w:t>
      </w:r>
      <w:r>
        <w:rPr>
          <w:rFonts w:ascii="仿宋_GB2312" w:eastAsia="仿宋_GB2312" w:hAnsi="宋体" w:hint="eastAsia"/>
          <w:sz w:val="32"/>
          <w:szCs w:val="32"/>
        </w:rPr>
        <w:t>是指</w:t>
      </w:r>
      <w:r w:rsidRPr="006D1880">
        <w:rPr>
          <w:rFonts w:ascii="仿宋_GB2312" w:eastAsia="仿宋_GB2312" w:hAnsi="宋体" w:hint="eastAsia"/>
          <w:sz w:val="32"/>
          <w:szCs w:val="32"/>
        </w:rPr>
        <w:t>多学科综合治疗团队</w:t>
      </w:r>
      <w:r w:rsidRPr="00C258B7">
        <w:rPr>
          <w:rFonts w:ascii="仿宋_GB2312" w:eastAsia="仿宋_GB2312" w:hAnsi="仿宋" w:hint="eastAsia"/>
          <w:sz w:val="32"/>
          <w:szCs w:val="32"/>
        </w:rPr>
        <w:t>。</w:t>
      </w:r>
      <w:r>
        <w:rPr>
          <w:rFonts w:ascii="仿宋_GB2312" w:eastAsia="仿宋_GB2312" w:hAnsi="仿宋" w:hint="eastAsia"/>
          <w:sz w:val="32"/>
          <w:szCs w:val="32"/>
        </w:rPr>
        <w:t>MDT执行率是指实施</w:t>
      </w:r>
      <w:r>
        <w:rPr>
          <w:rFonts w:ascii="仿宋_GB2312" w:eastAsia="仿宋_GB2312" w:hAnsi="仿宋_GB2312" w:cs="仿宋_GB2312" w:hint="eastAsia"/>
          <w:sz w:val="32"/>
          <w:szCs w:val="32"/>
        </w:rPr>
        <w:t>质子或重离子放射治疗的患者，治疗前执行MDT的患者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MDT</w:t>
      </w:r>
      <w:r w:rsidRPr="004D0D74">
        <w:rPr>
          <w:rFonts w:ascii="Cambria Math" w:eastAsia="仿宋_GB2312" w:hAnsi="Cambria Math" w:cs="Times New Roman" w:hint="eastAsia"/>
          <w:sz w:val="24"/>
          <w:szCs w:val="28"/>
        </w:rPr>
        <w:t>执行率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治疗前执行</m:t>
            </m:r>
            <m:r>
              <m:rPr>
                <m:sty m:val="p"/>
              </m:rPr>
              <w:rPr>
                <w:rFonts w:ascii="Cambria Math" w:eastAsia="仿宋_GB2312" w:hAnsi="Cambria Math" w:cs="Times New Roman"/>
                <w:sz w:val="24"/>
                <w:szCs w:val="28"/>
              </w:rPr>
              <m:t>MDT</m:t>
            </m:r>
            <m:r>
              <m:rPr>
                <m:sty m:val="p"/>
              </m:rPr>
              <w:rPr>
                <w:rFonts w:ascii="Cambria Math" w:eastAsia="仿宋_GB2312" w:hAnsi="Cambria Math" w:cs="Times New Roman" w:hint="eastAsia"/>
                <w:sz w:val="24"/>
                <w:szCs w:val="28"/>
              </w:rPr>
              <m:t>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6D1880" w:rsidRDefault="004D3D0B" w:rsidP="004D3D0B">
      <w:pPr>
        <w:pStyle w:val="a5"/>
        <w:adjustRightInd w:val="0"/>
        <w:snapToGrid w:val="0"/>
        <w:spacing w:line="360" w:lineRule="auto"/>
        <w:ind w:left="640" w:firstLineChars="0" w:firstLine="0"/>
        <w:rPr>
          <w:rFonts w:ascii="仿宋_GB2312" w:eastAsia="仿宋_GB2312" w:hAnsi="宋体"/>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反映医疗机构质子或重离子放射治疗的规范性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Pr>
          <w:rFonts w:ascii="黑体" w:eastAsia="黑体" w:hAnsi="黑体" w:hint="eastAsia"/>
          <w:sz w:val="32"/>
          <w:szCs w:val="32"/>
        </w:rPr>
        <w:t>五</w:t>
      </w:r>
      <w:r w:rsidRPr="006A003B">
        <w:rPr>
          <w:rFonts w:ascii="黑体" w:eastAsia="黑体" w:hAnsi="黑体" w:hint="eastAsia"/>
          <w:sz w:val="32"/>
          <w:szCs w:val="32"/>
        </w:rPr>
        <w:t>、</w:t>
      </w:r>
      <w:r w:rsidRPr="00B46B76">
        <w:rPr>
          <w:rFonts w:ascii="黑体" w:eastAsia="黑体" w:hAnsi="黑体" w:hint="eastAsia"/>
          <w:sz w:val="32"/>
          <w:szCs w:val="32"/>
        </w:rPr>
        <w:t>知情同意书签署率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Pr>
          <w:rFonts w:ascii="仿宋_GB2312" w:eastAsia="仿宋_GB2312" w:hAnsi="仿宋" w:hint="eastAsia"/>
          <w:sz w:val="32"/>
          <w:szCs w:val="32"/>
        </w:rPr>
        <w:t>实施</w:t>
      </w:r>
      <w:r>
        <w:rPr>
          <w:rFonts w:ascii="仿宋_GB2312" w:eastAsia="仿宋_GB2312" w:hAnsi="仿宋_GB2312" w:cs="仿宋_GB2312" w:hint="eastAsia"/>
          <w:sz w:val="32"/>
          <w:szCs w:val="32"/>
        </w:rPr>
        <w:t>质子或重离子放射治疗的患者，治疗前签署知情同意书的患者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知情同意书签署率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治疗前签署知情同意书</m:t>
            </m:r>
            <m:r>
              <m:rPr>
                <m:sty m:val="p"/>
              </m:rPr>
              <w:rPr>
                <w:rFonts w:ascii="Cambria Math" w:eastAsia="仿宋_GB2312" w:hAnsi="Cambria Math" w:cs="Times New Roman" w:hint="eastAsia"/>
                <w:sz w:val="24"/>
                <w:szCs w:val="28"/>
              </w:rPr>
              <m:t>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6D1880" w:rsidRDefault="004D3D0B" w:rsidP="004D3D0B">
      <w:pPr>
        <w:pStyle w:val="a5"/>
        <w:adjustRightInd w:val="0"/>
        <w:snapToGrid w:val="0"/>
        <w:spacing w:line="360" w:lineRule="auto"/>
        <w:ind w:left="640" w:firstLineChars="0" w:firstLine="0"/>
        <w:rPr>
          <w:rFonts w:ascii="仿宋_GB2312" w:eastAsia="仿宋_GB2312" w:hAnsi="宋体"/>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反映医疗机构质子或重离子放射治疗的规范性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Pr>
          <w:rFonts w:ascii="黑体" w:eastAsia="黑体" w:hAnsi="黑体" w:hint="eastAsia"/>
          <w:sz w:val="32"/>
          <w:szCs w:val="32"/>
        </w:rPr>
        <w:t>六</w:t>
      </w:r>
      <w:r w:rsidRPr="006A003B">
        <w:rPr>
          <w:rFonts w:ascii="黑体" w:eastAsia="黑体" w:hAnsi="黑体" w:hint="eastAsia"/>
          <w:sz w:val="32"/>
          <w:szCs w:val="32"/>
        </w:rPr>
        <w:t>、</w:t>
      </w:r>
      <w:r>
        <w:rPr>
          <w:rFonts w:ascii="黑体" w:eastAsia="黑体" w:hAnsi="黑体" w:hint="eastAsia"/>
          <w:sz w:val="32"/>
          <w:szCs w:val="32"/>
        </w:rPr>
        <w:t>治疗方案完成</w:t>
      </w:r>
      <w:r w:rsidRPr="00B46B76">
        <w:rPr>
          <w:rFonts w:ascii="黑体" w:eastAsia="黑体" w:hAnsi="黑体" w:hint="eastAsia"/>
          <w:sz w:val="32"/>
          <w:szCs w:val="32"/>
        </w:rPr>
        <w:t>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Pr>
          <w:rFonts w:ascii="仿宋_GB2312" w:eastAsia="仿宋_GB2312" w:hAnsi="仿宋" w:hint="eastAsia"/>
          <w:sz w:val="32"/>
          <w:szCs w:val="32"/>
        </w:rPr>
        <w:t>实施</w:t>
      </w:r>
      <w:r>
        <w:rPr>
          <w:rFonts w:ascii="仿宋_GB2312" w:eastAsia="仿宋_GB2312" w:hAnsi="仿宋_GB2312" w:cs="仿宋_GB2312" w:hint="eastAsia"/>
          <w:sz w:val="32"/>
          <w:szCs w:val="32"/>
        </w:rPr>
        <w:t>质子或重离子放射治疗的患者，完成既定治疗方案的患者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lastRenderedPageBreak/>
        <w:t>治疗方案完成率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完成既定治疗方案</m:t>
            </m:r>
            <m:r>
              <m:rPr>
                <m:sty m:val="p"/>
              </m:rPr>
              <w:rPr>
                <w:rFonts w:ascii="Cambria Math" w:eastAsia="仿宋_GB2312" w:hAnsi="Cambria Math" w:cs="Times New Roman" w:hint="eastAsia"/>
                <w:sz w:val="24"/>
                <w:szCs w:val="28"/>
              </w:rPr>
              <m:t>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6D1880" w:rsidRDefault="004D3D0B" w:rsidP="004D3D0B">
      <w:pPr>
        <w:pStyle w:val="a5"/>
        <w:adjustRightInd w:val="0"/>
        <w:snapToGrid w:val="0"/>
        <w:spacing w:line="360" w:lineRule="auto"/>
        <w:ind w:left="640" w:firstLineChars="0" w:firstLine="0"/>
        <w:rPr>
          <w:rFonts w:ascii="仿宋_GB2312" w:eastAsia="仿宋_GB2312" w:hAnsi="宋体"/>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反映医疗机构质子或重离子放射治疗的规范性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Pr>
          <w:rFonts w:ascii="黑体" w:eastAsia="黑体" w:hAnsi="黑体" w:hint="eastAsia"/>
          <w:sz w:val="32"/>
          <w:szCs w:val="32"/>
        </w:rPr>
        <w:t>七</w:t>
      </w:r>
      <w:r w:rsidRPr="006A003B">
        <w:rPr>
          <w:rFonts w:ascii="黑体" w:eastAsia="黑体" w:hAnsi="黑体" w:hint="eastAsia"/>
          <w:sz w:val="32"/>
          <w:szCs w:val="32"/>
        </w:rPr>
        <w:t>、</w:t>
      </w:r>
      <w:r>
        <w:rPr>
          <w:rFonts w:ascii="黑体" w:eastAsia="黑体" w:hAnsi="黑体" w:hint="eastAsia"/>
          <w:sz w:val="32"/>
          <w:szCs w:val="32"/>
        </w:rPr>
        <w:t>不良反应发生</w:t>
      </w:r>
      <w:r w:rsidRPr="00B46B76">
        <w:rPr>
          <w:rFonts w:ascii="黑体" w:eastAsia="黑体" w:hAnsi="黑体" w:hint="eastAsia"/>
          <w:sz w:val="32"/>
          <w:szCs w:val="32"/>
        </w:rPr>
        <w:t>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sidRPr="001A4C1D">
        <w:rPr>
          <w:rFonts w:ascii="仿宋_GB2312" w:eastAsia="仿宋_GB2312" w:hAnsi="仿宋_GB2312" w:cs="仿宋_GB2312" w:hint="eastAsia"/>
          <w:sz w:val="32"/>
          <w:szCs w:val="32"/>
        </w:rPr>
        <w:t>不良反应是指</w:t>
      </w:r>
      <w:r w:rsidRPr="006D1880">
        <w:rPr>
          <w:rFonts w:ascii="仿宋_GB2312" w:eastAsia="仿宋_GB2312" w:hAnsi="宋体" w:hint="eastAsia"/>
          <w:sz w:val="32"/>
          <w:szCs w:val="32"/>
        </w:rPr>
        <w:t>按照</w:t>
      </w:r>
      <w:r>
        <w:rPr>
          <w:rFonts w:ascii="仿宋_GB2312" w:eastAsia="仿宋_GB2312" w:hAnsi="宋体" w:hint="eastAsia"/>
          <w:sz w:val="32"/>
          <w:szCs w:val="32"/>
        </w:rPr>
        <w:t>常用药物毒性标准（</w:t>
      </w:r>
      <w:r w:rsidRPr="009813AA">
        <w:rPr>
          <w:rFonts w:ascii="仿宋_GB2312" w:eastAsia="仿宋_GB2312" w:hAnsi="宋体"/>
          <w:sz w:val="32"/>
          <w:szCs w:val="32"/>
        </w:rPr>
        <w:t xml:space="preserve">common toxicity </w:t>
      </w:r>
      <w:bookmarkStart w:id="1" w:name="OLE_LINK6"/>
      <w:bookmarkStart w:id="2" w:name="OLE_LINK7"/>
      <w:r w:rsidRPr="009813AA">
        <w:rPr>
          <w:rFonts w:ascii="仿宋_GB2312" w:eastAsia="仿宋_GB2312" w:hAnsi="宋体"/>
          <w:sz w:val="32"/>
          <w:szCs w:val="32"/>
        </w:rPr>
        <w:t>criteria</w:t>
      </w:r>
      <w:bookmarkEnd w:id="1"/>
      <w:bookmarkEnd w:id="2"/>
      <w:r>
        <w:rPr>
          <w:rFonts w:ascii="仿宋_GB2312" w:eastAsia="仿宋_GB2312" w:hAnsi="宋体" w:hint="eastAsia"/>
          <w:sz w:val="32"/>
          <w:szCs w:val="32"/>
        </w:rPr>
        <w:t>，</w:t>
      </w:r>
      <w:r w:rsidRPr="006D1880">
        <w:rPr>
          <w:rFonts w:ascii="仿宋_GB2312" w:eastAsia="仿宋_GB2312" w:hAnsi="宋体" w:hint="eastAsia"/>
          <w:sz w:val="32"/>
          <w:szCs w:val="32"/>
        </w:rPr>
        <w:t>CTC</w:t>
      </w:r>
      <w:r>
        <w:rPr>
          <w:rFonts w:ascii="仿宋_GB2312" w:eastAsia="仿宋_GB2312" w:hAnsi="宋体" w:hint="eastAsia"/>
          <w:sz w:val="32"/>
          <w:szCs w:val="32"/>
        </w:rPr>
        <w:t>）≥</w:t>
      </w:r>
      <w:r w:rsidRPr="006D1880">
        <w:rPr>
          <w:rFonts w:ascii="仿宋_GB2312" w:eastAsia="仿宋_GB2312" w:hAnsi="宋体" w:hint="eastAsia"/>
          <w:sz w:val="32"/>
          <w:szCs w:val="32"/>
        </w:rPr>
        <w:t>3级的副反应。</w:t>
      </w:r>
      <w:r>
        <w:rPr>
          <w:rFonts w:ascii="仿宋_GB2312" w:eastAsia="仿宋_GB2312" w:hAnsi="宋体" w:hint="eastAsia"/>
          <w:sz w:val="32"/>
          <w:szCs w:val="32"/>
        </w:rPr>
        <w:t>不良反应发生率是指</w:t>
      </w:r>
      <w:r>
        <w:rPr>
          <w:rFonts w:ascii="仿宋_GB2312" w:eastAsia="仿宋_GB2312" w:hAnsi="仿宋" w:hint="eastAsia"/>
          <w:sz w:val="32"/>
          <w:szCs w:val="32"/>
        </w:rPr>
        <w:t>实施</w:t>
      </w:r>
      <w:r>
        <w:rPr>
          <w:rFonts w:ascii="仿宋_GB2312" w:eastAsia="仿宋_GB2312" w:hAnsi="仿宋_GB2312" w:cs="仿宋_GB2312" w:hint="eastAsia"/>
          <w:sz w:val="32"/>
          <w:szCs w:val="32"/>
        </w:rPr>
        <w:t>质子或重离子放射治疗的患者，发生不良反应的患者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不良反应发生率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发生不良反应</m:t>
            </m:r>
            <m:r>
              <m:rPr>
                <m:sty m:val="p"/>
              </m:rPr>
              <w:rPr>
                <w:rFonts w:ascii="Cambria Math" w:eastAsia="仿宋_GB2312" w:hAnsi="Cambria Math" w:cs="Times New Roman" w:hint="eastAsia"/>
                <w:sz w:val="24"/>
                <w:szCs w:val="28"/>
              </w:rPr>
              <m:t>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6D1880" w:rsidRDefault="004D3D0B" w:rsidP="004D3D0B">
      <w:pPr>
        <w:pStyle w:val="a5"/>
        <w:adjustRightInd w:val="0"/>
        <w:snapToGrid w:val="0"/>
        <w:spacing w:line="360" w:lineRule="auto"/>
        <w:ind w:left="640" w:firstLineChars="0" w:firstLine="0"/>
        <w:rPr>
          <w:rFonts w:ascii="仿宋_GB2312" w:eastAsia="仿宋_GB2312" w:hAnsi="宋体"/>
          <w:sz w:val="32"/>
          <w:szCs w:val="32"/>
        </w:rPr>
      </w:pPr>
      <w:r w:rsidRPr="00F13982">
        <w:rPr>
          <w:rFonts w:ascii="仿宋_GB2312" w:eastAsia="仿宋_GB2312" w:hAnsi="仿宋_GB2312" w:cs="仿宋_GB2312" w:hint="eastAsia"/>
          <w:b/>
          <w:sz w:val="32"/>
          <w:szCs w:val="32"/>
        </w:rPr>
        <w:t>意义：</w:t>
      </w:r>
      <w:r>
        <w:rPr>
          <w:rFonts w:ascii="仿宋_GB2312" w:eastAsia="仿宋_GB2312" w:hAnsi="仿宋_GB2312" w:cs="仿宋_GB2312" w:hint="eastAsia"/>
          <w:sz w:val="32"/>
          <w:szCs w:val="32"/>
        </w:rPr>
        <w:t>反映医疗机构质子或重离子放射治疗的安全性</w:t>
      </w:r>
      <w:r w:rsidRPr="00F13982">
        <w:rPr>
          <w:rFonts w:ascii="仿宋_GB2312" w:eastAsia="仿宋_GB2312" w:hAnsi="仿宋_GB2312" w:cs="仿宋_GB2312" w:hint="eastAsia"/>
          <w:sz w:val="32"/>
          <w:szCs w:val="32"/>
        </w:rPr>
        <w:t>。</w:t>
      </w:r>
    </w:p>
    <w:p w:rsidR="004D3D0B" w:rsidRPr="006A003B" w:rsidRDefault="004D3D0B" w:rsidP="004D3D0B">
      <w:pPr>
        <w:pStyle w:val="a5"/>
        <w:adjustRightInd w:val="0"/>
        <w:snapToGrid w:val="0"/>
        <w:spacing w:line="360" w:lineRule="auto"/>
        <w:ind w:left="640" w:firstLineChars="0" w:firstLine="0"/>
        <w:rPr>
          <w:rFonts w:ascii="黑体" w:eastAsia="黑体" w:hAnsi="黑体"/>
          <w:sz w:val="32"/>
          <w:szCs w:val="32"/>
        </w:rPr>
      </w:pPr>
      <w:r>
        <w:rPr>
          <w:rFonts w:ascii="黑体" w:eastAsia="黑体" w:hAnsi="黑体" w:hint="eastAsia"/>
          <w:sz w:val="32"/>
          <w:szCs w:val="32"/>
        </w:rPr>
        <w:t>八</w:t>
      </w:r>
      <w:r w:rsidRPr="006A003B">
        <w:rPr>
          <w:rFonts w:ascii="黑体" w:eastAsia="黑体" w:hAnsi="黑体" w:hint="eastAsia"/>
          <w:sz w:val="32"/>
          <w:szCs w:val="32"/>
        </w:rPr>
        <w:t>、</w:t>
      </w:r>
      <w:r>
        <w:rPr>
          <w:rFonts w:ascii="黑体" w:eastAsia="黑体" w:hAnsi="黑体" w:hint="eastAsia"/>
          <w:sz w:val="32"/>
          <w:szCs w:val="32"/>
        </w:rPr>
        <w:t>6个月内死亡</w:t>
      </w:r>
      <w:r w:rsidRPr="00B46B76">
        <w:rPr>
          <w:rFonts w:ascii="黑体" w:eastAsia="黑体" w:hAnsi="黑体" w:hint="eastAsia"/>
          <w:sz w:val="32"/>
          <w:szCs w:val="32"/>
        </w:rPr>
        <w:t>率</w:t>
      </w:r>
    </w:p>
    <w:p w:rsidR="004D3D0B" w:rsidRPr="00F13982"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定义：</w:t>
      </w:r>
      <w:r>
        <w:rPr>
          <w:rFonts w:ascii="仿宋_GB2312" w:eastAsia="仿宋_GB2312" w:hAnsi="仿宋_GB2312" w:cs="仿宋_GB2312" w:hint="eastAsia"/>
          <w:sz w:val="32"/>
          <w:szCs w:val="32"/>
        </w:rPr>
        <w:t>6个月内死亡是指患者从第一次</w:t>
      </w:r>
      <w:r>
        <w:rPr>
          <w:rFonts w:ascii="仿宋_GB2312" w:eastAsia="仿宋_GB2312" w:hAnsi="仿宋" w:hint="eastAsia"/>
          <w:sz w:val="32"/>
          <w:szCs w:val="32"/>
        </w:rPr>
        <w:t>接受</w:t>
      </w:r>
      <w:r>
        <w:rPr>
          <w:rFonts w:ascii="仿宋_GB2312" w:eastAsia="仿宋_GB2312" w:hAnsi="仿宋_GB2312" w:cs="仿宋_GB2312" w:hint="eastAsia"/>
          <w:sz w:val="32"/>
          <w:szCs w:val="32"/>
        </w:rPr>
        <w:t>质子或重离子放射治疗</w:t>
      </w:r>
      <w:r w:rsidRPr="006D1880">
        <w:rPr>
          <w:rFonts w:ascii="仿宋_GB2312" w:eastAsia="仿宋_GB2312" w:hAnsi="宋体" w:hint="eastAsia"/>
          <w:sz w:val="32"/>
          <w:szCs w:val="32"/>
        </w:rPr>
        <w:t>起，6个月之内死亡。</w:t>
      </w:r>
      <w:r>
        <w:rPr>
          <w:rFonts w:ascii="仿宋_GB2312" w:eastAsia="仿宋_GB2312" w:hAnsi="宋体" w:hint="eastAsia"/>
          <w:sz w:val="32"/>
          <w:szCs w:val="32"/>
        </w:rPr>
        <w:t>6个月内死亡率是指</w:t>
      </w:r>
      <w:r>
        <w:rPr>
          <w:rFonts w:ascii="仿宋_GB2312" w:eastAsia="仿宋_GB2312" w:hAnsi="仿宋" w:hint="eastAsia"/>
          <w:sz w:val="32"/>
          <w:szCs w:val="32"/>
        </w:rPr>
        <w:t>实施</w:t>
      </w:r>
      <w:r>
        <w:rPr>
          <w:rFonts w:ascii="仿宋_GB2312" w:eastAsia="仿宋_GB2312" w:hAnsi="仿宋_GB2312" w:cs="仿宋_GB2312" w:hint="eastAsia"/>
          <w:sz w:val="32"/>
          <w:szCs w:val="32"/>
        </w:rPr>
        <w:t>质子或重离子放射治疗的患者，6个月内死亡的患者</w:t>
      </w:r>
      <w:r w:rsidRPr="00F13982">
        <w:rPr>
          <w:rFonts w:ascii="仿宋_GB2312" w:eastAsia="仿宋_GB2312" w:hAnsi="仿宋_GB2312" w:cs="仿宋_GB2312" w:hint="eastAsia"/>
          <w:sz w:val="32"/>
          <w:szCs w:val="32"/>
        </w:rPr>
        <w:t>数占同期</w:t>
      </w:r>
      <w:r>
        <w:rPr>
          <w:rFonts w:ascii="仿宋_GB2312" w:eastAsia="仿宋_GB2312" w:hAnsi="仿宋_GB2312" w:cs="仿宋_GB2312" w:hint="eastAsia"/>
          <w:sz w:val="32"/>
          <w:szCs w:val="32"/>
        </w:rPr>
        <w:t>质子或重离子放射</w:t>
      </w:r>
      <w:r w:rsidRPr="00F13982">
        <w:rPr>
          <w:rFonts w:ascii="仿宋_GB2312" w:eastAsia="仿宋_GB2312" w:hAnsi="仿宋_GB2312" w:cs="仿宋_GB2312" w:hint="eastAsia"/>
          <w:sz w:val="32"/>
          <w:szCs w:val="32"/>
        </w:rPr>
        <w:t>治疗</w:t>
      </w:r>
      <w:r>
        <w:rPr>
          <w:rFonts w:ascii="仿宋_GB2312" w:eastAsia="仿宋_GB2312" w:hAnsi="仿宋_GB2312" w:cs="仿宋_GB2312" w:hint="eastAsia"/>
          <w:sz w:val="32"/>
          <w:szCs w:val="32"/>
        </w:rPr>
        <w:t>患者总</w:t>
      </w:r>
      <w:r w:rsidRPr="00F13982">
        <w:rPr>
          <w:rFonts w:ascii="仿宋_GB2312" w:eastAsia="仿宋_GB2312" w:hAnsi="仿宋_GB2312" w:cs="仿宋_GB2312" w:hint="eastAsia"/>
          <w:sz w:val="32"/>
          <w:szCs w:val="32"/>
        </w:rPr>
        <w:t>数的比例。</w:t>
      </w:r>
    </w:p>
    <w:p w:rsidR="004D3D0B" w:rsidRDefault="004D3D0B" w:rsidP="004D3D0B">
      <w:pPr>
        <w:adjustRightInd w:val="0"/>
        <w:snapToGrid w:val="0"/>
        <w:spacing w:line="360" w:lineRule="auto"/>
        <w:ind w:firstLineChars="196" w:firstLine="630"/>
        <w:rPr>
          <w:rFonts w:ascii="仿宋_GB2312" w:eastAsia="仿宋_GB2312" w:hAnsi="仿宋_GB2312" w:cs="仿宋_GB2312"/>
          <w:b/>
          <w:sz w:val="32"/>
          <w:szCs w:val="32"/>
        </w:rPr>
      </w:pPr>
      <w:r w:rsidRPr="00F13982">
        <w:rPr>
          <w:rFonts w:ascii="仿宋_GB2312" w:eastAsia="仿宋_GB2312" w:hAnsi="仿宋_GB2312" w:cs="仿宋_GB2312"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6</w:t>
      </w:r>
      <w:r w:rsidRPr="004D0D74">
        <w:rPr>
          <w:rFonts w:ascii="Cambria Math" w:eastAsia="仿宋_GB2312" w:hAnsi="Cambria Math" w:cs="Times New Roman" w:hint="eastAsia"/>
          <w:sz w:val="24"/>
          <w:szCs w:val="28"/>
        </w:rPr>
        <w:t>个月</w:t>
      </w:r>
      <w:r>
        <w:rPr>
          <w:rFonts w:ascii="Cambria Math" w:eastAsia="仿宋_GB2312" w:hAnsi="Cambria Math" w:cs="Times New Roman" w:hint="eastAsia"/>
          <w:sz w:val="24"/>
          <w:szCs w:val="28"/>
        </w:rPr>
        <w:t>内</w:t>
      </w:r>
      <w:r w:rsidRPr="004D0D74">
        <w:rPr>
          <w:rFonts w:ascii="Cambria Math" w:eastAsia="仿宋_GB2312" w:hAnsi="Cambria Math" w:cs="Times New Roman" w:hint="eastAsia"/>
          <w:sz w:val="24"/>
          <w:szCs w:val="28"/>
        </w:rPr>
        <w:t>死亡率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6</m:t>
            </m:r>
            <m:r>
              <m:rPr>
                <m:sty m:val="p"/>
              </m:rPr>
              <w:rPr>
                <w:rFonts w:ascii="Cambria Math" w:eastAsia="仿宋_GB2312" w:hAnsi="Cambria Math" w:cs="Times New Roman"/>
                <w:sz w:val="24"/>
                <w:szCs w:val="28"/>
              </w:rPr>
              <m:t>个月内死亡</m:t>
            </m:r>
            <m:r>
              <m:rPr>
                <m:sty m:val="p"/>
              </m:rPr>
              <w:rPr>
                <w:rFonts w:ascii="Cambria Math" w:eastAsia="仿宋_GB2312" w:hAnsi="Cambria Math" w:cs="Times New Roman" w:hint="eastAsia"/>
                <w:sz w:val="24"/>
                <w:szCs w:val="28"/>
              </w:rPr>
              <m:t>的患者</m:t>
            </m:r>
            <m:r>
              <m:rPr>
                <m:sty m:val="p"/>
              </m:rPr>
              <w:rPr>
                <w:rFonts w:ascii="Cambria Math" w:eastAsia="仿宋_GB2312" w:hAnsi="Cambria Math" w:cs="Times New Roman"/>
                <w:sz w:val="24"/>
                <w:szCs w:val="28"/>
              </w:rPr>
              <m:t>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质子或重离子放射治疗</m:t>
            </m:r>
            <m:r>
              <m:rPr>
                <m:sty m:val="p"/>
              </m:rPr>
              <w:rPr>
                <w:rFonts w:ascii="Cambria Math" w:eastAsia="仿宋_GB2312" w:hAnsi="Cambria Math" w:cs="Times New Roman"/>
                <w:sz w:val="24"/>
                <w:szCs w:val="28"/>
              </w:rPr>
              <m:t>患者总数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53520B" w:rsidRDefault="004D3D0B" w:rsidP="004D3D0B">
      <w:pPr>
        <w:adjustRightInd w:val="0"/>
        <w:snapToGrid w:val="0"/>
        <w:spacing w:line="360" w:lineRule="auto"/>
        <w:ind w:firstLineChars="200" w:firstLine="643"/>
        <w:rPr>
          <w:rFonts w:ascii="仿宋_GB2312" w:eastAsia="仿宋_GB2312" w:hAnsi="宋体"/>
          <w:sz w:val="32"/>
          <w:szCs w:val="32"/>
        </w:rPr>
      </w:pPr>
      <w:r w:rsidRPr="0053520B">
        <w:rPr>
          <w:rFonts w:ascii="仿宋_GB2312" w:eastAsia="仿宋_GB2312" w:hAnsi="仿宋_GB2312" w:cs="仿宋_GB2312" w:hint="eastAsia"/>
          <w:b/>
          <w:sz w:val="32"/>
          <w:szCs w:val="32"/>
        </w:rPr>
        <w:t>意义：</w:t>
      </w:r>
      <w:r w:rsidRPr="0053520B">
        <w:rPr>
          <w:rFonts w:ascii="仿宋_GB2312" w:eastAsia="仿宋_GB2312" w:hAnsi="仿宋_GB2312" w:cs="仿宋_GB2312" w:hint="eastAsia"/>
          <w:sz w:val="32"/>
          <w:szCs w:val="32"/>
        </w:rPr>
        <w:t>反映医疗机构质子或重离子放射治疗的安全性和患者适应证选择的合理性。</w:t>
      </w:r>
    </w:p>
    <w:p w:rsidR="004D3D0B" w:rsidRPr="004D7E28" w:rsidRDefault="004D3D0B" w:rsidP="004D3D0B">
      <w:pPr>
        <w:pStyle w:val="a5"/>
        <w:tabs>
          <w:tab w:val="left" w:pos="709"/>
          <w:tab w:val="left" w:pos="1418"/>
          <w:tab w:val="left" w:pos="1701"/>
        </w:tabs>
        <w:adjustRightInd w:val="0"/>
        <w:snapToGrid w:val="0"/>
        <w:spacing w:line="360" w:lineRule="auto"/>
        <w:ind w:left="200" w:firstLineChars="150" w:firstLine="480"/>
        <w:rPr>
          <w:rFonts w:ascii="黑体" w:eastAsia="黑体" w:hAnsi="黑体"/>
          <w:sz w:val="32"/>
          <w:szCs w:val="32"/>
        </w:rPr>
      </w:pPr>
      <w:r>
        <w:rPr>
          <w:rFonts w:ascii="黑体" w:eastAsia="黑体" w:hAnsi="黑体" w:hint="eastAsia"/>
          <w:sz w:val="32"/>
          <w:szCs w:val="32"/>
        </w:rPr>
        <w:t>九、患者</w:t>
      </w:r>
      <w:r w:rsidRPr="004D7E28">
        <w:rPr>
          <w:rFonts w:ascii="黑体" w:eastAsia="黑体" w:hAnsi="黑体" w:hint="eastAsia"/>
          <w:sz w:val="32"/>
          <w:szCs w:val="32"/>
        </w:rPr>
        <w:t>随访率</w:t>
      </w:r>
      <w:r w:rsidR="003677D0">
        <w:rPr>
          <w:rFonts w:ascii="黑体" w:eastAsia="黑体" w:hAnsi="黑体" w:hint="eastAsia"/>
          <w:sz w:val="32"/>
          <w:szCs w:val="32"/>
        </w:rPr>
        <w:t>（</w:t>
      </w:r>
      <w:r w:rsidR="008E5261">
        <w:rPr>
          <w:rFonts w:ascii="黑体" w:eastAsia="黑体" w:hAnsi="黑体" w:hint="eastAsia"/>
          <w:sz w:val="32"/>
          <w:szCs w:val="32"/>
        </w:rPr>
        <w:t>1年、2年、5年）</w:t>
      </w:r>
    </w:p>
    <w:p w:rsidR="004D3D0B" w:rsidRPr="004D7E28" w:rsidRDefault="004D3D0B" w:rsidP="004D3D0B">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定义：</w:t>
      </w:r>
      <w:r>
        <w:rPr>
          <w:rFonts w:ascii="仿宋_GB2312" w:eastAsia="仿宋_GB2312" w:hAnsi="仿宋_GB2312" w:cs="仿宋_GB2312" w:hint="eastAsia"/>
          <w:sz w:val="32"/>
          <w:szCs w:val="32"/>
        </w:rPr>
        <w:t>质子或重离子放射</w:t>
      </w:r>
      <w:r w:rsidRPr="00582B22">
        <w:rPr>
          <w:rFonts w:ascii="仿宋_GB2312" w:eastAsia="仿宋_GB2312" w:hint="eastAsia"/>
          <w:sz w:val="32"/>
          <w:szCs w:val="32"/>
        </w:rPr>
        <w:t>治疗后</w:t>
      </w:r>
      <w:r w:rsidRPr="004D7E28">
        <w:rPr>
          <w:rFonts w:ascii="仿宋_GB2312" w:eastAsia="仿宋_GB2312" w:hint="eastAsia"/>
          <w:sz w:val="32"/>
          <w:szCs w:val="32"/>
        </w:rPr>
        <w:t>一定时间</w:t>
      </w:r>
      <w:r w:rsidR="003677D0" w:rsidRPr="003677D0">
        <w:rPr>
          <w:rFonts w:ascii="仿宋_GB2312" w:eastAsia="仿宋_GB2312" w:hint="eastAsia"/>
          <w:sz w:val="32"/>
          <w:szCs w:val="32"/>
        </w:rPr>
        <w:t>（</w:t>
      </w:r>
      <w:r w:rsidR="008E5261" w:rsidRPr="008E5261">
        <w:rPr>
          <w:rFonts w:ascii="仿宋_GB2312" w:eastAsia="仿宋_GB2312" w:hint="eastAsia"/>
          <w:sz w:val="32"/>
          <w:szCs w:val="32"/>
        </w:rPr>
        <w:t>1年、2年、5年</w:t>
      </w:r>
      <w:r w:rsidR="003677D0" w:rsidRPr="003677D0">
        <w:rPr>
          <w:rFonts w:ascii="仿宋_GB2312" w:eastAsia="仿宋_GB2312" w:hint="eastAsia"/>
          <w:sz w:val="32"/>
          <w:szCs w:val="32"/>
        </w:rPr>
        <w:t>）</w:t>
      </w:r>
      <w:r w:rsidRPr="004D7E28">
        <w:rPr>
          <w:rFonts w:ascii="仿宋_GB2312" w:eastAsia="仿宋_GB2312" w:hint="eastAsia"/>
          <w:sz w:val="32"/>
          <w:szCs w:val="32"/>
        </w:rPr>
        <w:t>内</w:t>
      </w:r>
      <w:r>
        <w:rPr>
          <w:rFonts w:ascii="仿宋_GB2312" w:eastAsia="仿宋_GB2312" w:hint="eastAsia"/>
          <w:sz w:val="32"/>
          <w:szCs w:val="32"/>
        </w:rPr>
        <w:t>完成</w:t>
      </w:r>
      <w:r w:rsidRPr="004D7E28">
        <w:rPr>
          <w:rFonts w:ascii="仿宋_GB2312" w:eastAsia="仿宋_GB2312" w:hint="eastAsia"/>
          <w:sz w:val="32"/>
          <w:szCs w:val="32"/>
        </w:rPr>
        <w:t>随访的</w:t>
      </w:r>
      <w:r>
        <w:rPr>
          <w:rFonts w:ascii="仿宋_GB2312" w:eastAsia="仿宋_GB2312" w:hint="eastAsia"/>
          <w:sz w:val="32"/>
          <w:szCs w:val="32"/>
        </w:rPr>
        <w:t>例次</w:t>
      </w:r>
      <w:r w:rsidRPr="004D7E28">
        <w:rPr>
          <w:rFonts w:ascii="仿宋_GB2312" w:eastAsia="仿宋_GB2312" w:hint="eastAsia"/>
          <w:sz w:val="32"/>
          <w:szCs w:val="32"/>
        </w:rPr>
        <w:t>数占同期</w:t>
      </w:r>
      <w:r>
        <w:rPr>
          <w:rFonts w:ascii="仿宋_GB2312" w:eastAsia="仿宋_GB2312" w:hAnsi="仿宋_GB2312" w:cs="仿宋_GB2312" w:hint="eastAsia"/>
          <w:sz w:val="32"/>
          <w:szCs w:val="32"/>
        </w:rPr>
        <w:t>质子或重离子放射</w:t>
      </w:r>
      <w:r w:rsidRPr="004D7E28">
        <w:rPr>
          <w:rFonts w:ascii="仿宋_GB2312" w:eastAsia="仿宋_GB2312" w:hint="eastAsia"/>
          <w:sz w:val="32"/>
          <w:szCs w:val="32"/>
        </w:rPr>
        <w:t>治疗</w:t>
      </w:r>
      <w:r>
        <w:rPr>
          <w:rFonts w:ascii="仿宋_GB2312" w:eastAsia="仿宋_GB2312" w:hint="eastAsia"/>
          <w:sz w:val="32"/>
          <w:szCs w:val="32"/>
        </w:rPr>
        <w:t>总</w:t>
      </w:r>
      <w:r>
        <w:rPr>
          <w:rFonts w:ascii="仿宋_GB2312" w:eastAsia="仿宋_GB2312" w:hint="eastAsia"/>
          <w:sz w:val="32"/>
          <w:szCs w:val="32"/>
        </w:rPr>
        <w:lastRenderedPageBreak/>
        <w:t>例次数</w:t>
      </w:r>
      <w:r w:rsidRPr="004D7E28">
        <w:rPr>
          <w:rFonts w:ascii="仿宋_GB2312" w:eastAsia="仿宋_GB2312" w:hint="eastAsia"/>
          <w:sz w:val="32"/>
          <w:szCs w:val="32"/>
        </w:rPr>
        <w:t>的比例。</w:t>
      </w:r>
    </w:p>
    <w:p w:rsidR="004D3D0B" w:rsidRDefault="004D3D0B" w:rsidP="004D3D0B">
      <w:pPr>
        <w:adjustRightInd w:val="0"/>
        <w:snapToGrid w:val="0"/>
        <w:spacing w:line="360" w:lineRule="auto"/>
        <w:ind w:firstLineChars="200" w:firstLine="643"/>
        <w:rPr>
          <w:rFonts w:ascii="仿宋_GB2312" w:eastAsia="仿宋_GB2312"/>
          <w:b/>
          <w:sz w:val="32"/>
          <w:szCs w:val="32"/>
        </w:rPr>
      </w:pPr>
      <w:r w:rsidRPr="00F13982">
        <w:rPr>
          <w:rFonts w:ascii="仿宋_GB2312" w:eastAsia="仿宋_GB2312" w:hint="eastAsia"/>
          <w:b/>
          <w:sz w:val="32"/>
          <w:szCs w:val="32"/>
        </w:rPr>
        <w:t>计算</w:t>
      </w:r>
      <w:r>
        <w:rPr>
          <w:rFonts w:ascii="仿宋_GB2312" w:eastAsia="仿宋_GB2312" w:hint="eastAsia"/>
          <w:b/>
          <w:sz w:val="32"/>
          <w:szCs w:val="32"/>
        </w:rPr>
        <w:t>公式</w:t>
      </w:r>
      <w:r w:rsidRPr="00F13982">
        <w:rPr>
          <w:rFonts w:ascii="仿宋_GB2312" w:eastAsia="仿宋_GB2312" w:hint="eastAsia"/>
          <w:b/>
          <w:sz w:val="32"/>
          <w:szCs w:val="32"/>
        </w:rPr>
        <w:t>：</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患者随访率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hint="eastAsia"/>
                <w:sz w:val="24"/>
                <w:szCs w:val="28"/>
              </w:rPr>
              <m:t>质子或重离子放射</m:t>
            </m:r>
            <m:r>
              <m:rPr>
                <m:sty m:val="p"/>
              </m:rPr>
              <w:rPr>
                <w:rFonts w:ascii="Cambria Math" w:eastAsia="仿宋_GB2312" w:hAnsi="Cambria Math" w:cs="Times New Roman"/>
                <w:sz w:val="24"/>
                <w:szCs w:val="28"/>
              </w:rPr>
              <m:t>治疗后一定时间内完成随访的例次数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m:t>
            </m:r>
            <m:r>
              <m:rPr>
                <m:sty m:val="p"/>
              </m:rPr>
              <w:rPr>
                <w:rFonts w:ascii="Cambria Math" w:eastAsia="仿宋_GB2312" w:hAnsi="Cambria Math" w:cs="Times New Roman"/>
                <w:sz w:val="24"/>
                <w:szCs w:val="28"/>
              </w:rPr>
              <m:t>治疗总例次数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4D7E28" w:rsidRDefault="004D3D0B" w:rsidP="004D3D0B">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意义：</w:t>
      </w:r>
      <w:r>
        <w:rPr>
          <w:rFonts w:ascii="仿宋_GB2312" w:eastAsia="仿宋_GB2312" w:hint="eastAsia"/>
          <w:sz w:val="32"/>
          <w:szCs w:val="32"/>
        </w:rPr>
        <w:t>反映</w:t>
      </w:r>
      <w:r>
        <w:rPr>
          <w:rFonts w:ascii="仿宋_GB2312" w:eastAsia="仿宋_GB2312" w:hAnsi="仿宋_GB2312" w:cs="仿宋_GB2312" w:hint="eastAsia"/>
          <w:sz w:val="32"/>
          <w:szCs w:val="32"/>
        </w:rPr>
        <w:t>质子或重离子放射</w:t>
      </w:r>
      <w:r>
        <w:rPr>
          <w:rFonts w:ascii="仿宋_GB2312" w:eastAsia="仿宋_GB2312" w:hint="eastAsia"/>
          <w:sz w:val="32"/>
          <w:szCs w:val="32"/>
        </w:rPr>
        <w:t>治疗患者</w:t>
      </w:r>
      <w:r w:rsidRPr="004D7E28">
        <w:rPr>
          <w:rFonts w:ascii="仿宋_GB2312" w:eastAsia="仿宋_GB2312" w:hint="eastAsia"/>
          <w:sz w:val="32"/>
          <w:szCs w:val="32"/>
        </w:rPr>
        <w:t>的远期疗效</w:t>
      </w:r>
      <w:r>
        <w:rPr>
          <w:rFonts w:ascii="仿宋_GB2312" w:eastAsia="仿宋_GB2312" w:hint="eastAsia"/>
          <w:sz w:val="32"/>
          <w:szCs w:val="32"/>
        </w:rPr>
        <w:t>及</w:t>
      </w:r>
      <w:r w:rsidRPr="004D7E28">
        <w:rPr>
          <w:rFonts w:ascii="仿宋_GB2312" w:eastAsia="仿宋_GB2312" w:hint="eastAsia"/>
          <w:sz w:val="32"/>
          <w:szCs w:val="32"/>
        </w:rPr>
        <w:t>管理水平。</w:t>
      </w:r>
    </w:p>
    <w:p w:rsidR="004D3D0B" w:rsidRPr="004D7E28" w:rsidRDefault="004D3D0B" w:rsidP="004D3D0B">
      <w:pPr>
        <w:pStyle w:val="a5"/>
        <w:tabs>
          <w:tab w:val="left" w:pos="709"/>
          <w:tab w:val="left" w:pos="1418"/>
          <w:tab w:val="left" w:pos="1701"/>
        </w:tabs>
        <w:adjustRightInd w:val="0"/>
        <w:snapToGrid w:val="0"/>
        <w:spacing w:line="360" w:lineRule="auto"/>
        <w:ind w:left="200" w:firstLineChars="150" w:firstLine="480"/>
        <w:rPr>
          <w:rFonts w:ascii="黑体" w:eastAsia="黑体" w:hAnsi="黑体"/>
          <w:sz w:val="32"/>
          <w:szCs w:val="32"/>
        </w:rPr>
      </w:pPr>
      <w:r>
        <w:rPr>
          <w:rFonts w:ascii="黑体" w:eastAsia="黑体" w:hAnsi="黑体" w:hint="eastAsia"/>
          <w:sz w:val="32"/>
          <w:szCs w:val="32"/>
        </w:rPr>
        <w:t>十、</w:t>
      </w:r>
      <w:r w:rsidRPr="003E6131">
        <w:rPr>
          <w:rFonts w:ascii="黑体" w:eastAsia="黑体" w:hAnsi="黑体" w:hint="eastAsia"/>
          <w:sz w:val="32"/>
          <w:szCs w:val="32"/>
        </w:rPr>
        <w:t>在线IGRT使用</w:t>
      </w:r>
      <w:r w:rsidRPr="004D7E28">
        <w:rPr>
          <w:rFonts w:ascii="黑体" w:eastAsia="黑体" w:hAnsi="黑体" w:hint="eastAsia"/>
          <w:sz w:val="32"/>
          <w:szCs w:val="32"/>
        </w:rPr>
        <w:t>率</w:t>
      </w:r>
    </w:p>
    <w:p w:rsidR="004D3D0B" w:rsidRPr="004D7E28" w:rsidRDefault="004D3D0B" w:rsidP="004D3D0B">
      <w:pPr>
        <w:adjustRightInd w:val="0"/>
        <w:snapToGrid w:val="0"/>
        <w:spacing w:line="360" w:lineRule="auto"/>
        <w:ind w:firstLineChars="200" w:firstLine="643"/>
        <w:rPr>
          <w:rFonts w:ascii="仿宋_GB2312" w:eastAsia="仿宋_GB2312"/>
          <w:sz w:val="32"/>
          <w:szCs w:val="32"/>
        </w:rPr>
      </w:pPr>
      <w:r w:rsidRPr="004D7E28">
        <w:rPr>
          <w:rFonts w:ascii="仿宋_GB2312" w:eastAsia="仿宋_GB2312" w:hint="eastAsia"/>
          <w:b/>
          <w:sz w:val="32"/>
          <w:szCs w:val="32"/>
        </w:rPr>
        <w:t>定义：</w:t>
      </w:r>
      <w:r>
        <w:rPr>
          <w:rFonts w:ascii="仿宋_GB2312" w:eastAsia="仿宋_GB2312" w:hAnsi="宋体" w:hint="eastAsia"/>
          <w:sz w:val="32"/>
          <w:szCs w:val="32"/>
        </w:rPr>
        <w:t>实施</w:t>
      </w:r>
      <w:r>
        <w:rPr>
          <w:rFonts w:ascii="仿宋_GB2312" w:eastAsia="仿宋_GB2312" w:hAnsi="仿宋_GB2312" w:cs="仿宋_GB2312" w:hint="eastAsia"/>
          <w:sz w:val="32"/>
          <w:szCs w:val="32"/>
        </w:rPr>
        <w:t>质子或重离子放射</w:t>
      </w:r>
      <w:r w:rsidRPr="00582B22">
        <w:rPr>
          <w:rFonts w:ascii="仿宋_GB2312" w:eastAsia="仿宋_GB2312" w:hint="eastAsia"/>
          <w:sz w:val="32"/>
          <w:szCs w:val="32"/>
        </w:rPr>
        <w:t>治疗</w:t>
      </w:r>
      <w:r>
        <w:rPr>
          <w:rFonts w:ascii="仿宋_GB2312" w:eastAsia="仿宋_GB2312" w:hint="eastAsia"/>
          <w:sz w:val="32"/>
          <w:szCs w:val="32"/>
        </w:rPr>
        <w:t>的患者，使用</w:t>
      </w:r>
      <w:r w:rsidRPr="006D1880">
        <w:rPr>
          <w:rFonts w:ascii="仿宋_GB2312" w:eastAsia="仿宋_GB2312" w:hAnsi="宋体" w:hint="eastAsia"/>
          <w:sz w:val="32"/>
          <w:szCs w:val="32"/>
        </w:rPr>
        <w:t>在线IGRT</w:t>
      </w:r>
      <w:r w:rsidRPr="004D7E28">
        <w:rPr>
          <w:rFonts w:ascii="仿宋_GB2312" w:eastAsia="仿宋_GB2312" w:hint="eastAsia"/>
          <w:sz w:val="32"/>
          <w:szCs w:val="32"/>
        </w:rPr>
        <w:t>的</w:t>
      </w:r>
      <w:r>
        <w:rPr>
          <w:rFonts w:ascii="仿宋_GB2312" w:eastAsia="仿宋_GB2312" w:hint="eastAsia"/>
          <w:sz w:val="32"/>
          <w:szCs w:val="32"/>
        </w:rPr>
        <w:t>例次</w:t>
      </w:r>
      <w:r w:rsidRPr="004D7E28">
        <w:rPr>
          <w:rFonts w:ascii="仿宋_GB2312" w:eastAsia="仿宋_GB2312" w:hint="eastAsia"/>
          <w:sz w:val="32"/>
          <w:szCs w:val="32"/>
        </w:rPr>
        <w:t>数占同期</w:t>
      </w:r>
      <w:r>
        <w:rPr>
          <w:rFonts w:ascii="仿宋_GB2312" w:eastAsia="仿宋_GB2312" w:hAnsi="仿宋_GB2312" w:cs="仿宋_GB2312" w:hint="eastAsia"/>
          <w:sz w:val="32"/>
          <w:szCs w:val="32"/>
        </w:rPr>
        <w:t>质子或重离子放射</w:t>
      </w:r>
      <w:r w:rsidRPr="004D7E28">
        <w:rPr>
          <w:rFonts w:ascii="仿宋_GB2312" w:eastAsia="仿宋_GB2312" w:hint="eastAsia"/>
          <w:sz w:val="32"/>
          <w:szCs w:val="32"/>
        </w:rPr>
        <w:t>治疗</w:t>
      </w:r>
      <w:r>
        <w:rPr>
          <w:rFonts w:ascii="仿宋_GB2312" w:eastAsia="仿宋_GB2312" w:hint="eastAsia"/>
          <w:sz w:val="32"/>
          <w:szCs w:val="32"/>
        </w:rPr>
        <w:t>总例次数</w:t>
      </w:r>
      <w:r w:rsidRPr="004D7E28">
        <w:rPr>
          <w:rFonts w:ascii="仿宋_GB2312" w:eastAsia="仿宋_GB2312" w:hint="eastAsia"/>
          <w:sz w:val="32"/>
          <w:szCs w:val="32"/>
        </w:rPr>
        <w:t>的比例。</w:t>
      </w:r>
      <w:r>
        <w:rPr>
          <w:rFonts w:ascii="仿宋_GB2312" w:eastAsia="仿宋_GB2312" w:hint="eastAsia"/>
          <w:sz w:val="32"/>
          <w:szCs w:val="32"/>
        </w:rPr>
        <w:t>（见注）</w:t>
      </w:r>
    </w:p>
    <w:p w:rsidR="004D3D0B" w:rsidRDefault="004D3D0B" w:rsidP="004D3D0B">
      <w:pPr>
        <w:adjustRightInd w:val="0"/>
        <w:snapToGrid w:val="0"/>
        <w:spacing w:line="360" w:lineRule="auto"/>
        <w:ind w:firstLineChars="200" w:firstLine="643"/>
        <w:rPr>
          <w:rFonts w:ascii="仿宋_GB2312" w:eastAsia="仿宋_GB2312"/>
          <w:b/>
          <w:sz w:val="32"/>
          <w:szCs w:val="32"/>
        </w:rPr>
      </w:pPr>
      <w:r w:rsidRPr="00F13982">
        <w:rPr>
          <w:rFonts w:ascii="仿宋_GB2312" w:eastAsia="仿宋_GB2312" w:hint="eastAsia"/>
          <w:b/>
          <w:sz w:val="32"/>
          <w:szCs w:val="32"/>
        </w:rPr>
        <w:t>计算</w:t>
      </w:r>
      <w:r>
        <w:rPr>
          <w:rFonts w:ascii="仿宋_GB2312" w:eastAsia="仿宋_GB2312" w:hint="eastAsia"/>
          <w:b/>
          <w:sz w:val="32"/>
          <w:szCs w:val="32"/>
        </w:rPr>
        <w:t>公式</w:t>
      </w:r>
      <w:r w:rsidRPr="00F13982">
        <w:rPr>
          <w:rFonts w:ascii="仿宋_GB2312" w:eastAsia="仿宋_GB2312" w:hint="eastAsia"/>
          <w:b/>
          <w:sz w:val="32"/>
          <w:szCs w:val="32"/>
        </w:rPr>
        <w:t>：</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在线</w:t>
      </w:r>
      <w:r w:rsidRPr="004D0D74">
        <w:rPr>
          <w:rFonts w:ascii="Cambria Math" w:eastAsia="仿宋_GB2312" w:hAnsi="Cambria Math" w:cs="Times New Roman" w:hint="eastAsia"/>
          <w:sz w:val="24"/>
          <w:szCs w:val="28"/>
        </w:rPr>
        <w:t>IGRT</w:t>
      </w:r>
      <w:r w:rsidRPr="004D0D74">
        <w:rPr>
          <w:rFonts w:ascii="Cambria Math" w:eastAsia="仿宋_GB2312" w:hAnsi="Cambria Math" w:cs="Times New Roman" w:hint="eastAsia"/>
          <w:sz w:val="24"/>
          <w:szCs w:val="28"/>
        </w:rPr>
        <w:t>使用率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使用</m:t>
            </m:r>
            <m:r>
              <m:rPr>
                <m:sty m:val="p"/>
              </m:rPr>
              <w:rPr>
                <w:rFonts w:ascii="Cambria Math" w:eastAsia="仿宋_GB2312" w:hAnsi="Cambria Math" w:cs="Times New Roman" w:hint="eastAsia"/>
                <w:sz w:val="24"/>
                <w:szCs w:val="28"/>
              </w:rPr>
              <m:t>在线</m:t>
            </m:r>
            <m:r>
              <m:rPr>
                <m:sty m:val="p"/>
              </m:rPr>
              <w:rPr>
                <w:rFonts w:ascii="Cambria Math" w:eastAsia="仿宋_GB2312" w:hAnsi="Cambria Math" w:cs="Times New Roman" w:hint="eastAsia"/>
                <w:sz w:val="24"/>
                <w:szCs w:val="28"/>
              </w:rPr>
              <m:t>IGRT</m:t>
            </m:r>
            <m:r>
              <m:rPr>
                <m:sty m:val="p"/>
              </m:rPr>
              <w:rPr>
                <w:rFonts w:ascii="Cambria Math" w:eastAsia="仿宋_GB2312" w:hAnsi="Cambria Math" w:cs="Times New Roman"/>
                <w:sz w:val="24"/>
                <w:szCs w:val="28"/>
              </w:rPr>
              <m:t>的例次数</m:t>
            </m:r>
          </m:num>
          <m:den>
            <m:r>
              <m:rPr>
                <m:sty m:val="p"/>
              </m:rPr>
              <w:rPr>
                <w:rFonts w:ascii="Cambria Math" w:eastAsia="仿宋_GB2312" w:hAnsi="Cambria Math" w:cs="Times New Roman"/>
                <w:sz w:val="24"/>
                <w:szCs w:val="28"/>
              </w:rPr>
              <m:t>同期</m:t>
            </m:r>
            <m:r>
              <m:rPr>
                <m:sty m:val="p"/>
              </m:rPr>
              <w:rPr>
                <w:rFonts w:ascii="Cambria Math" w:eastAsia="仿宋_GB2312" w:hAnsi="Cambria Math" w:cs="Times New Roman" w:hint="eastAsia"/>
                <w:sz w:val="24"/>
                <w:szCs w:val="28"/>
              </w:rPr>
              <m:t>质子或重离子放射</m:t>
            </m:r>
            <m:r>
              <m:rPr>
                <m:sty m:val="p"/>
              </m:rPr>
              <w:rPr>
                <w:rFonts w:ascii="Cambria Math" w:eastAsia="仿宋_GB2312" w:hAnsi="Cambria Math" w:cs="Times New Roman"/>
                <w:sz w:val="24"/>
                <w:szCs w:val="28"/>
              </w:rPr>
              <m:t>治疗总例次数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Default="004D3D0B" w:rsidP="004D3D0B">
      <w:pPr>
        <w:adjustRightInd w:val="0"/>
        <w:snapToGrid w:val="0"/>
        <w:spacing w:line="360" w:lineRule="auto"/>
        <w:ind w:firstLineChars="200" w:firstLine="643"/>
        <w:rPr>
          <w:rFonts w:ascii="仿宋_GB2312" w:eastAsia="仿宋_GB2312" w:hAnsi="宋体"/>
          <w:sz w:val="32"/>
          <w:szCs w:val="32"/>
        </w:rPr>
      </w:pPr>
      <w:r w:rsidRPr="004D7E28">
        <w:rPr>
          <w:rFonts w:ascii="仿宋_GB2312" w:eastAsia="仿宋_GB2312" w:hint="eastAsia"/>
          <w:b/>
          <w:sz w:val="32"/>
          <w:szCs w:val="32"/>
        </w:rPr>
        <w:t>意义：</w:t>
      </w:r>
      <w:r>
        <w:rPr>
          <w:rFonts w:ascii="仿宋_GB2312" w:eastAsia="仿宋_GB2312" w:hint="eastAsia"/>
          <w:sz w:val="32"/>
          <w:szCs w:val="32"/>
        </w:rPr>
        <w:t>反映</w:t>
      </w:r>
      <w:r>
        <w:rPr>
          <w:rFonts w:ascii="仿宋_GB2312" w:eastAsia="仿宋_GB2312" w:hAnsi="仿宋_GB2312" w:cs="仿宋_GB2312" w:hint="eastAsia"/>
          <w:sz w:val="32"/>
          <w:szCs w:val="32"/>
        </w:rPr>
        <w:t>质子或重离子放射</w:t>
      </w:r>
      <w:r>
        <w:rPr>
          <w:rFonts w:ascii="仿宋_GB2312" w:eastAsia="仿宋_GB2312" w:hint="eastAsia"/>
          <w:sz w:val="32"/>
          <w:szCs w:val="32"/>
        </w:rPr>
        <w:t>治疗的精准性</w:t>
      </w:r>
      <w:r w:rsidRPr="006D1880">
        <w:rPr>
          <w:rFonts w:ascii="仿宋_GB2312" w:eastAsia="仿宋_GB2312" w:hAnsi="宋体" w:hint="eastAsia"/>
          <w:sz w:val="32"/>
          <w:szCs w:val="32"/>
        </w:rPr>
        <w:t>。</w:t>
      </w:r>
    </w:p>
    <w:p w:rsidR="004D3D0B" w:rsidRPr="00530BC8" w:rsidRDefault="004D3D0B" w:rsidP="004D3D0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十一</w:t>
      </w:r>
      <w:r w:rsidRPr="00530BC8">
        <w:rPr>
          <w:rFonts w:ascii="黑体" w:eastAsia="黑体" w:hAnsi="黑体" w:hint="eastAsia"/>
          <w:sz w:val="32"/>
          <w:szCs w:val="32"/>
        </w:rPr>
        <w:t>、</w:t>
      </w:r>
      <w:r w:rsidRPr="009E2122">
        <w:rPr>
          <w:rFonts w:ascii="黑体" w:eastAsia="黑体" w:hAnsi="黑体" w:hint="eastAsia"/>
          <w:sz w:val="32"/>
          <w:szCs w:val="32"/>
        </w:rPr>
        <w:t>输出射束精度</w:t>
      </w:r>
      <w:r w:rsidRPr="00530BC8">
        <w:rPr>
          <w:rFonts w:ascii="黑体" w:eastAsia="黑体" w:hAnsi="黑体" w:hint="eastAsia"/>
          <w:sz w:val="32"/>
          <w:szCs w:val="32"/>
        </w:rPr>
        <w:t>达标率</w:t>
      </w:r>
    </w:p>
    <w:p w:rsidR="004D3D0B" w:rsidRPr="00530BC8" w:rsidRDefault="004D3D0B" w:rsidP="004D3D0B">
      <w:pPr>
        <w:adjustRightInd w:val="0"/>
        <w:snapToGrid w:val="0"/>
        <w:spacing w:line="360" w:lineRule="auto"/>
        <w:ind w:firstLineChars="200" w:firstLine="643"/>
        <w:rPr>
          <w:rFonts w:ascii="仿宋" w:eastAsia="仿宋" w:hAnsi="仿宋"/>
          <w:sz w:val="32"/>
          <w:szCs w:val="32"/>
        </w:rPr>
      </w:pPr>
      <w:r w:rsidRPr="006426B8">
        <w:rPr>
          <w:rFonts w:ascii="仿宋" w:eastAsia="仿宋" w:hAnsi="仿宋" w:hint="eastAsia"/>
          <w:b/>
          <w:sz w:val="32"/>
          <w:szCs w:val="32"/>
        </w:rPr>
        <w:t>定义：</w:t>
      </w:r>
      <w:r w:rsidRPr="006D1880">
        <w:rPr>
          <w:rFonts w:ascii="仿宋_GB2312" w:eastAsia="仿宋_GB2312" w:hAnsi="宋体" w:hint="eastAsia"/>
          <w:sz w:val="32"/>
          <w:szCs w:val="32"/>
        </w:rPr>
        <w:t>输出射束精度</w:t>
      </w:r>
      <w:r>
        <w:rPr>
          <w:rFonts w:ascii="仿宋" w:eastAsia="仿宋" w:hAnsi="仿宋" w:hint="eastAsia"/>
          <w:sz w:val="32"/>
          <w:szCs w:val="32"/>
        </w:rPr>
        <w:t>达标是指</w:t>
      </w:r>
      <w:r>
        <w:rPr>
          <w:rFonts w:ascii="仿宋_GB2312" w:eastAsia="仿宋_GB2312" w:hAnsi="仿宋_GB2312" w:cs="仿宋_GB2312" w:hint="eastAsia"/>
          <w:sz w:val="32"/>
          <w:szCs w:val="32"/>
        </w:rPr>
        <w:t>质子或重离子加速器输出射束的均匀性</w:t>
      </w:r>
      <w:r>
        <w:rPr>
          <w:rFonts w:ascii="仿宋" w:eastAsia="仿宋" w:hAnsi="仿宋" w:hint="eastAsia"/>
          <w:sz w:val="32"/>
          <w:szCs w:val="32"/>
        </w:rPr>
        <w:t>评估符合</w:t>
      </w:r>
      <w:r w:rsidRPr="006426B8">
        <w:rPr>
          <w:rFonts w:ascii="仿宋" w:eastAsia="仿宋" w:hAnsi="仿宋" w:hint="eastAsia"/>
          <w:sz w:val="32"/>
          <w:szCs w:val="32"/>
        </w:rPr>
        <w:t>相关标准</w:t>
      </w:r>
      <w:r>
        <w:rPr>
          <w:rFonts w:ascii="仿宋" w:eastAsia="仿宋" w:hAnsi="仿宋" w:hint="eastAsia"/>
          <w:sz w:val="32"/>
          <w:szCs w:val="32"/>
        </w:rPr>
        <w:t>，</w:t>
      </w:r>
      <w:r w:rsidRPr="00530BC8">
        <w:rPr>
          <w:rFonts w:ascii="仿宋" w:eastAsia="仿宋" w:hAnsi="仿宋" w:hint="eastAsia"/>
          <w:sz w:val="32"/>
          <w:szCs w:val="32"/>
        </w:rPr>
        <w:t>达到临床诊疗基本要求</w:t>
      </w:r>
      <w:r>
        <w:rPr>
          <w:rFonts w:ascii="仿宋" w:eastAsia="仿宋" w:hAnsi="仿宋" w:hint="eastAsia"/>
          <w:sz w:val="32"/>
          <w:szCs w:val="32"/>
        </w:rPr>
        <w:t>。</w:t>
      </w:r>
      <w:r w:rsidRPr="006D1880">
        <w:rPr>
          <w:rFonts w:ascii="仿宋_GB2312" w:eastAsia="仿宋_GB2312" w:hAnsi="宋体" w:hint="eastAsia"/>
          <w:sz w:val="32"/>
          <w:szCs w:val="32"/>
        </w:rPr>
        <w:t>输出射束精度</w:t>
      </w:r>
      <w:r>
        <w:rPr>
          <w:rFonts w:ascii="仿宋" w:eastAsia="仿宋" w:hAnsi="仿宋" w:hint="eastAsia"/>
          <w:sz w:val="32"/>
          <w:szCs w:val="32"/>
        </w:rPr>
        <w:t>达标率是指达标</w:t>
      </w:r>
      <w:r w:rsidRPr="00530BC8">
        <w:rPr>
          <w:rFonts w:ascii="仿宋" w:eastAsia="仿宋" w:hAnsi="仿宋" w:hint="eastAsia"/>
          <w:sz w:val="32"/>
          <w:szCs w:val="32"/>
        </w:rPr>
        <w:t>的</w:t>
      </w:r>
      <w:r>
        <w:rPr>
          <w:rFonts w:ascii="仿宋" w:eastAsia="仿宋" w:hAnsi="仿宋" w:hint="eastAsia"/>
          <w:sz w:val="32"/>
          <w:szCs w:val="32"/>
        </w:rPr>
        <w:t>输出射束</w:t>
      </w:r>
      <w:r w:rsidRPr="00530BC8">
        <w:rPr>
          <w:rFonts w:ascii="仿宋" w:eastAsia="仿宋" w:hAnsi="仿宋" w:hint="eastAsia"/>
          <w:sz w:val="32"/>
          <w:szCs w:val="32"/>
        </w:rPr>
        <w:t>数占</w:t>
      </w:r>
      <w:r>
        <w:rPr>
          <w:rFonts w:ascii="仿宋" w:eastAsia="仿宋" w:hAnsi="仿宋" w:hint="eastAsia"/>
          <w:sz w:val="32"/>
          <w:szCs w:val="32"/>
        </w:rPr>
        <w:t>同期检测的输出射束总数</w:t>
      </w:r>
      <w:r w:rsidRPr="00530BC8">
        <w:rPr>
          <w:rFonts w:ascii="仿宋" w:eastAsia="仿宋" w:hAnsi="仿宋" w:hint="eastAsia"/>
          <w:sz w:val="32"/>
          <w:szCs w:val="32"/>
        </w:rPr>
        <w:t>的比例。</w:t>
      </w:r>
    </w:p>
    <w:p w:rsidR="004D3D0B" w:rsidRPr="000F0154" w:rsidRDefault="004D3D0B" w:rsidP="004D3D0B">
      <w:pPr>
        <w:adjustRightInd w:val="0"/>
        <w:snapToGrid w:val="0"/>
        <w:spacing w:line="360" w:lineRule="auto"/>
        <w:ind w:firstLineChars="200" w:firstLine="643"/>
        <w:rPr>
          <w:rFonts w:ascii="仿宋" w:eastAsia="仿宋" w:hAnsi="仿宋"/>
          <w:b/>
          <w:sz w:val="32"/>
          <w:szCs w:val="32"/>
        </w:rPr>
      </w:pPr>
      <w:r w:rsidRPr="000F0154">
        <w:rPr>
          <w:rFonts w:ascii="仿宋" w:eastAsia="仿宋" w:hAnsi="仿宋"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输出射束精度达标率</w:t>
      </w:r>
      <m:oMath>
        <m:r>
          <m:rPr>
            <m:sty m:val="p"/>
          </m:rPr>
          <w:rPr>
            <w:rFonts w:ascii="Cambria Math" w:eastAsia="仿宋_GB2312" w:hAnsi="Cambria Math" w:cs="Cambria Math"/>
            <w:sz w:val="24"/>
            <w:szCs w:val="28"/>
          </w:rPr>
          <m:t>=</m:t>
        </m:r>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达标</m:t>
            </m:r>
            <m:r>
              <m:rPr>
                <m:sty m:val="p"/>
              </m:rPr>
              <w:rPr>
                <w:rFonts w:ascii="Cambria Math" w:eastAsia="仿宋_GB2312" w:hAnsi="Cambria Math" w:cs="Times New Roman" w:hint="eastAsia"/>
                <w:sz w:val="24"/>
                <w:szCs w:val="28"/>
              </w:rPr>
              <m:t>的</m:t>
            </m:r>
            <m:r>
              <m:rPr>
                <m:sty m:val="p"/>
              </m:rPr>
              <w:rPr>
                <w:rFonts w:ascii="Cambria Math" w:eastAsia="仿宋_GB2312" w:hAnsi="Cambria Math" w:cs="Times New Roman"/>
                <w:sz w:val="24"/>
                <w:szCs w:val="28"/>
              </w:rPr>
              <m:t>输出射束</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sz w:val="24"/>
                <w:szCs w:val="28"/>
              </w:rPr>
              <m:t>同期检测的输出射束总数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Pr="00530BC8" w:rsidRDefault="004D3D0B" w:rsidP="004D3D0B">
      <w:pPr>
        <w:adjustRightInd w:val="0"/>
        <w:snapToGrid w:val="0"/>
        <w:spacing w:line="360" w:lineRule="auto"/>
        <w:ind w:firstLineChars="200" w:firstLine="643"/>
        <w:rPr>
          <w:rFonts w:ascii="仿宋" w:eastAsia="仿宋" w:hAnsi="仿宋"/>
          <w:sz w:val="32"/>
          <w:szCs w:val="32"/>
        </w:rPr>
      </w:pPr>
      <w:r w:rsidRPr="000F0154">
        <w:rPr>
          <w:rFonts w:ascii="仿宋" w:eastAsia="仿宋" w:hAnsi="仿宋" w:hint="eastAsia"/>
          <w:b/>
          <w:sz w:val="32"/>
          <w:szCs w:val="32"/>
        </w:rPr>
        <w:t>意义：</w:t>
      </w:r>
      <w:r w:rsidRPr="006D1880">
        <w:rPr>
          <w:rFonts w:ascii="仿宋_GB2312" w:eastAsia="仿宋_GB2312" w:hAnsi="宋体" w:hint="eastAsia"/>
          <w:sz w:val="32"/>
          <w:szCs w:val="32"/>
        </w:rPr>
        <w:t>输出射束精度</w:t>
      </w:r>
      <w:r>
        <w:rPr>
          <w:rFonts w:ascii="仿宋" w:eastAsia="仿宋" w:hAnsi="仿宋" w:hint="eastAsia"/>
          <w:sz w:val="32"/>
          <w:szCs w:val="32"/>
        </w:rPr>
        <w:t>达标</w:t>
      </w:r>
      <w:r w:rsidRPr="00530BC8">
        <w:rPr>
          <w:rFonts w:ascii="仿宋" w:eastAsia="仿宋" w:hAnsi="仿宋" w:hint="eastAsia"/>
          <w:sz w:val="32"/>
          <w:szCs w:val="32"/>
        </w:rPr>
        <w:t>是保证</w:t>
      </w:r>
      <w:r>
        <w:rPr>
          <w:rFonts w:ascii="仿宋" w:eastAsia="仿宋" w:hAnsi="仿宋" w:hint="eastAsia"/>
          <w:sz w:val="32"/>
          <w:szCs w:val="32"/>
        </w:rPr>
        <w:t>质子或重离子加速器治疗</w:t>
      </w:r>
      <w:r w:rsidRPr="00530BC8">
        <w:rPr>
          <w:rFonts w:ascii="仿宋" w:eastAsia="仿宋" w:hAnsi="仿宋" w:hint="eastAsia"/>
          <w:sz w:val="32"/>
          <w:szCs w:val="32"/>
        </w:rPr>
        <w:t>质量的最基本条件</w:t>
      </w:r>
      <w:r>
        <w:rPr>
          <w:rFonts w:ascii="仿宋" w:eastAsia="仿宋" w:hAnsi="仿宋" w:hint="eastAsia"/>
          <w:sz w:val="32"/>
          <w:szCs w:val="32"/>
        </w:rPr>
        <w:t>之一</w:t>
      </w:r>
      <w:r w:rsidRPr="00530BC8">
        <w:rPr>
          <w:rFonts w:ascii="仿宋" w:eastAsia="仿宋" w:hAnsi="仿宋" w:hint="eastAsia"/>
          <w:sz w:val="32"/>
          <w:szCs w:val="32"/>
        </w:rPr>
        <w:t>。</w:t>
      </w:r>
      <w:r w:rsidRPr="006D1880">
        <w:rPr>
          <w:rFonts w:ascii="仿宋_GB2312" w:eastAsia="仿宋_GB2312" w:hAnsi="宋体" w:hint="eastAsia"/>
          <w:sz w:val="32"/>
          <w:szCs w:val="32"/>
        </w:rPr>
        <w:t>输出射束精度</w:t>
      </w:r>
      <w:r w:rsidRPr="00530BC8">
        <w:rPr>
          <w:rFonts w:ascii="仿宋" w:eastAsia="仿宋" w:hAnsi="仿宋" w:hint="eastAsia"/>
          <w:sz w:val="32"/>
          <w:szCs w:val="32"/>
        </w:rPr>
        <w:t>达标率反映</w:t>
      </w:r>
      <w:r>
        <w:rPr>
          <w:rFonts w:ascii="仿宋" w:eastAsia="仿宋" w:hAnsi="仿宋" w:hint="eastAsia"/>
          <w:sz w:val="32"/>
          <w:szCs w:val="32"/>
        </w:rPr>
        <w:t>质子或重离子加速器</w:t>
      </w:r>
      <w:r w:rsidRPr="00530BC8">
        <w:rPr>
          <w:rFonts w:ascii="仿宋" w:eastAsia="仿宋" w:hAnsi="仿宋" w:hint="eastAsia"/>
          <w:sz w:val="32"/>
          <w:szCs w:val="32"/>
        </w:rPr>
        <w:t>总体性能情况。</w:t>
      </w:r>
    </w:p>
    <w:p w:rsidR="004D3D0B" w:rsidRPr="00530BC8" w:rsidRDefault="004D3D0B" w:rsidP="004D3D0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十二</w:t>
      </w:r>
      <w:r w:rsidRPr="00530BC8">
        <w:rPr>
          <w:rFonts w:ascii="黑体" w:eastAsia="黑体" w:hAnsi="黑体" w:hint="eastAsia"/>
          <w:sz w:val="32"/>
          <w:szCs w:val="32"/>
        </w:rPr>
        <w:t>、</w:t>
      </w:r>
      <w:r w:rsidRPr="009E2122">
        <w:rPr>
          <w:rFonts w:ascii="黑体" w:eastAsia="黑体" w:hAnsi="黑体" w:hint="eastAsia"/>
          <w:sz w:val="32"/>
          <w:szCs w:val="32"/>
        </w:rPr>
        <w:t>输出</w:t>
      </w:r>
      <w:r>
        <w:rPr>
          <w:rFonts w:ascii="黑体" w:eastAsia="黑体" w:hAnsi="黑体" w:hint="eastAsia"/>
          <w:sz w:val="32"/>
          <w:szCs w:val="32"/>
        </w:rPr>
        <w:t>剂量</w:t>
      </w:r>
      <w:r w:rsidRPr="009E2122">
        <w:rPr>
          <w:rFonts w:ascii="黑体" w:eastAsia="黑体" w:hAnsi="黑体" w:hint="eastAsia"/>
          <w:sz w:val="32"/>
          <w:szCs w:val="32"/>
        </w:rPr>
        <w:t>精度</w:t>
      </w:r>
      <w:r w:rsidRPr="00530BC8">
        <w:rPr>
          <w:rFonts w:ascii="黑体" w:eastAsia="黑体" w:hAnsi="黑体" w:hint="eastAsia"/>
          <w:sz w:val="32"/>
          <w:szCs w:val="32"/>
        </w:rPr>
        <w:t>达标率</w:t>
      </w:r>
    </w:p>
    <w:p w:rsidR="004D3D0B" w:rsidRPr="00530BC8" w:rsidRDefault="004D3D0B" w:rsidP="004D3D0B">
      <w:pPr>
        <w:adjustRightInd w:val="0"/>
        <w:snapToGrid w:val="0"/>
        <w:spacing w:line="360" w:lineRule="auto"/>
        <w:ind w:firstLineChars="200" w:firstLine="643"/>
        <w:rPr>
          <w:rFonts w:ascii="仿宋" w:eastAsia="仿宋" w:hAnsi="仿宋"/>
          <w:sz w:val="32"/>
          <w:szCs w:val="32"/>
        </w:rPr>
      </w:pPr>
      <w:r w:rsidRPr="006426B8">
        <w:rPr>
          <w:rFonts w:ascii="仿宋" w:eastAsia="仿宋" w:hAnsi="仿宋" w:hint="eastAsia"/>
          <w:b/>
          <w:sz w:val="32"/>
          <w:szCs w:val="32"/>
        </w:rPr>
        <w:t>定义：</w:t>
      </w:r>
      <w:r w:rsidRPr="006D1880">
        <w:rPr>
          <w:rFonts w:ascii="仿宋_GB2312" w:eastAsia="仿宋_GB2312" w:hAnsi="宋体" w:hint="eastAsia"/>
          <w:sz w:val="32"/>
          <w:szCs w:val="32"/>
        </w:rPr>
        <w:t>输出</w:t>
      </w:r>
      <w:r>
        <w:rPr>
          <w:rFonts w:ascii="仿宋_GB2312" w:eastAsia="仿宋_GB2312" w:hAnsi="宋体" w:hint="eastAsia"/>
          <w:sz w:val="32"/>
          <w:szCs w:val="32"/>
        </w:rPr>
        <w:t>剂量</w:t>
      </w:r>
      <w:r w:rsidRPr="006D1880">
        <w:rPr>
          <w:rFonts w:ascii="仿宋_GB2312" w:eastAsia="仿宋_GB2312" w:hAnsi="宋体" w:hint="eastAsia"/>
          <w:sz w:val="32"/>
          <w:szCs w:val="32"/>
        </w:rPr>
        <w:t>精度</w:t>
      </w:r>
      <w:r>
        <w:rPr>
          <w:rFonts w:ascii="仿宋" w:eastAsia="仿宋" w:hAnsi="仿宋" w:hint="eastAsia"/>
          <w:sz w:val="32"/>
          <w:szCs w:val="32"/>
        </w:rPr>
        <w:t>达标是指</w:t>
      </w:r>
      <w:r>
        <w:rPr>
          <w:rFonts w:ascii="仿宋_GB2312" w:eastAsia="仿宋_GB2312" w:hAnsi="仿宋_GB2312" w:cs="仿宋_GB2312" w:hint="eastAsia"/>
          <w:sz w:val="32"/>
          <w:szCs w:val="32"/>
        </w:rPr>
        <w:t>质子或重离子加速器输出剂量</w:t>
      </w:r>
      <w:r>
        <w:rPr>
          <w:rFonts w:ascii="仿宋" w:eastAsia="仿宋" w:hAnsi="仿宋" w:hint="eastAsia"/>
          <w:sz w:val="32"/>
          <w:szCs w:val="32"/>
        </w:rPr>
        <w:t>评估符合</w:t>
      </w:r>
      <w:r w:rsidRPr="006426B8">
        <w:rPr>
          <w:rFonts w:ascii="仿宋" w:eastAsia="仿宋" w:hAnsi="仿宋" w:hint="eastAsia"/>
          <w:sz w:val="32"/>
          <w:szCs w:val="32"/>
        </w:rPr>
        <w:t>相关标准</w:t>
      </w:r>
      <w:r>
        <w:rPr>
          <w:rFonts w:ascii="仿宋" w:eastAsia="仿宋" w:hAnsi="仿宋" w:hint="eastAsia"/>
          <w:sz w:val="32"/>
          <w:szCs w:val="32"/>
        </w:rPr>
        <w:t>，</w:t>
      </w:r>
      <w:r w:rsidRPr="00530BC8">
        <w:rPr>
          <w:rFonts w:ascii="仿宋" w:eastAsia="仿宋" w:hAnsi="仿宋" w:hint="eastAsia"/>
          <w:sz w:val="32"/>
          <w:szCs w:val="32"/>
        </w:rPr>
        <w:t>达到临床诊疗基本要求</w:t>
      </w:r>
      <w:r>
        <w:rPr>
          <w:rFonts w:ascii="仿宋" w:eastAsia="仿宋" w:hAnsi="仿宋" w:hint="eastAsia"/>
          <w:sz w:val="32"/>
          <w:szCs w:val="32"/>
        </w:rPr>
        <w:t>。</w:t>
      </w:r>
      <w:r w:rsidRPr="006D1880">
        <w:rPr>
          <w:rFonts w:ascii="仿宋_GB2312" w:eastAsia="仿宋_GB2312" w:hAnsi="宋体" w:hint="eastAsia"/>
          <w:sz w:val="32"/>
          <w:szCs w:val="32"/>
        </w:rPr>
        <w:t>输出</w:t>
      </w:r>
      <w:r>
        <w:rPr>
          <w:rFonts w:ascii="仿宋_GB2312" w:eastAsia="仿宋_GB2312" w:hAnsi="宋体" w:hint="eastAsia"/>
          <w:sz w:val="32"/>
          <w:szCs w:val="32"/>
        </w:rPr>
        <w:t>剂量</w:t>
      </w:r>
      <w:r w:rsidRPr="006D1880">
        <w:rPr>
          <w:rFonts w:ascii="仿宋_GB2312" w:eastAsia="仿宋_GB2312" w:hAnsi="宋体" w:hint="eastAsia"/>
          <w:sz w:val="32"/>
          <w:szCs w:val="32"/>
        </w:rPr>
        <w:t>精度</w:t>
      </w:r>
      <w:r>
        <w:rPr>
          <w:rFonts w:ascii="仿宋" w:eastAsia="仿宋" w:hAnsi="仿宋" w:hint="eastAsia"/>
          <w:sz w:val="32"/>
          <w:szCs w:val="32"/>
        </w:rPr>
        <w:t>达标率是指输出剂量达标的检测次</w:t>
      </w:r>
      <w:r w:rsidRPr="00530BC8">
        <w:rPr>
          <w:rFonts w:ascii="仿宋" w:eastAsia="仿宋" w:hAnsi="仿宋" w:hint="eastAsia"/>
          <w:sz w:val="32"/>
          <w:szCs w:val="32"/>
        </w:rPr>
        <w:t>数占</w:t>
      </w:r>
      <w:r>
        <w:rPr>
          <w:rFonts w:ascii="仿宋" w:eastAsia="仿宋" w:hAnsi="仿宋" w:hint="eastAsia"/>
          <w:sz w:val="32"/>
          <w:szCs w:val="32"/>
        </w:rPr>
        <w:t>同期输出剂量检测总次数</w:t>
      </w:r>
      <w:r w:rsidRPr="00530BC8">
        <w:rPr>
          <w:rFonts w:ascii="仿宋" w:eastAsia="仿宋" w:hAnsi="仿宋" w:hint="eastAsia"/>
          <w:sz w:val="32"/>
          <w:szCs w:val="32"/>
        </w:rPr>
        <w:t>的比例。</w:t>
      </w:r>
    </w:p>
    <w:p w:rsidR="004D3D0B" w:rsidRPr="000F0154" w:rsidRDefault="004D3D0B" w:rsidP="004D3D0B">
      <w:pPr>
        <w:adjustRightInd w:val="0"/>
        <w:snapToGrid w:val="0"/>
        <w:spacing w:line="360" w:lineRule="auto"/>
        <w:ind w:firstLineChars="200" w:firstLine="643"/>
        <w:rPr>
          <w:rFonts w:ascii="仿宋" w:eastAsia="仿宋" w:hAnsi="仿宋"/>
          <w:b/>
          <w:sz w:val="32"/>
          <w:szCs w:val="32"/>
        </w:rPr>
      </w:pPr>
      <w:r w:rsidRPr="000F0154">
        <w:rPr>
          <w:rFonts w:ascii="仿宋" w:eastAsia="仿宋" w:hAnsi="仿宋"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输出剂量精度达标率</w:t>
      </w:r>
      <m:oMath>
        <m:r>
          <m:rPr>
            <m:sty m:val="p"/>
          </m:rPr>
          <w:rPr>
            <w:rFonts w:ascii="Cambria Math" w:eastAsia="仿宋_GB2312" w:hAnsi="Cambria Math" w:cs="Cambria Math"/>
            <w:sz w:val="24"/>
            <w:szCs w:val="28"/>
          </w:rPr>
          <m:t>=</m:t>
        </m:r>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输出剂量达标的检测次</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sz w:val="24"/>
                <w:szCs w:val="28"/>
              </w:rPr>
              <m:t>同期输出剂量检测总次数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Default="004D3D0B" w:rsidP="004D3D0B">
      <w:pPr>
        <w:adjustRightInd w:val="0"/>
        <w:snapToGrid w:val="0"/>
        <w:spacing w:line="360" w:lineRule="auto"/>
        <w:ind w:firstLineChars="200" w:firstLine="643"/>
        <w:rPr>
          <w:rFonts w:ascii="仿宋" w:eastAsia="仿宋" w:hAnsi="仿宋"/>
          <w:sz w:val="32"/>
          <w:szCs w:val="32"/>
        </w:rPr>
      </w:pPr>
      <w:r w:rsidRPr="000F0154">
        <w:rPr>
          <w:rFonts w:ascii="仿宋" w:eastAsia="仿宋" w:hAnsi="仿宋" w:hint="eastAsia"/>
          <w:b/>
          <w:sz w:val="32"/>
          <w:szCs w:val="32"/>
        </w:rPr>
        <w:t>意义：</w:t>
      </w:r>
      <w:r w:rsidRPr="006D1880">
        <w:rPr>
          <w:rFonts w:ascii="仿宋_GB2312" w:eastAsia="仿宋_GB2312" w:hAnsi="宋体" w:hint="eastAsia"/>
          <w:sz w:val="32"/>
          <w:szCs w:val="32"/>
        </w:rPr>
        <w:t>输出</w:t>
      </w:r>
      <w:r>
        <w:rPr>
          <w:rFonts w:ascii="仿宋_GB2312" w:eastAsia="仿宋_GB2312" w:hAnsi="宋体" w:hint="eastAsia"/>
          <w:sz w:val="32"/>
          <w:szCs w:val="32"/>
        </w:rPr>
        <w:t>剂量</w:t>
      </w:r>
      <w:r w:rsidRPr="006D1880">
        <w:rPr>
          <w:rFonts w:ascii="仿宋_GB2312" w:eastAsia="仿宋_GB2312" w:hAnsi="宋体" w:hint="eastAsia"/>
          <w:sz w:val="32"/>
          <w:szCs w:val="32"/>
        </w:rPr>
        <w:t>精度</w:t>
      </w:r>
      <w:r>
        <w:rPr>
          <w:rFonts w:ascii="仿宋" w:eastAsia="仿宋" w:hAnsi="仿宋" w:hint="eastAsia"/>
          <w:sz w:val="32"/>
          <w:szCs w:val="32"/>
        </w:rPr>
        <w:t>达标</w:t>
      </w:r>
      <w:r w:rsidRPr="00530BC8">
        <w:rPr>
          <w:rFonts w:ascii="仿宋" w:eastAsia="仿宋" w:hAnsi="仿宋" w:hint="eastAsia"/>
          <w:sz w:val="32"/>
          <w:szCs w:val="32"/>
        </w:rPr>
        <w:t>是保证</w:t>
      </w:r>
      <w:r>
        <w:rPr>
          <w:rFonts w:ascii="仿宋" w:eastAsia="仿宋" w:hAnsi="仿宋" w:hint="eastAsia"/>
          <w:sz w:val="32"/>
          <w:szCs w:val="32"/>
        </w:rPr>
        <w:t>质子或重离子加速器治疗</w:t>
      </w:r>
      <w:r w:rsidRPr="00530BC8">
        <w:rPr>
          <w:rFonts w:ascii="仿宋" w:eastAsia="仿宋" w:hAnsi="仿宋" w:hint="eastAsia"/>
          <w:sz w:val="32"/>
          <w:szCs w:val="32"/>
        </w:rPr>
        <w:t>质量的最基本条件</w:t>
      </w:r>
      <w:r>
        <w:rPr>
          <w:rFonts w:ascii="仿宋" w:eastAsia="仿宋" w:hAnsi="仿宋" w:hint="eastAsia"/>
          <w:sz w:val="32"/>
          <w:szCs w:val="32"/>
        </w:rPr>
        <w:t>之一</w:t>
      </w:r>
      <w:r w:rsidRPr="00530BC8">
        <w:rPr>
          <w:rFonts w:ascii="仿宋" w:eastAsia="仿宋" w:hAnsi="仿宋" w:hint="eastAsia"/>
          <w:sz w:val="32"/>
          <w:szCs w:val="32"/>
        </w:rPr>
        <w:t>。</w:t>
      </w:r>
      <w:r w:rsidRPr="006D1880">
        <w:rPr>
          <w:rFonts w:ascii="仿宋_GB2312" w:eastAsia="仿宋_GB2312" w:hAnsi="宋体" w:hint="eastAsia"/>
          <w:sz w:val="32"/>
          <w:szCs w:val="32"/>
        </w:rPr>
        <w:t>输出</w:t>
      </w:r>
      <w:r>
        <w:rPr>
          <w:rFonts w:ascii="仿宋_GB2312" w:eastAsia="仿宋_GB2312" w:hAnsi="宋体" w:hint="eastAsia"/>
          <w:sz w:val="32"/>
          <w:szCs w:val="32"/>
        </w:rPr>
        <w:t>剂量</w:t>
      </w:r>
      <w:r w:rsidRPr="006D1880">
        <w:rPr>
          <w:rFonts w:ascii="仿宋_GB2312" w:eastAsia="仿宋_GB2312" w:hAnsi="宋体" w:hint="eastAsia"/>
          <w:sz w:val="32"/>
          <w:szCs w:val="32"/>
        </w:rPr>
        <w:t>精度</w:t>
      </w:r>
      <w:r w:rsidRPr="00530BC8">
        <w:rPr>
          <w:rFonts w:ascii="仿宋" w:eastAsia="仿宋" w:hAnsi="仿宋" w:hint="eastAsia"/>
          <w:sz w:val="32"/>
          <w:szCs w:val="32"/>
        </w:rPr>
        <w:t>达标率反映</w:t>
      </w:r>
      <w:r>
        <w:rPr>
          <w:rFonts w:ascii="仿宋" w:eastAsia="仿宋" w:hAnsi="仿宋" w:hint="eastAsia"/>
          <w:sz w:val="32"/>
          <w:szCs w:val="32"/>
        </w:rPr>
        <w:t>质子或重离子加速器输出剂量的稳定性</w:t>
      </w:r>
      <w:r w:rsidRPr="00530BC8">
        <w:rPr>
          <w:rFonts w:ascii="仿宋" w:eastAsia="仿宋" w:hAnsi="仿宋" w:hint="eastAsia"/>
          <w:sz w:val="32"/>
          <w:szCs w:val="32"/>
        </w:rPr>
        <w:t>。</w:t>
      </w:r>
    </w:p>
    <w:p w:rsidR="004D3D0B" w:rsidRPr="00530BC8" w:rsidRDefault="004D3D0B" w:rsidP="004D3D0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十三、能量</w:t>
      </w:r>
      <w:r w:rsidRPr="009E2122">
        <w:rPr>
          <w:rFonts w:ascii="黑体" w:eastAsia="黑体" w:hAnsi="黑体" w:hint="eastAsia"/>
          <w:sz w:val="32"/>
          <w:szCs w:val="32"/>
        </w:rPr>
        <w:t>精度</w:t>
      </w:r>
      <w:r w:rsidRPr="00530BC8">
        <w:rPr>
          <w:rFonts w:ascii="黑体" w:eastAsia="黑体" w:hAnsi="黑体" w:hint="eastAsia"/>
          <w:sz w:val="32"/>
          <w:szCs w:val="32"/>
        </w:rPr>
        <w:t>达标率</w:t>
      </w:r>
    </w:p>
    <w:p w:rsidR="004D3D0B" w:rsidRPr="00530BC8" w:rsidRDefault="004D3D0B" w:rsidP="004D3D0B">
      <w:pPr>
        <w:adjustRightInd w:val="0"/>
        <w:snapToGrid w:val="0"/>
        <w:spacing w:line="360" w:lineRule="auto"/>
        <w:ind w:firstLineChars="200" w:firstLine="643"/>
        <w:rPr>
          <w:rFonts w:ascii="仿宋" w:eastAsia="仿宋" w:hAnsi="仿宋"/>
          <w:sz w:val="32"/>
          <w:szCs w:val="32"/>
        </w:rPr>
      </w:pPr>
      <w:r w:rsidRPr="006426B8">
        <w:rPr>
          <w:rFonts w:ascii="仿宋" w:eastAsia="仿宋" w:hAnsi="仿宋" w:hint="eastAsia"/>
          <w:b/>
          <w:sz w:val="32"/>
          <w:szCs w:val="32"/>
        </w:rPr>
        <w:t>定义：</w:t>
      </w:r>
      <w:r>
        <w:rPr>
          <w:rFonts w:ascii="仿宋_GB2312" w:eastAsia="仿宋_GB2312" w:hAnsi="宋体" w:hint="eastAsia"/>
          <w:sz w:val="32"/>
          <w:szCs w:val="32"/>
        </w:rPr>
        <w:t>能量</w:t>
      </w:r>
      <w:r w:rsidRPr="006D1880">
        <w:rPr>
          <w:rFonts w:ascii="仿宋_GB2312" w:eastAsia="仿宋_GB2312" w:hAnsi="宋体" w:hint="eastAsia"/>
          <w:sz w:val="32"/>
          <w:szCs w:val="32"/>
        </w:rPr>
        <w:t>精度</w:t>
      </w:r>
      <w:r>
        <w:rPr>
          <w:rFonts w:ascii="仿宋" w:eastAsia="仿宋" w:hAnsi="仿宋" w:hint="eastAsia"/>
          <w:sz w:val="32"/>
          <w:szCs w:val="32"/>
        </w:rPr>
        <w:t>达标是指</w:t>
      </w:r>
      <w:r>
        <w:rPr>
          <w:rFonts w:ascii="仿宋_GB2312" w:eastAsia="仿宋_GB2312" w:hAnsi="仿宋_GB2312" w:cs="仿宋_GB2312" w:hint="eastAsia"/>
          <w:sz w:val="32"/>
          <w:szCs w:val="32"/>
        </w:rPr>
        <w:t>质子或重离子加速器治疗线束能量</w:t>
      </w:r>
      <w:r>
        <w:rPr>
          <w:rFonts w:ascii="仿宋" w:eastAsia="仿宋" w:hAnsi="仿宋" w:hint="eastAsia"/>
          <w:sz w:val="32"/>
          <w:szCs w:val="32"/>
        </w:rPr>
        <w:t>评估符合</w:t>
      </w:r>
      <w:r w:rsidRPr="006426B8">
        <w:rPr>
          <w:rFonts w:ascii="仿宋" w:eastAsia="仿宋" w:hAnsi="仿宋" w:hint="eastAsia"/>
          <w:sz w:val="32"/>
          <w:szCs w:val="32"/>
        </w:rPr>
        <w:t>相关标准</w:t>
      </w:r>
      <w:r>
        <w:rPr>
          <w:rFonts w:ascii="仿宋" w:eastAsia="仿宋" w:hAnsi="仿宋" w:hint="eastAsia"/>
          <w:sz w:val="32"/>
          <w:szCs w:val="32"/>
        </w:rPr>
        <w:t>，</w:t>
      </w:r>
      <w:r w:rsidRPr="006D1880">
        <w:rPr>
          <w:rFonts w:ascii="仿宋_GB2312" w:eastAsia="仿宋_GB2312" w:hAnsi="宋体" w:hint="eastAsia"/>
          <w:sz w:val="32"/>
          <w:szCs w:val="32"/>
        </w:rPr>
        <w:t>在模体内布拉格峰</w:t>
      </w:r>
      <w:r>
        <w:rPr>
          <w:rFonts w:ascii="仿宋_GB2312" w:eastAsia="仿宋_GB2312" w:hAnsi="宋体" w:hint="eastAsia"/>
          <w:sz w:val="32"/>
          <w:szCs w:val="32"/>
        </w:rPr>
        <w:t>深度准确，</w:t>
      </w:r>
      <w:r w:rsidRPr="00530BC8">
        <w:rPr>
          <w:rFonts w:ascii="仿宋" w:eastAsia="仿宋" w:hAnsi="仿宋" w:hint="eastAsia"/>
          <w:sz w:val="32"/>
          <w:szCs w:val="32"/>
        </w:rPr>
        <w:t>达到临床诊疗基本要求</w:t>
      </w:r>
      <w:r>
        <w:rPr>
          <w:rFonts w:ascii="仿宋" w:eastAsia="仿宋" w:hAnsi="仿宋" w:hint="eastAsia"/>
          <w:sz w:val="32"/>
          <w:szCs w:val="32"/>
        </w:rPr>
        <w:t>。</w:t>
      </w:r>
      <w:r>
        <w:rPr>
          <w:rFonts w:ascii="仿宋_GB2312" w:eastAsia="仿宋_GB2312" w:hAnsi="宋体" w:hint="eastAsia"/>
          <w:sz w:val="32"/>
          <w:szCs w:val="32"/>
        </w:rPr>
        <w:t>能量</w:t>
      </w:r>
      <w:r w:rsidRPr="006D1880">
        <w:rPr>
          <w:rFonts w:ascii="仿宋_GB2312" w:eastAsia="仿宋_GB2312" w:hAnsi="宋体" w:hint="eastAsia"/>
          <w:sz w:val="32"/>
          <w:szCs w:val="32"/>
        </w:rPr>
        <w:t>精度</w:t>
      </w:r>
      <w:r>
        <w:rPr>
          <w:rFonts w:ascii="仿宋" w:eastAsia="仿宋" w:hAnsi="仿宋" w:hint="eastAsia"/>
          <w:sz w:val="32"/>
          <w:szCs w:val="32"/>
        </w:rPr>
        <w:t>达标率是指能量精度达标的检测次</w:t>
      </w:r>
      <w:r w:rsidRPr="00530BC8">
        <w:rPr>
          <w:rFonts w:ascii="仿宋" w:eastAsia="仿宋" w:hAnsi="仿宋" w:hint="eastAsia"/>
          <w:sz w:val="32"/>
          <w:szCs w:val="32"/>
        </w:rPr>
        <w:t>数占</w:t>
      </w:r>
      <w:r>
        <w:rPr>
          <w:rFonts w:ascii="仿宋" w:eastAsia="仿宋" w:hAnsi="仿宋" w:hint="eastAsia"/>
          <w:sz w:val="32"/>
          <w:szCs w:val="32"/>
        </w:rPr>
        <w:t>同期能量精度检测总次数</w:t>
      </w:r>
      <w:r w:rsidRPr="00530BC8">
        <w:rPr>
          <w:rFonts w:ascii="仿宋" w:eastAsia="仿宋" w:hAnsi="仿宋" w:hint="eastAsia"/>
          <w:sz w:val="32"/>
          <w:szCs w:val="32"/>
        </w:rPr>
        <w:t>的比例。</w:t>
      </w:r>
    </w:p>
    <w:p w:rsidR="004D3D0B" w:rsidRPr="000F0154" w:rsidRDefault="004D3D0B" w:rsidP="004D3D0B">
      <w:pPr>
        <w:adjustRightInd w:val="0"/>
        <w:snapToGrid w:val="0"/>
        <w:spacing w:line="360" w:lineRule="auto"/>
        <w:ind w:firstLineChars="200" w:firstLine="643"/>
        <w:rPr>
          <w:rFonts w:ascii="仿宋" w:eastAsia="仿宋" w:hAnsi="仿宋"/>
          <w:b/>
          <w:sz w:val="32"/>
          <w:szCs w:val="32"/>
        </w:rPr>
      </w:pPr>
      <w:r w:rsidRPr="000F0154">
        <w:rPr>
          <w:rFonts w:ascii="仿宋" w:eastAsia="仿宋" w:hAnsi="仿宋"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能量精度达标率</w:t>
      </w:r>
      <m:oMath>
        <m:r>
          <m:rPr>
            <m:sty m:val="p"/>
          </m:rPr>
          <w:rPr>
            <w:rFonts w:ascii="Cambria Math" w:eastAsia="仿宋_GB2312" w:hAnsi="Cambria Math" w:cs="Cambria Math"/>
            <w:sz w:val="24"/>
            <w:szCs w:val="28"/>
          </w:rPr>
          <m:t>=</m:t>
        </m:r>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能量精度达标的检测次</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sz w:val="24"/>
                <w:szCs w:val="28"/>
              </w:rPr>
              <m:t>同期能量精度检测总次数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Default="004D3D0B" w:rsidP="004D3D0B">
      <w:pPr>
        <w:adjustRightInd w:val="0"/>
        <w:snapToGrid w:val="0"/>
        <w:spacing w:line="360" w:lineRule="auto"/>
        <w:ind w:firstLineChars="200" w:firstLine="643"/>
        <w:rPr>
          <w:rFonts w:ascii="仿宋" w:eastAsia="仿宋" w:hAnsi="仿宋"/>
          <w:sz w:val="32"/>
          <w:szCs w:val="32"/>
        </w:rPr>
      </w:pPr>
      <w:r w:rsidRPr="000F0154">
        <w:rPr>
          <w:rFonts w:ascii="仿宋" w:eastAsia="仿宋" w:hAnsi="仿宋" w:hint="eastAsia"/>
          <w:b/>
          <w:sz w:val="32"/>
          <w:szCs w:val="32"/>
        </w:rPr>
        <w:t>意义：</w:t>
      </w:r>
      <w:r>
        <w:rPr>
          <w:rFonts w:ascii="仿宋_GB2312" w:eastAsia="仿宋_GB2312" w:hAnsi="宋体" w:hint="eastAsia"/>
          <w:sz w:val="32"/>
          <w:szCs w:val="32"/>
        </w:rPr>
        <w:t>能量</w:t>
      </w:r>
      <w:r w:rsidRPr="006D1880">
        <w:rPr>
          <w:rFonts w:ascii="仿宋_GB2312" w:eastAsia="仿宋_GB2312" w:hAnsi="宋体" w:hint="eastAsia"/>
          <w:sz w:val="32"/>
          <w:szCs w:val="32"/>
        </w:rPr>
        <w:t>精度</w:t>
      </w:r>
      <w:r>
        <w:rPr>
          <w:rFonts w:ascii="仿宋" w:eastAsia="仿宋" w:hAnsi="仿宋" w:hint="eastAsia"/>
          <w:sz w:val="32"/>
          <w:szCs w:val="32"/>
        </w:rPr>
        <w:t>达标</w:t>
      </w:r>
      <w:r w:rsidRPr="00530BC8">
        <w:rPr>
          <w:rFonts w:ascii="仿宋" w:eastAsia="仿宋" w:hAnsi="仿宋" w:hint="eastAsia"/>
          <w:sz w:val="32"/>
          <w:szCs w:val="32"/>
        </w:rPr>
        <w:t>是保证</w:t>
      </w:r>
      <w:r>
        <w:rPr>
          <w:rFonts w:ascii="仿宋" w:eastAsia="仿宋" w:hAnsi="仿宋" w:hint="eastAsia"/>
          <w:sz w:val="32"/>
          <w:szCs w:val="32"/>
        </w:rPr>
        <w:t>质子或重离子加速器治疗</w:t>
      </w:r>
      <w:r w:rsidRPr="00530BC8">
        <w:rPr>
          <w:rFonts w:ascii="仿宋" w:eastAsia="仿宋" w:hAnsi="仿宋" w:hint="eastAsia"/>
          <w:sz w:val="32"/>
          <w:szCs w:val="32"/>
        </w:rPr>
        <w:t>质量的最基本条件</w:t>
      </w:r>
      <w:r>
        <w:rPr>
          <w:rFonts w:ascii="仿宋" w:eastAsia="仿宋" w:hAnsi="仿宋" w:hint="eastAsia"/>
          <w:sz w:val="32"/>
          <w:szCs w:val="32"/>
        </w:rPr>
        <w:t>之一</w:t>
      </w:r>
      <w:r w:rsidRPr="00530BC8">
        <w:rPr>
          <w:rFonts w:ascii="仿宋" w:eastAsia="仿宋" w:hAnsi="仿宋" w:hint="eastAsia"/>
          <w:sz w:val="32"/>
          <w:szCs w:val="32"/>
        </w:rPr>
        <w:t>。</w:t>
      </w:r>
      <w:r>
        <w:rPr>
          <w:rFonts w:ascii="仿宋_GB2312" w:eastAsia="仿宋_GB2312" w:hAnsi="宋体" w:hint="eastAsia"/>
          <w:sz w:val="32"/>
          <w:szCs w:val="32"/>
        </w:rPr>
        <w:t>能量</w:t>
      </w:r>
      <w:r w:rsidRPr="006D1880">
        <w:rPr>
          <w:rFonts w:ascii="仿宋_GB2312" w:eastAsia="仿宋_GB2312" w:hAnsi="宋体" w:hint="eastAsia"/>
          <w:sz w:val="32"/>
          <w:szCs w:val="32"/>
        </w:rPr>
        <w:t>精度</w:t>
      </w:r>
      <w:r w:rsidRPr="00530BC8">
        <w:rPr>
          <w:rFonts w:ascii="仿宋" w:eastAsia="仿宋" w:hAnsi="仿宋" w:hint="eastAsia"/>
          <w:sz w:val="32"/>
          <w:szCs w:val="32"/>
        </w:rPr>
        <w:t>达标率反映</w:t>
      </w:r>
      <w:r>
        <w:rPr>
          <w:rFonts w:ascii="仿宋" w:eastAsia="仿宋" w:hAnsi="仿宋" w:hint="eastAsia"/>
          <w:sz w:val="32"/>
          <w:szCs w:val="32"/>
        </w:rPr>
        <w:t>质子或重离子加速器能量的稳定性</w:t>
      </w:r>
      <w:r w:rsidRPr="00530BC8">
        <w:rPr>
          <w:rFonts w:ascii="仿宋" w:eastAsia="仿宋" w:hAnsi="仿宋" w:hint="eastAsia"/>
          <w:sz w:val="32"/>
          <w:szCs w:val="32"/>
        </w:rPr>
        <w:t>。</w:t>
      </w:r>
    </w:p>
    <w:p w:rsidR="004D3D0B" w:rsidRPr="00530BC8" w:rsidRDefault="004D3D0B" w:rsidP="004D3D0B">
      <w:pPr>
        <w:adjustRightInd w:val="0"/>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十四、放疗计划三维验证</w:t>
      </w:r>
      <w:r w:rsidRPr="00530BC8">
        <w:rPr>
          <w:rFonts w:ascii="黑体" w:eastAsia="黑体" w:hAnsi="黑体" w:hint="eastAsia"/>
          <w:sz w:val="32"/>
          <w:szCs w:val="32"/>
        </w:rPr>
        <w:t>达标率</w:t>
      </w:r>
    </w:p>
    <w:p w:rsidR="004D3D0B" w:rsidRPr="00530BC8" w:rsidRDefault="004D3D0B" w:rsidP="004D3D0B">
      <w:pPr>
        <w:adjustRightInd w:val="0"/>
        <w:snapToGrid w:val="0"/>
        <w:spacing w:line="360" w:lineRule="auto"/>
        <w:ind w:firstLineChars="200" w:firstLine="643"/>
        <w:rPr>
          <w:rFonts w:ascii="仿宋" w:eastAsia="仿宋" w:hAnsi="仿宋"/>
          <w:sz w:val="32"/>
          <w:szCs w:val="32"/>
        </w:rPr>
      </w:pPr>
      <w:r w:rsidRPr="006426B8">
        <w:rPr>
          <w:rFonts w:ascii="仿宋" w:eastAsia="仿宋" w:hAnsi="仿宋" w:hint="eastAsia"/>
          <w:b/>
          <w:sz w:val="32"/>
          <w:szCs w:val="32"/>
        </w:rPr>
        <w:t>定义：</w:t>
      </w:r>
      <w:r>
        <w:rPr>
          <w:rFonts w:ascii="仿宋_GB2312" w:eastAsia="仿宋_GB2312" w:hAnsi="宋体" w:hint="eastAsia"/>
          <w:sz w:val="32"/>
          <w:szCs w:val="32"/>
        </w:rPr>
        <w:t>放疗计划三维验证</w:t>
      </w:r>
      <w:r>
        <w:rPr>
          <w:rFonts w:ascii="仿宋" w:eastAsia="仿宋" w:hAnsi="仿宋" w:hint="eastAsia"/>
          <w:sz w:val="32"/>
          <w:szCs w:val="32"/>
        </w:rPr>
        <w:t>达标是指</w:t>
      </w:r>
      <w:r>
        <w:rPr>
          <w:rFonts w:ascii="仿宋_GB2312" w:eastAsia="仿宋_GB2312" w:hAnsi="仿宋_GB2312" w:cs="仿宋_GB2312" w:hint="eastAsia"/>
          <w:sz w:val="32"/>
          <w:szCs w:val="32"/>
        </w:rPr>
        <w:t>质子或重离子放射治</w:t>
      </w:r>
      <w:r>
        <w:rPr>
          <w:rFonts w:ascii="仿宋_GB2312" w:eastAsia="仿宋_GB2312" w:hAnsi="仿宋_GB2312" w:cs="仿宋_GB2312" w:hint="eastAsia"/>
          <w:sz w:val="32"/>
          <w:szCs w:val="32"/>
        </w:rPr>
        <w:lastRenderedPageBreak/>
        <w:t>疗计划实施照射的三维剂量分布通过标准值。</w:t>
      </w:r>
      <w:r>
        <w:rPr>
          <w:rFonts w:ascii="仿宋_GB2312" w:eastAsia="仿宋_GB2312" w:hAnsi="宋体" w:hint="eastAsia"/>
          <w:sz w:val="32"/>
          <w:szCs w:val="32"/>
        </w:rPr>
        <w:t>放疗计划三维验证</w:t>
      </w:r>
      <w:r>
        <w:rPr>
          <w:rFonts w:ascii="仿宋" w:eastAsia="仿宋" w:hAnsi="仿宋" w:hint="eastAsia"/>
          <w:sz w:val="32"/>
          <w:szCs w:val="32"/>
        </w:rPr>
        <w:t>达标率是指达标</w:t>
      </w:r>
      <w:r w:rsidRPr="00530BC8">
        <w:rPr>
          <w:rFonts w:ascii="仿宋" w:eastAsia="仿宋" w:hAnsi="仿宋" w:hint="eastAsia"/>
          <w:sz w:val="32"/>
          <w:szCs w:val="32"/>
        </w:rPr>
        <w:t>的</w:t>
      </w:r>
      <w:r>
        <w:rPr>
          <w:rFonts w:ascii="仿宋" w:eastAsia="仿宋" w:hAnsi="仿宋" w:hint="eastAsia"/>
          <w:sz w:val="32"/>
          <w:szCs w:val="32"/>
        </w:rPr>
        <w:t>放疗计划三维验证</w:t>
      </w:r>
      <w:r w:rsidRPr="00530BC8">
        <w:rPr>
          <w:rFonts w:ascii="仿宋" w:eastAsia="仿宋" w:hAnsi="仿宋" w:hint="eastAsia"/>
          <w:sz w:val="32"/>
          <w:szCs w:val="32"/>
        </w:rPr>
        <w:t>数占</w:t>
      </w:r>
      <w:r>
        <w:rPr>
          <w:rFonts w:ascii="仿宋" w:eastAsia="仿宋" w:hAnsi="仿宋" w:hint="eastAsia"/>
          <w:sz w:val="32"/>
          <w:szCs w:val="32"/>
        </w:rPr>
        <w:t>同期放疗计划三维验证总数</w:t>
      </w:r>
      <w:r w:rsidRPr="00530BC8">
        <w:rPr>
          <w:rFonts w:ascii="仿宋" w:eastAsia="仿宋" w:hAnsi="仿宋" w:hint="eastAsia"/>
          <w:sz w:val="32"/>
          <w:szCs w:val="32"/>
        </w:rPr>
        <w:t>的比例。</w:t>
      </w:r>
    </w:p>
    <w:p w:rsidR="004D3D0B" w:rsidRPr="000F0154" w:rsidRDefault="004D3D0B" w:rsidP="004D3D0B">
      <w:pPr>
        <w:adjustRightInd w:val="0"/>
        <w:snapToGrid w:val="0"/>
        <w:spacing w:line="360" w:lineRule="auto"/>
        <w:ind w:firstLineChars="200" w:firstLine="643"/>
        <w:rPr>
          <w:rFonts w:ascii="仿宋" w:eastAsia="仿宋" w:hAnsi="仿宋"/>
          <w:b/>
          <w:sz w:val="32"/>
          <w:szCs w:val="32"/>
        </w:rPr>
      </w:pPr>
      <w:r w:rsidRPr="000F0154">
        <w:rPr>
          <w:rFonts w:ascii="仿宋" w:eastAsia="仿宋" w:hAnsi="仿宋" w:hint="eastAsia"/>
          <w:b/>
          <w:sz w:val="32"/>
          <w:szCs w:val="32"/>
        </w:rPr>
        <w:t>计算公式：</w:t>
      </w:r>
    </w:p>
    <w:p w:rsidR="004D3D0B" w:rsidRDefault="004D3D0B" w:rsidP="004D3D0B">
      <w:pPr>
        <w:adjustRightInd w:val="0"/>
        <w:snapToGrid w:val="0"/>
        <w:spacing w:line="360" w:lineRule="auto"/>
        <w:ind w:firstLineChars="200" w:firstLine="480"/>
        <w:rPr>
          <w:rFonts w:ascii="仿宋" w:eastAsia="仿宋" w:hAnsi="仿宋"/>
          <w:sz w:val="28"/>
          <w:szCs w:val="28"/>
        </w:rPr>
      </w:pPr>
      <w:r w:rsidRPr="004D0D74">
        <w:rPr>
          <w:rFonts w:ascii="Cambria Math" w:eastAsia="仿宋_GB2312" w:hAnsi="Cambria Math" w:cs="Times New Roman" w:hint="eastAsia"/>
          <w:sz w:val="24"/>
          <w:szCs w:val="28"/>
        </w:rPr>
        <w:t>放疗计划三维验证达标率</w:t>
      </w:r>
      <m:oMath>
        <m:r>
          <m:rPr>
            <m:sty m:val="p"/>
          </m:rPr>
          <w:rPr>
            <w:rFonts w:ascii="Cambria Math" w:eastAsia="仿宋_GB2312" w:hAnsi="Cambria Math" w:cs="Cambria Math"/>
            <w:sz w:val="24"/>
            <w:szCs w:val="28"/>
          </w:rPr>
          <m:t>=</m:t>
        </m:r>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达标</m:t>
            </m:r>
            <m:r>
              <m:rPr>
                <m:sty m:val="p"/>
              </m:rPr>
              <w:rPr>
                <w:rFonts w:ascii="Cambria Math" w:eastAsia="仿宋_GB2312" w:hAnsi="Cambria Math" w:cs="Times New Roman" w:hint="eastAsia"/>
                <w:sz w:val="24"/>
                <w:szCs w:val="28"/>
              </w:rPr>
              <m:t>的</m:t>
            </m:r>
            <m:r>
              <m:rPr>
                <m:sty m:val="p"/>
              </m:rPr>
              <w:rPr>
                <w:rFonts w:ascii="Cambria Math" w:eastAsia="仿宋_GB2312" w:hAnsi="Cambria Math" w:cs="Times New Roman"/>
                <w:sz w:val="24"/>
                <w:szCs w:val="28"/>
              </w:rPr>
              <m:t>放疗计划三维验证</m:t>
            </m:r>
            <m:r>
              <m:rPr>
                <m:sty m:val="p"/>
              </m:rPr>
              <w:rPr>
                <w:rFonts w:ascii="Cambria Math" w:eastAsia="仿宋_GB2312" w:hAnsi="Cambria Math" w:cs="Times New Roman" w:hint="eastAsia"/>
                <w:sz w:val="24"/>
                <w:szCs w:val="28"/>
              </w:rPr>
              <m:t>数</m:t>
            </m:r>
          </m:num>
          <m:den>
            <m:r>
              <m:rPr>
                <m:sty m:val="p"/>
              </m:rPr>
              <w:rPr>
                <w:rFonts w:ascii="Cambria Math" w:eastAsia="仿宋_GB2312" w:hAnsi="Cambria Math" w:cs="Times New Roman"/>
                <w:sz w:val="24"/>
                <w:szCs w:val="28"/>
              </w:rPr>
              <m:t>同期放疗计划三维验证总数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r>
        <w:rPr>
          <w:rFonts w:ascii="仿宋" w:eastAsia="仿宋" w:hAnsi="仿宋"/>
          <w:sz w:val="28"/>
          <w:szCs w:val="28"/>
        </w:rPr>
        <w:tab/>
      </w:r>
    </w:p>
    <w:p w:rsidR="004D3D0B" w:rsidRPr="00530BC8" w:rsidRDefault="004D3D0B" w:rsidP="004D3D0B">
      <w:pPr>
        <w:adjustRightInd w:val="0"/>
        <w:snapToGrid w:val="0"/>
        <w:spacing w:line="360" w:lineRule="auto"/>
        <w:ind w:firstLineChars="200" w:firstLine="643"/>
        <w:rPr>
          <w:rFonts w:ascii="仿宋" w:eastAsia="仿宋" w:hAnsi="仿宋"/>
          <w:sz w:val="32"/>
          <w:szCs w:val="32"/>
        </w:rPr>
      </w:pPr>
      <w:r w:rsidRPr="000F0154">
        <w:rPr>
          <w:rFonts w:ascii="仿宋" w:eastAsia="仿宋" w:hAnsi="仿宋" w:hint="eastAsia"/>
          <w:b/>
          <w:sz w:val="32"/>
          <w:szCs w:val="32"/>
        </w:rPr>
        <w:t>意义：</w:t>
      </w:r>
      <w:r w:rsidRPr="00530BC8">
        <w:rPr>
          <w:rFonts w:ascii="仿宋" w:eastAsia="仿宋" w:hAnsi="仿宋" w:hint="eastAsia"/>
          <w:sz w:val="32"/>
          <w:szCs w:val="32"/>
        </w:rPr>
        <w:t>反映</w:t>
      </w:r>
      <w:r>
        <w:rPr>
          <w:rFonts w:ascii="仿宋" w:eastAsia="仿宋" w:hAnsi="仿宋" w:hint="eastAsia"/>
          <w:sz w:val="32"/>
          <w:szCs w:val="32"/>
        </w:rPr>
        <w:t>质子或重离子放射治疗剂量分布的准确性</w:t>
      </w:r>
      <w:r w:rsidRPr="00530BC8">
        <w:rPr>
          <w:rFonts w:ascii="仿宋" w:eastAsia="仿宋" w:hAnsi="仿宋" w:hint="eastAsia"/>
          <w:sz w:val="32"/>
          <w:szCs w:val="32"/>
        </w:rPr>
        <w:t>。</w:t>
      </w:r>
    </w:p>
    <w:p w:rsidR="004D3D0B" w:rsidRPr="00B26A86" w:rsidRDefault="004D3D0B" w:rsidP="004D3D0B">
      <w:pPr>
        <w:pStyle w:val="a6"/>
        <w:spacing w:before="0" w:beforeAutospacing="0" w:after="0" w:afterAutospacing="0" w:line="360" w:lineRule="auto"/>
        <w:ind w:firstLineChars="200" w:firstLine="640"/>
        <w:jc w:val="both"/>
        <w:rPr>
          <w:rFonts w:ascii="黑体" w:eastAsia="黑体" w:hAnsi="黑体" w:cs="Times New Roman"/>
          <w:sz w:val="32"/>
          <w:szCs w:val="32"/>
        </w:rPr>
      </w:pPr>
      <w:r>
        <w:rPr>
          <w:rFonts w:ascii="黑体" w:eastAsia="黑体" w:hAnsi="黑体" w:cs="Times New Roman" w:hint="eastAsia"/>
          <w:sz w:val="32"/>
          <w:szCs w:val="32"/>
        </w:rPr>
        <w:t>十五、设备开机</w:t>
      </w:r>
      <w:r w:rsidRPr="00B26A86">
        <w:rPr>
          <w:rFonts w:ascii="黑体" w:eastAsia="黑体" w:hAnsi="黑体" w:cs="Times New Roman" w:hint="eastAsia"/>
          <w:sz w:val="32"/>
          <w:szCs w:val="32"/>
        </w:rPr>
        <w:t>率</w:t>
      </w:r>
      <w:r w:rsidR="0007127D">
        <w:rPr>
          <w:rFonts w:ascii="黑体" w:eastAsia="黑体" w:hAnsi="黑体" w:cs="Times New Roman" w:hint="eastAsia"/>
          <w:sz w:val="32"/>
          <w:szCs w:val="32"/>
        </w:rPr>
        <w:t>（半年、</w:t>
      </w:r>
      <w:r w:rsidR="008E5261">
        <w:rPr>
          <w:rFonts w:ascii="黑体" w:eastAsia="黑体" w:hAnsi="黑体" w:cs="Times New Roman" w:hint="eastAsia"/>
          <w:sz w:val="32"/>
          <w:szCs w:val="32"/>
        </w:rPr>
        <w:t>1</w:t>
      </w:r>
      <w:r w:rsidR="0007127D">
        <w:rPr>
          <w:rFonts w:ascii="黑体" w:eastAsia="黑体" w:hAnsi="黑体" w:cs="Times New Roman" w:hint="eastAsia"/>
          <w:sz w:val="32"/>
          <w:szCs w:val="32"/>
        </w:rPr>
        <w:t>年）</w:t>
      </w:r>
    </w:p>
    <w:p w:rsidR="004D3D0B" w:rsidRPr="00395A05" w:rsidRDefault="004D3D0B" w:rsidP="004D3D0B">
      <w:pPr>
        <w:pStyle w:val="a6"/>
        <w:spacing w:before="0" w:beforeAutospacing="0" w:after="0" w:afterAutospacing="0" w:line="360" w:lineRule="auto"/>
        <w:ind w:firstLineChars="200" w:firstLine="643"/>
        <w:jc w:val="both"/>
        <w:rPr>
          <w:rFonts w:ascii="仿宋_GB2312" w:eastAsia="仿宋_GB2312" w:hAnsiTheme="minorEastAsia" w:cs="Times New Roman"/>
          <w:sz w:val="32"/>
          <w:szCs w:val="32"/>
        </w:rPr>
      </w:pPr>
      <w:r w:rsidRPr="00B77588">
        <w:rPr>
          <w:rFonts w:ascii="仿宋_GB2312" w:eastAsia="仿宋_GB2312" w:hAnsiTheme="minorEastAsia" w:cs="Times New Roman" w:hint="eastAsia"/>
          <w:b/>
          <w:sz w:val="32"/>
          <w:szCs w:val="32"/>
        </w:rPr>
        <w:t>定义：</w:t>
      </w:r>
      <w:r>
        <w:rPr>
          <w:rFonts w:ascii="仿宋_GB2312" w:eastAsia="仿宋_GB2312" w:hAnsi="仿宋_GB2312" w:cs="仿宋_GB2312" w:hint="eastAsia"/>
          <w:sz w:val="32"/>
          <w:szCs w:val="32"/>
        </w:rPr>
        <w:t>质子或重离子加速器一定时间</w:t>
      </w:r>
      <w:r w:rsidR="0007127D" w:rsidRPr="0007127D">
        <w:rPr>
          <w:rFonts w:ascii="仿宋_GB2312" w:eastAsia="仿宋_GB2312" w:hAnsi="仿宋_GB2312" w:cs="仿宋_GB2312" w:hint="eastAsia"/>
          <w:sz w:val="32"/>
          <w:szCs w:val="32"/>
        </w:rPr>
        <w:t>（半年、</w:t>
      </w:r>
      <w:r w:rsidR="008E5261">
        <w:rPr>
          <w:rFonts w:ascii="仿宋_GB2312" w:eastAsia="仿宋_GB2312" w:hAnsi="仿宋_GB2312" w:cs="仿宋_GB2312" w:hint="eastAsia"/>
          <w:sz w:val="32"/>
          <w:szCs w:val="32"/>
        </w:rPr>
        <w:t>1</w:t>
      </w:r>
      <w:r w:rsidR="0007127D" w:rsidRPr="0007127D">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内正常工作的天数占同期法定工作天数的比例</w:t>
      </w:r>
      <w:r w:rsidRPr="00395A05">
        <w:rPr>
          <w:rFonts w:ascii="仿宋_GB2312" w:eastAsia="仿宋_GB2312" w:hAnsiTheme="minorEastAsia" w:cs="Times New Roman" w:hint="eastAsia"/>
          <w:sz w:val="32"/>
          <w:szCs w:val="32"/>
        </w:rPr>
        <w:t>。</w:t>
      </w:r>
    </w:p>
    <w:p w:rsidR="004D3D0B" w:rsidRPr="00B77588" w:rsidRDefault="004D3D0B" w:rsidP="004D3D0B">
      <w:pPr>
        <w:pStyle w:val="a6"/>
        <w:spacing w:before="0" w:beforeAutospacing="0" w:after="0" w:afterAutospacing="0" w:line="360" w:lineRule="auto"/>
        <w:ind w:firstLineChars="200" w:firstLine="643"/>
        <w:jc w:val="both"/>
        <w:rPr>
          <w:rFonts w:ascii="仿宋_GB2312" w:eastAsia="仿宋_GB2312" w:hAnsiTheme="minorEastAsia" w:cs="Times New Roman"/>
          <w:b/>
          <w:sz w:val="32"/>
          <w:szCs w:val="32"/>
        </w:rPr>
      </w:pPr>
      <w:r w:rsidRPr="00B77588">
        <w:rPr>
          <w:rFonts w:ascii="仿宋_GB2312" w:eastAsia="仿宋_GB2312" w:hAnsiTheme="minorEastAsia" w:cs="Times New Roman" w:hint="eastAsia"/>
          <w:b/>
          <w:sz w:val="32"/>
          <w:szCs w:val="32"/>
        </w:rPr>
        <w:t>计算公式：</w:t>
      </w:r>
    </w:p>
    <w:p w:rsidR="004D3D0B" w:rsidRPr="004D0D74" w:rsidRDefault="004D3D0B" w:rsidP="004D3D0B">
      <w:pPr>
        <w:adjustRightInd w:val="0"/>
        <w:snapToGrid w:val="0"/>
        <w:spacing w:line="360" w:lineRule="auto"/>
        <w:ind w:firstLineChars="200" w:firstLine="480"/>
        <w:rPr>
          <w:rFonts w:ascii="Cambria Math" w:eastAsia="仿宋_GB2312" w:hAnsi="Cambria Math" w:cs="Times New Roman"/>
          <w:sz w:val="24"/>
          <w:szCs w:val="28"/>
        </w:rPr>
      </w:pPr>
      <w:r w:rsidRPr="004D0D74">
        <w:rPr>
          <w:rFonts w:ascii="Cambria Math" w:eastAsia="仿宋_GB2312" w:hAnsi="Cambria Math" w:cs="Times New Roman" w:hint="eastAsia"/>
          <w:sz w:val="24"/>
          <w:szCs w:val="28"/>
        </w:rPr>
        <w:t>设备开机率</w:t>
      </w:r>
      <w:r w:rsidRPr="004D0D74">
        <w:rPr>
          <w:rFonts w:ascii="Cambria Math" w:eastAsia="仿宋_GB2312" w:hAnsi="Cambria Math" w:cs="Times New Roman" w:hint="eastAsia"/>
          <w:sz w:val="24"/>
          <w:szCs w:val="28"/>
        </w:rPr>
        <w:t xml:space="preserve">= </w:t>
      </w:r>
      <m:oMath>
        <m:f>
          <m:fPr>
            <m:ctrlPr>
              <w:rPr>
                <w:rFonts w:ascii="Cambria Math" w:eastAsia="仿宋_GB2312" w:hAnsi="Cambria Math" w:cs="Times New Roman"/>
                <w:sz w:val="24"/>
                <w:szCs w:val="28"/>
              </w:rPr>
            </m:ctrlPr>
          </m:fPr>
          <m:num>
            <m:r>
              <m:rPr>
                <m:sty m:val="p"/>
              </m:rPr>
              <w:rPr>
                <w:rFonts w:ascii="Cambria Math" w:eastAsia="仿宋_GB2312" w:hAnsi="Cambria Math" w:cs="Times New Roman"/>
                <w:sz w:val="24"/>
                <w:szCs w:val="28"/>
              </w:rPr>
              <m:t>质子或重离子加速器一定时间内正常工作的天数</m:t>
            </m:r>
          </m:num>
          <m:den>
            <m:r>
              <m:rPr>
                <m:sty m:val="p"/>
              </m:rPr>
              <w:rPr>
                <w:rFonts w:ascii="Cambria Math" w:eastAsia="仿宋_GB2312" w:hAnsi="Cambria Math" w:cs="Times New Roman"/>
                <w:sz w:val="24"/>
                <w:szCs w:val="28"/>
              </w:rPr>
              <m:t>同期法定工作天数</m:t>
            </m:r>
          </m:den>
        </m:f>
      </m:oMath>
      <w:r w:rsidRPr="004D0D74">
        <w:rPr>
          <w:rFonts w:ascii="Cambria Math" w:eastAsia="仿宋_GB2312" w:hAnsi="Cambria Math" w:cs="Times New Roman" w:hint="eastAsia"/>
          <w:sz w:val="24"/>
          <w:szCs w:val="28"/>
        </w:rPr>
        <w:t>×</w:t>
      </w:r>
      <w:r w:rsidRPr="004D0D74">
        <w:rPr>
          <w:rFonts w:ascii="Cambria Math" w:eastAsia="仿宋_GB2312" w:hAnsi="Cambria Math" w:cs="Times New Roman" w:hint="eastAsia"/>
          <w:sz w:val="24"/>
          <w:szCs w:val="28"/>
        </w:rPr>
        <w:t>100%</w:t>
      </w:r>
    </w:p>
    <w:p w:rsidR="004D3D0B" w:rsidRDefault="004D3D0B" w:rsidP="004D3D0B">
      <w:pPr>
        <w:pStyle w:val="a6"/>
        <w:spacing w:before="0" w:beforeAutospacing="0" w:after="0" w:afterAutospacing="0" w:line="360" w:lineRule="auto"/>
        <w:ind w:firstLineChars="200" w:firstLine="643"/>
        <w:jc w:val="both"/>
        <w:rPr>
          <w:rFonts w:ascii="仿宋_GB2312" w:eastAsia="仿宋_GB2312" w:hAnsiTheme="minorEastAsia" w:cs="Times New Roman"/>
          <w:sz w:val="32"/>
          <w:szCs w:val="32"/>
        </w:rPr>
      </w:pPr>
      <w:r w:rsidRPr="00615C0C">
        <w:rPr>
          <w:rFonts w:ascii="仿宋_GB2312" w:eastAsia="仿宋_GB2312" w:hAnsiTheme="minorEastAsia" w:cs="Times New Roman" w:hint="eastAsia"/>
          <w:b/>
          <w:sz w:val="32"/>
          <w:szCs w:val="32"/>
        </w:rPr>
        <w:t>意义：</w:t>
      </w:r>
      <w:r w:rsidRPr="00395A05">
        <w:rPr>
          <w:rFonts w:ascii="仿宋_GB2312" w:eastAsia="仿宋_GB2312" w:hAnsiTheme="minorEastAsia" w:cs="Times New Roman" w:hint="eastAsia"/>
          <w:sz w:val="32"/>
          <w:szCs w:val="32"/>
        </w:rPr>
        <w:t>反映医疗机构</w:t>
      </w:r>
      <w:r>
        <w:rPr>
          <w:rFonts w:ascii="仿宋_GB2312" w:eastAsia="仿宋_GB2312" w:hAnsi="仿宋_GB2312" w:cs="仿宋_GB2312" w:hint="eastAsia"/>
          <w:sz w:val="32"/>
          <w:szCs w:val="32"/>
        </w:rPr>
        <w:t>质子或重离子加速器</w:t>
      </w:r>
      <w:r w:rsidRPr="00395A05">
        <w:rPr>
          <w:rFonts w:ascii="仿宋_GB2312" w:eastAsia="仿宋_GB2312" w:hAnsiTheme="minorEastAsia" w:cs="Times New Roman" w:hint="eastAsia"/>
          <w:sz w:val="32"/>
          <w:szCs w:val="32"/>
        </w:rPr>
        <w:t>有效使用情况的重要指标之一。</w:t>
      </w:r>
    </w:p>
    <w:p w:rsidR="004D3D0B" w:rsidRPr="00E927E9" w:rsidRDefault="004D3D0B" w:rsidP="004D3D0B">
      <w:pPr>
        <w:pStyle w:val="a6"/>
        <w:spacing w:before="0" w:beforeAutospacing="0" w:after="0" w:afterAutospacing="0" w:line="360" w:lineRule="auto"/>
        <w:ind w:firstLineChars="200" w:firstLine="562"/>
        <w:jc w:val="both"/>
        <w:rPr>
          <w:rFonts w:ascii="仿宋_GB2312" w:eastAsia="仿宋_GB2312" w:hAnsiTheme="minorEastAsia" w:cs="Times New Roman"/>
          <w:sz w:val="28"/>
          <w:szCs w:val="28"/>
        </w:rPr>
      </w:pPr>
      <w:r w:rsidRPr="00E927E9">
        <w:rPr>
          <w:rFonts w:ascii="仿宋_GB2312" w:eastAsia="仿宋_GB2312" w:hAnsiTheme="minorEastAsia" w:cs="Times New Roman" w:hint="eastAsia"/>
          <w:b/>
          <w:sz w:val="28"/>
          <w:szCs w:val="28"/>
        </w:rPr>
        <w:t>注：</w:t>
      </w:r>
      <w:r w:rsidRPr="00E927E9">
        <w:rPr>
          <w:rFonts w:ascii="仿宋_GB2312" w:eastAsia="仿宋_GB2312" w:hint="eastAsia"/>
          <w:sz w:val="28"/>
          <w:szCs w:val="28"/>
        </w:rPr>
        <w:t>IGRT（</w:t>
      </w:r>
      <w:r w:rsidRPr="00E927E9">
        <w:rPr>
          <w:rFonts w:ascii="仿宋_GB2312" w:eastAsia="仿宋_GB2312"/>
          <w:sz w:val="28"/>
          <w:szCs w:val="28"/>
        </w:rPr>
        <w:t>image guide radiation therapy</w:t>
      </w:r>
      <w:r w:rsidRPr="00E927E9">
        <w:rPr>
          <w:rFonts w:ascii="仿宋_GB2312" w:eastAsia="仿宋_GB2312" w:hint="eastAsia"/>
          <w:sz w:val="28"/>
          <w:szCs w:val="28"/>
        </w:rPr>
        <w:t>）影像引导放射治疗，是指采用二维或三维影像技术进行靶区三维空间定位，在三维放疗技术的基础上加入了时间因数的概念，充分考虑了解剖组织在治疗过程中的运动和分次治疗间的位移误差。</w:t>
      </w:r>
    </w:p>
    <w:p w:rsidR="004D3D0B" w:rsidRDefault="004D3D0B" w:rsidP="004D3D0B">
      <w:pPr>
        <w:pStyle w:val="a6"/>
        <w:spacing w:before="0" w:beforeAutospacing="0" w:after="0" w:afterAutospacing="0" w:line="360" w:lineRule="auto"/>
        <w:ind w:firstLineChars="200" w:firstLine="640"/>
        <w:jc w:val="both"/>
        <w:rPr>
          <w:rFonts w:ascii="仿宋_GB2312" w:eastAsia="仿宋_GB2312" w:hAnsiTheme="minorEastAsia" w:cs="Times New Roman"/>
          <w:sz w:val="32"/>
          <w:szCs w:val="32"/>
        </w:rPr>
      </w:pPr>
    </w:p>
    <w:p w:rsidR="003A05F9" w:rsidRPr="008E5261" w:rsidRDefault="003A05F9" w:rsidP="008E5261">
      <w:pPr>
        <w:widowControl/>
        <w:jc w:val="left"/>
        <w:rPr>
          <w:rFonts w:ascii="仿宋_GB2312" w:eastAsia="仿宋_GB2312" w:hAnsiTheme="minorEastAsia" w:cs="Times New Roman"/>
          <w:kern w:val="0"/>
          <w:sz w:val="32"/>
          <w:szCs w:val="32"/>
        </w:rPr>
      </w:pPr>
    </w:p>
    <w:sectPr w:rsidR="003A05F9" w:rsidRPr="008E5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76" w:rsidRDefault="00B54776" w:rsidP="004D3D0B">
      <w:r>
        <w:separator/>
      </w:r>
    </w:p>
  </w:endnote>
  <w:endnote w:type="continuationSeparator" w:id="0">
    <w:p w:rsidR="00B54776" w:rsidRDefault="00B54776" w:rsidP="004D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76" w:rsidRDefault="00B54776" w:rsidP="004D3D0B">
      <w:r>
        <w:separator/>
      </w:r>
    </w:p>
  </w:footnote>
  <w:footnote w:type="continuationSeparator" w:id="0">
    <w:p w:rsidR="00B54776" w:rsidRDefault="00B54776" w:rsidP="004D3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457"/>
    <w:rsid w:val="00030F70"/>
    <w:rsid w:val="00033AD2"/>
    <w:rsid w:val="0007127D"/>
    <w:rsid w:val="000B31A5"/>
    <w:rsid w:val="000E1540"/>
    <w:rsid w:val="001643BB"/>
    <w:rsid w:val="0017117B"/>
    <w:rsid w:val="00196F8E"/>
    <w:rsid w:val="001B6E6E"/>
    <w:rsid w:val="00304EF4"/>
    <w:rsid w:val="003677D0"/>
    <w:rsid w:val="003A05F9"/>
    <w:rsid w:val="003D5BA7"/>
    <w:rsid w:val="0043588A"/>
    <w:rsid w:val="00497213"/>
    <w:rsid w:val="004D3D0B"/>
    <w:rsid w:val="0050452C"/>
    <w:rsid w:val="005279CB"/>
    <w:rsid w:val="00560B3F"/>
    <w:rsid w:val="00596520"/>
    <w:rsid w:val="00607F71"/>
    <w:rsid w:val="006740C6"/>
    <w:rsid w:val="006D0EDC"/>
    <w:rsid w:val="00710F85"/>
    <w:rsid w:val="00725C6C"/>
    <w:rsid w:val="00735457"/>
    <w:rsid w:val="007F1E4D"/>
    <w:rsid w:val="00852178"/>
    <w:rsid w:val="0087577F"/>
    <w:rsid w:val="00883416"/>
    <w:rsid w:val="008A713B"/>
    <w:rsid w:val="008C62E8"/>
    <w:rsid w:val="008E5261"/>
    <w:rsid w:val="00A42A42"/>
    <w:rsid w:val="00A566ED"/>
    <w:rsid w:val="00A86737"/>
    <w:rsid w:val="00B54776"/>
    <w:rsid w:val="00B63CE8"/>
    <w:rsid w:val="00BA4749"/>
    <w:rsid w:val="00BF7F74"/>
    <w:rsid w:val="00CE4C43"/>
    <w:rsid w:val="00D82963"/>
    <w:rsid w:val="00E4262A"/>
    <w:rsid w:val="00F01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D0B"/>
    <w:rPr>
      <w:sz w:val="18"/>
      <w:szCs w:val="18"/>
    </w:rPr>
  </w:style>
  <w:style w:type="paragraph" w:styleId="a4">
    <w:name w:val="footer"/>
    <w:basedOn w:val="a"/>
    <w:link w:val="Char0"/>
    <w:uiPriority w:val="99"/>
    <w:unhideWhenUsed/>
    <w:rsid w:val="004D3D0B"/>
    <w:pPr>
      <w:tabs>
        <w:tab w:val="center" w:pos="4153"/>
        <w:tab w:val="right" w:pos="8306"/>
      </w:tabs>
      <w:snapToGrid w:val="0"/>
      <w:jc w:val="left"/>
    </w:pPr>
    <w:rPr>
      <w:sz w:val="18"/>
      <w:szCs w:val="18"/>
    </w:rPr>
  </w:style>
  <w:style w:type="character" w:customStyle="1" w:styleId="Char0">
    <w:name w:val="页脚 Char"/>
    <w:basedOn w:val="a0"/>
    <w:link w:val="a4"/>
    <w:uiPriority w:val="99"/>
    <w:rsid w:val="004D3D0B"/>
    <w:rPr>
      <w:sz w:val="18"/>
      <w:szCs w:val="18"/>
    </w:rPr>
  </w:style>
  <w:style w:type="paragraph" w:styleId="a5">
    <w:name w:val="List Paragraph"/>
    <w:basedOn w:val="a"/>
    <w:qFormat/>
    <w:rsid w:val="004D3D0B"/>
    <w:pPr>
      <w:ind w:firstLineChars="200" w:firstLine="420"/>
    </w:pPr>
  </w:style>
  <w:style w:type="paragraph" w:styleId="a6">
    <w:name w:val="Normal (Web)"/>
    <w:basedOn w:val="a"/>
    <w:uiPriority w:val="99"/>
    <w:rsid w:val="004D3D0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D3D0B"/>
    <w:rPr>
      <w:sz w:val="18"/>
      <w:szCs w:val="18"/>
    </w:rPr>
  </w:style>
  <w:style w:type="character" w:customStyle="1" w:styleId="Char1">
    <w:name w:val="批注框文本 Char"/>
    <w:basedOn w:val="a0"/>
    <w:link w:val="a7"/>
    <w:uiPriority w:val="99"/>
    <w:semiHidden/>
    <w:rsid w:val="004D3D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D3D0B"/>
    <w:rPr>
      <w:sz w:val="18"/>
      <w:szCs w:val="18"/>
    </w:rPr>
  </w:style>
  <w:style w:type="paragraph" w:styleId="a4">
    <w:name w:val="footer"/>
    <w:basedOn w:val="a"/>
    <w:link w:val="Char0"/>
    <w:uiPriority w:val="99"/>
    <w:unhideWhenUsed/>
    <w:rsid w:val="004D3D0B"/>
    <w:pPr>
      <w:tabs>
        <w:tab w:val="center" w:pos="4153"/>
        <w:tab w:val="right" w:pos="8306"/>
      </w:tabs>
      <w:snapToGrid w:val="0"/>
      <w:jc w:val="left"/>
    </w:pPr>
    <w:rPr>
      <w:sz w:val="18"/>
      <w:szCs w:val="18"/>
    </w:rPr>
  </w:style>
  <w:style w:type="character" w:customStyle="1" w:styleId="Char0">
    <w:name w:val="页脚 Char"/>
    <w:basedOn w:val="a0"/>
    <w:link w:val="a4"/>
    <w:uiPriority w:val="99"/>
    <w:rsid w:val="004D3D0B"/>
    <w:rPr>
      <w:sz w:val="18"/>
      <w:szCs w:val="18"/>
    </w:rPr>
  </w:style>
  <w:style w:type="paragraph" w:styleId="a5">
    <w:name w:val="List Paragraph"/>
    <w:basedOn w:val="a"/>
    <w:qFormat/>
    <w:rsid w:val="004D3D0B"/>
    <w:pPr>
      <w:ind w:firstLineChars="200" w:firstLine="420"/>
    </w:pPr>
  </w:style>
  <w:style w:type="paragraph" w:styleId="a6">
    <w:name w:val="Normal (Web)"/>
    <w:basedOn w:val="a"/>
    <w:uiPriority w:val="99"/>
    <w:rsid w:val="004D3D0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4D3D0B"/>
    <w:rPr>
      <w:sz w:val="18"/>
      <w:szCs w:val="18"/>
    </w:rPr>
  </w:style>
  <w:style w:type="character" w:customStyle="1" w:styleId="Char1">
    <w:name w:val="批注框文本 Char"/>
    <w:basedOn w:val="a0"/>
    <w:link w:val="a7"/>
    <w:uiPriority w:val="99"/>
    <w:semiHidden/>
    <w:rsid w:val="004D3D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1412</Characters>
  <Application>Microsoft Office Word</Application>
  <DocSecurity>0</DocSecurity>
  <Lines>100</Lines>
  <Paragraphs>61</Paragraphs>
  <ScaleCrop>false</ScaleCrop>
  <Company>中华人民共和国卫生部</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yxc</dc:creator>
  <cp:lastModifiedBy>医政医管局,医疗质量处,马旭东</cp:lastModifiedBy>
  <cp:revision>3</cp:revision>
  <cp:lastPrinted>2015-11-16T00:59:00Z</cp:lastPrinted>
  <dcterms:created xsi:type="dcterms:W3CDTF">2016-09-20T01:58:00Z</dcterms:created>
  <dcterms:modified xsi:type="dcterms:W3CDTF">2017-02-04T01:23:00Z</dcterms:modified>
</cp:coreProperties>
</file>