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47" w:rsidRDefault="007A0578">
      <w:pPr>
        <w:adjustRightInd w:val="0"/>
        <w:snapToGrid w:val="0"/>
        <w:spacing w:line="360" w:lineRule="auto"/>
        <w:rPr>
          <w:rFonts w:ascii="黑体" w:eastAsia="黑体" w:hAnsi="黑体"/>
          <w:sz w:val="28"/>
          <w:szCs w:val="28"/>
        </w:rPr>
      </w:pPr>
      <w:r>
        <w:rPr>
          <w:rFonts w:ascii="黑体" w:eastAsia="黑体" w:hAnsi="黑体" w:hint="eastAsia"/>
          <w:sz w:val="28"/>
          <w:szCs w:val="28"/>
        </w:rPr>
        <w:t>附件</w:t>
      </w:r>
      <w:r w:rsidR="00444434">
        <w:rPr>
          <w:rFonts w:ascii="黑体" w:eastAsia="黑体" w:hAnsi="黑体" w:hint="eastAsia"/>
          <w:sz w:val="28"/>
          <w:szCs w:val="28"/>
        </w:rPr>
        <w:t>10</w:t>
      </w:r>
    </w:p>
    <w:p w:rsidR="00444434" w:rsidRDefault="007A0578">
      <w:pPr>
        <w:jc w:val="center"/>
        <w:rPr>
          <w:rFonts w:ascii="宋体" w:hAnsi="宋体"/>
          <w:b/>
          <w:sz w:val="44"/>
          <w:szCs w:val="44"/>
        </w:rPr>
      </w:pPr>
      <w:r>
        <w:rPr>
          <w:rFonts w:ascii="宋体" w:hAnsi="宋体"/>
          <w:b/>
          <w:sz w:val="44"/>
          <w:szCs w:val="44"/>
        </w:rPr>
        <w:t>同种</w:t>
      </w:r>
      <w:r>
        <w:rPr>
          <w:rFonts w:ascii="宋体" w:hAnsi="宋体" w:hint="eastAsia"/>
          <w:b/>
          <w:sz w:val="44"/>
          <w:szCs w:val="44"/>
        </w:rPr>
        <w:t>异体皮肤</w:t>
      </w:r>
      <w:r>
        <w:rPr>
          <w:rFonts w:ascii="宋体" w:hAnsi="宋体"/>
          <w:b/>
          <w:sz w:val="44"/>
          <w:szCs w:val="44"/>
        </w:rPr>
        <w:t>移植技术</w:t>
      </w:r>
      <w:r w:rsidR="00444434" w:rsidRPr="00444434">
        <w:rPr>
          <w:rFonts w:ascii="宋体" w:hAnsi="宋体" w:hint="eastAsia"/>
          <w:b/>
          <w:sz w:val="44"/>
          <w:szCs w:val="44"/>
        </w:rPr>
        <w:t>临床应用</w:t>
      </w:r>
    </w:p>
    <w:p w:rsidR="00995047" w:rsidRDefault="00444434">
      <w:pPr>
        <w:jc w:val="center"/>
        <w:rPr>
          <w:rFonts w:ascii="宋体" w:hAnsi="宋体"/>
          <w:b/>
          <w:sz w:val="44"/>
          <w:szCs w:val="44"/>
        </w:rPr>
      </w:pPr>
      <w:r w:rsidRPr="00444434">
        <w:rPr>
          <w:rFonts w:ascii="宋体" w:hAnsi="宋体" w:hint="eastAsia"/>
          <w:b/>
          <w:sz w:val="44"/>
          <w:szCs w:val="44"/>
        </w:rPr>
        <w:t>质量控制指标</w:t>
      </w:r>
    </w:p>
    <w:p w:rsidR="00995047" w:rsidRDefault="007A0578">
      <w:pPr>
        <w:spacing w:line="360" w:lineRule="auto"/>
        <w:jc w:val="center"/>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（201</w:t>
      </w:r>
      <w:r w:rsidR="00967817">
        <w:rPr>
          <w:rFonts w:ascii="楷体_GB2312" w:eastAsia="楷体_GB2312" w:hAnsi="宋体" w:cs="宋体" w:hint="eastAsia"/>
          <w:b/>
          <w:color w:val="000000"/>
          <w:kern w:val="0"/>
          <w:sz w:val="32"/>
          <w:szCs w:val="32"/>
        </w:rPr>
        <w:t>7</w:t>
      </w:r>
      <w:bookmarkStart w:id="0" w:name="_GoBack"/>
      <w:bookmarkEnd w:id="0"/>
      <w:r>
        <w:rPr>
          <w:rFonts w:ascii="楷体_GB2312" w:eastAsia="楷体_GB2312" w:hAnsi="宋体" w:cs="宋体" w:hint="eastAsia"/>
          <w:b/>
          <w:color w:val="000000"/>
          <w:kern w:val="0"/>
          <w:sz w:val="32"/>
          <w:szCs w:val="32"/>
        </w:rPr>
        <w:t>年</w:t>
      </w:r>
      <w:r w:rsidR="00304415">
        <w:rPr>
          <w:rFonts w:ascii="楷体_GB2312" w:eastAsia="楷体_GB2312" w:hAnsi="宋体" w:cs="宋体" w:hint="eastAsia"/>
          <w:b/>
          <w:color w:val="000000"/>
          <w:kern w:val="0"/>
          <w:sz w:val="32"/>
          <w:szCs w:val="32"/>
        </w:rPr>
        <w:t>版</w:t>
      </w:r>
      <w:r>
        <w:rPr>
          <w:rFonts w:ascii="楷体_GB2312" w:eastAsia="楷体_GB2312" w:hAnsi="宋体" w:cs="宋体" w:hint="eastAsia"/>
          <w:b/>
          <w:color w:val="000000"/>
          <w:kern w:val="0"/>
          <w:sz w:val="32"/>
          <w:szCs w:val="32"/>
        </w:rPr>
        <w:t>）</w:t>
      </w:r>
    </w:p>
    <w:p w:rsidR="00995047" w:rsidRDefault="00995047">
      <w:pPr>
        <w:adjustRightInd w:val="0"/>
        <w:snapToGrid w:val="0"/>
        <w:jc w:val="center"/>
        <w:rPr>
          <w:rFonts w:ascii="楷体_GB2312" w:eastAsia="楷体_GB2312" w:hAnsi="宋体"/>
          <w:sz w:val="32"/>
          <w:szCs w:val="32"/>
        </w:rPr>
      </w:pPr>
    </w:p>
    <w:p w:rsidR="00995047" w:rsidRDefault="007A0578">
      <w:pPr>
        <w:tabs>
          <w:tab w:val="left" w:pos="993"/>
        </w:tabs>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一、深度创面比例</w:t>
      </w:r>
    </w:p>
    <w:p w:rsidR="00995047" w:rsidRDefault="007A0578">
      <w:pPr>
        <w:tabs>
          <w:tab w:val="left" w:pos="993"/>
        </w:tabs>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bCs/>
          <w:sz w:val="32"/>
          <w:szCs w:val="32"/>
        </w:rPr>
        <w:t>定义：</w:t>
      </w:r>
      <w:r>
        <w:rPr>
          <w:rFonts w:ascii="仿宋_GB2312" w:eastAsia="仿宋_GB2312" w:hAnsi="仿宋_GB2312" w:cs="仿宋_GB2312" w:hint="eastAsia"/>
          <w:sz w:val="32"/>
          <w:szCs w:val="32"/>
        </w:rPr>
        <w:t>深度创面是指深Ⅱ度以上烧伤创面或全层皮肤缺损。深度创面比例是指深度创面面积占全身体表面积的比例。</w:t>
      </w:r>
    </w:p>
    <w:p w:rsidR="00995047" w:rsidRDefault="007A0578">
      <w:pPr>
        <w:tabs>
          <w:tab w:val="left" w:pos="993"/>
        </w:tabs>
        <w:adjustRightInd w:val="0"/>
        <w:snapToGrid w:val="0"/>
        <w:spacing w:line="360" w:lineRule="auto"/>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计算公式：</w:t>
      </w:r>
    </w:p>
    <w:p w:rsidR="00995047" w:rsidRDefault="00176DB0">
      <w:pPr>
        <w:tabs>
          <w:tab w:val="left" w:pos="993"/>
        </w:tabs>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深度创面比例</m:t>
        </m:r>
      </m:oMath>
      <w:r w:rsidRPr="00DF05F6">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深度创面面积</m:t>
            </m:r>
          </m:num>
          <m:den>
            <m:r>
              <m:rPr>
                <m:sty m:val="p"/>
              </m:rPr>
              <w:rPr>
                <w:rFonts w:ascii="Cambria Math" w:eastAsia="仿宋_GB2312" w:hAnsi="Cambria Math" w:cs="Times New Roman"/>
                <w:sz w:val="24"/>
                <w:szCs w:val="28"/>
              </w:rPr>
              <m:t>全身体表面积</m:t>
            </m:r>
          </m:den>
        </m:f>
      </m:oMath>
      <w:r w:rsidRPr="00DF05F6">
        <w:rPr>
          <w:rFonts w:ascii="Cambria Math" w:eastAsia="仿宋_GB2312" w:hAnsi="Cambria Math" w:cs="Times New Roman" w:hint="eastAsia"/>
          <w:sz w:val="24"/>
          <w:szCs w:val="28"/>
        </w:rPr>
        <w:t>×</w:t>
      </w:r>
      <w:r w:rsidRPr="00DF05F6">
        <w:rPr>
          <w:rFonts w:ascii="Cambria Math" w:eastAsia="仿宋_GB2312" w:hAnsi="Cambria Math" w:cs="Times New Roman" w:hint="eastAsia"/>
          <w:sz w:val="24"/>
          <w:szCs w:val="28"/>
        </w:rPr>
        <w:t>100%</w:t>
      </w:r>
    </w:p>
    <w:p w:rsidR="00995047" w:rsidRDefault="007A0578">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bCs/>
          <w:sz w:val="32"/>
          <w:szCs w:val="32"/>
        </w:rPr>
        <w:t>意义：</w:t>
      </w:r>
      <w:r>
        <w:rPr>
          <w:rFonts w:ascii="仿宋_GB2312" w:eastAsia="仿宋_GB2312" w:hAnsi="仿宋_GB2312" w:cs="仿宋_GB2312" w:hint="eastAsia"/>
          <w:sz w:val="32"/>
          <w:szCs w:val="32"/>
        </w:rPr>
        <w:t>反映患者病情严重程度的重要指标之一。</w:t>
      </w:r>
    </w:p>
    <w:p w:rsidR="00995047" w:rsidRDefault="007A0578">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二、异体移植皮肤面积比例</w:t>
      </w:r>
    </w:p>
    <w:p w:rsidR="00995047" w:rsidRDefault="007A0578">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bCs/>
          <w:sz w:val="32"/>
          <w:szCs w:val="32"/>
        </w:rPr>
        <w:t>定义：</w:t>
      </w:r>
      <w:r>
        <w:rPr>
          <w:rFonts w:ascii="仿宋_GB2312" w:eastAsia="仿宋_GB2312" w:hAnsi="仿宋_GB2312" w:cs="仿宋_GB2312" w:hint="eastAsia"/>
          <w:sz w:val="32"/>
          <w:szCs w:val="32"/>
        </w:rPr>
        <w:t>异体移植皮肤面积占受体体表面积的比例。</w:t>
      </w:r>
    </w:p>
    <w:p w:rsidR="00995047" w:rsidRDefault="007A0578">
      <w:pPr>
        <w:adjustRightInd w:val="0"/>
        <w:snapToGrid w:val="0"/>
        <w:spacing w:line="360" w:lineRule="auto"/>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计算公式：</w:t>
      </w:r>
    </w:p>
    <w:p w:rsidR="00995047" w:rsidRDefault="003520B4">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异体移植皮肤面积比例</m:t>
        </m:r>
      </m:oMath>
      <w:r w:rsidRPr="00DF05F6">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异体移植皮肤面积</m:t>
            </m:r>
          </m:num>
          <m:den>
            <m:r>
              <m:rPr>
                <m:sty m:val="p"/>
              </m:rPr>
              <w:rPr>
                <w:rFonts w:ascii="Cambria Math" w:eastAsia="仿宋_GB2312" w:hAnsi="Cambria Math" w:cs="Times New Roman"/>
                <w:sz w:val="24"/>
                <w:szCs w:val="28"/>
              </w:rPr>
              <m:t>受体体表面积</m:t>
            </m:r>
          </m:den>
        </m:f>
      </m:oMath>
      <w:r w:rsidRPr="00DF05F6">
        <w:rPr>
          <w:rFonts w:ascii="Cambria Math" w:eastAsia="仿宋_GB2312" w:hAnsi="Cambria Math" w:cs="Times New Roman" w:hint="eastAsia"/>
          <w:sz w:val="24"/>
          <w:szCs w:val="28"/>
        </w:rPr>
        <w:t>×</w:t>
      </w:r>
      <w:r w:rsidRPr="00DF05F6">
        <w:rPr>
          <w:rFonts w:ascii="Cambria Math" w:eastAsia="仿宋_GB2312" w:hAnsi="Cambria Math" w:cs="Times New Roman" w:hint="eastAsia"/>
          <w:sz w:val="24"/>
          <w:szCs w:val="28"/>
        </w:rPr>
        <w:t>100%</w:t>
      </w:r>
    </w:p>
    <w:p w:rsidR="00995047" w:rsidRDefault="007A0578">
      <w:pPr>
        <w:tabs>
          <w:tab w:val="left" w:pos="993"/>
        </w:tabs>
        <w:adjustRightInd w:val="0"/>
        <w:snapToGrid w:val="0"/>
        <w:spacing w:line="360" w:lineRule="auto"/>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楷体_GB2312" w:cs="楷体_GB2312" w:hint="eastAsia"/>
          <w:b/>
          <w:bCs/>
          <w:sz w:val="32"/>
          <w:szCs w:val="32"/>
        </w:rPr>
        <w:t>意义：</w:t>
      </w:r>
      <w:r>
        <w:rPr>
          <w:rFonts w:ascii="仿宋_GB2312" w:eastAsia="仿宋_GB2312" w:hAnsi="仿宋_GB2312" w:cs="仿宋_GB2312" w:hint="eastAsia"/>
          <w:sz w:val="32"/>
          <w:szCs w:val="32"/>
        </w:rPr>
        <w:t>体现同种异体皮肤组织移植适应证和禁忌证掌握情况，是反映医疗机构医疗质量的重要指标之一。</w:t>
      </w:r>
    </w:p>
    <w:p w:rsidR="00995047" w:rsidRDefault="007A0578">
      <w:pPr>
        <w:tabs>
          <w:tab w:val="left" w:pos="993"/>
        </w:tabs>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三、异体移植皮肤成活率</w:t>
      </w:r>
    </w:p>
    <w:p w:rsidR="00995047" w:rsidRDefault="007A0578">
      <w:pPr>
        <w:tabs>
          <w:tab w:val="left" w:pos="993"/>
        </w:tabs>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bCs/>
          <w:sz w:val="32"/>
          <w:szCs w:val="32"/>
        </w:rPr>
        <w:t>定义：</w:t>
      </w:r>
      <w:r>
        <w:rPr>
          <w:rFonts w:ascii="仿宋_GB2312" w:eastAsia="仿宋_GB2312" w:hAnsi="仿宋_GB2312" w:cs="仿宋_GB2312" w:hint="eastAsia"/>
          <w:sz w:val="32"/>
          <w:szCs w:val="32"/>
        </w:rPr>
        <w:t>异体移植皮肤成活是指异体皮肤移植1周内无脱落、感染、溶解等现象，与基底粘附好。异体移植皮肤成活率是指异体移植皮肤成活面积占同期异体移植皮肤总面积的比例。</w:t>
      </w:r>
    </w:p>
    <w:p w:rsidR="00995047" w:rsidRDefault="007A0578">
      <w:pPr>
        <w:tabs>
          <w:tab w:val="left" w:pos="993"/>
        </w:tabs>
        <w:adjustRightInd w:val="0"/>
        <w:snapToGrid w:val="0"/>
        <w:spacing w:line="360" w:lineRule="auto"/>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计算公式：</w:t>
      </w:r>
    </w:p>
    <w:p w:rsidR="00995047" w:rsidRDefault="009307B0">
      <w:pPr>
        <w:tabs>
          <w:tab w:val="left" w:pos="993"/>
        </w:tabs>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w:lastRenderedPageBreak/>
          <m:t>异体移植皮肤成活率</m:t>
        </m:r>
      </m:oMath>
      <w:r w:rsidRPr="00DF05F6">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异体移植皮肤成活面积</m:t>
            </m:r>
          </m:num>
          <m:den>
            <m:r>
              <m:rPr>
                <m:sty m:val="p"/>
              </m:rPr>
              <w:rPr>
                <w:rFonts w:ascii="Cambria Math" w:eastAsia="仿宋_GB2312" w:hAnsi="Cambria Math" w:cs="Times New Roman"/>
                <w:sz w:val="24"/>
                <w:szCs w:val="28"/>
              </w:rPr>
              <m:t>同期异体移植皮肤总面积</m:t>
            </m:r>
          </m:den>
        </m:f>
      </m:oMath>
      <w:r w:rsidRPr="00DF05F6">
        <w:rPr>
          <w:rFonts w:ascii="Cambria Math" w:eastAsia="仿宋_GB2312" w:hAnsi="Cambria Math" w:cs="Times New Roman" w:hint="eastAsia"/>
          <w:sz w:val="24"/>
          <w:szCs w:val="28"/>
        </w:rPr>
        <w:t>×</w:t>
      </w:r>
      <w:r w:rsidRPr="00DF05F6">
        <w:rPr>
          <w:rFonts w:ascii="Cambria Math" w:eastAsia="仿宋_GB2312" w:hAnsi="Cambria Math" w:cs="Times New Roman" w:hint="eastAsia"/>
          <w:sz w:val="24"/>
          <w:szCs w:val="28"/>
        </w:rPr>
        <w:t>100%</w:t>
      </w:r>
    </w:p>
    <w:p w:rsidR="00995047" w:rsidRDefault="007A0578">
      <w:pPr>
        <w:tabs>
          <w:tab w:val="left" w:pos="993"/>
        </w:tabs>
        <w:adjustRightInd w:val="0"/>
        <w:snapToGrid w:val="0"/>
        <w:spacing w:line="360" w:lineRule="auto"/>
        <w:ind w:firstLineChars="200" w:firstLine="643"/>
        <w:rPr>
          <w:rFonts w:ascii="Cambria Math" w:eastAsia="仿宋_GB2312" w:hAnsi="Cambria Math" w:cs="Times New Roman"/>
          <w:sz w:val="24"/>
          <w:szCs w:val="28"/>
        </w:rPr>
      </w:pPr>
      <w:r>
        <w:rPr>
          <w:rFonts w:ascii="仿宋_GB2312" w:eastAsia="仿宋_GB2312" w:hAnsi="楷体_GB2312" w:cs="楷体_GB2312" w:hint="eastAsia"/>
          <w:b/>
          <w:bCs/>
          <w:sz w:val="32"/>
          <w:szCs w:val="32"/>
        </w:rPr>
        <w:t>意义：</w:t>
      </w:r>
      <w:r>
        <w:rPr>
          <w:rFonts w:ascii="仿宋_GB2312" w:eastAsia="仿宋_GB2312" w:hAnsi="仿宋_GB2312" w:cs="仿宋_GB2312" w:hint="eastAsia"/>
          <w:sz w:val="32"/>
          <w:szCs w:val="32"/>
        </w:rPr>
        <w:t>反映同种异体皮肤组织移植技术水平的重要指标之一。</w:t>
      </w:r>
    </w:p>
    <w:p w:rsidR="00995047" w:rsidRDefault="007A0578">
      <w:pPr>
        <w:tabs>
          <w:tab w:val="left" w:pos="993"/>
        </w:tabs>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四、异体移植皮肤感染率</w:t>
      </w:r>
    </w:p>
    <w:p w:rsidR="00995047" w:rsidRDefault="007A0578">
      <w:pPr>
        <w:tabs>
          <w:tab w:val="left" w:pos="993"/>
        </w:tabs>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bCs/>
          <w:sz w:val="32"/>
          <w:szCs w:val="32"/>
        </w:rPr>
        <w:t>定义：</w:t>
      </w:r>
      <w:r w:rsidR="00792E52" w:rsidRPr="00792E52">
        <w:rPr>
          <w:rFonts w:ascii="仿宋_GB2312" w:eastAsia="仿宋_GB2312" w:hAnsi="仿宋_GB2312" w:cs="仿宋_GB2312" w:hint="eastAsia"/>
          <w:sz w:val="32"/>
          <w:szCs w:val="32"/>
        </w:rPr>
        <w:t>异体</w:t>
      </w:r>
      <w:r>
        <w:rPr>
          <w:rFonts w:ascii="仿宋_GB2312" w:eastAsia="仿宋_GB2312" w:hAnsi="仿宋_GB2312" w:cs="仿宋_GB2312" w:hint="eastAsia"/>
          <w:sz w:val="32"/>
          <w:szCs w:val="32"/>
        </w:rPr>
        <w:t>移植皮肤感染指</w:t>
      </w:r>
      <w:r w:rsidR="00792E52" w:rsidRPr="00792E52">
        <w:rPr>
          <w:rFonts w:ascii="仿宋_GB2312" w:eastAsia="仿宋_GB2312" w:hAnsi="仿宋_GB2312" w:cs="仿宋_GB2312" w:hint="eastAsia"/>
          <w:sz w:val="32"/>
          <w:szCs w:val="32"/>
        </w:rPr>
        <w:t>异体</w:t>
      </w:r>
      <w:r>
        <w:rPr>
          <w:rFonts w:ascii="仿宋_GB2312" w:eastAsia="仿宋_GB2312" w:hAnsi="仿宋_GB2312" w:cs="仿宋_GB2312" w:hint="eastAsia"/>
          <w:sz w:val="32"/>
          <w:szCs w:val="32"/>
        </w:rPr>
        <w:t>皮肤移植部位1周内有较多分泌物形成，移植皮肤溶解、脱落（以临床判断为准）。异体移植皮肤感染率是指异体移植皮肤感染例次数占同期异体移植皮肤移植总例次数的比例。</w:t>
      </w:r>
    </w:p>
    <w:p w:rsidR="00995047" w:rsidRDefault="007A0578">
      <w:pPr>
        <w:tabs>
          <w:tab w:val="left" w:pos="993"/>
        </w:tabs>
        <w:adjustRightInd w:val="0"/>
        <w:snapToGrid w:val="0"/>
        <w:spacing w:line="360" w:lineRule="auto"/>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计算公式：</w:t>
      </w:r>
    </w:p>
    <w:p w:rsidR="00995047" w:rsidRDefault="00AE5D4C">
      <w:pPr>
        <w:tabs>
          <w:tab w:val="left" w:pos="993"/>
        </w:tabs>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异体移植皮肤感染率</m:t>
        </m:r>
      </m:oMath>
      <w:r w:rsidRPr="00DF05F6">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异体移植皮肤感染例次数</m:t>
            </m:r>
          </m:num>
          <m:den>
            <m:r>
              <m:rPr>
                <m:sty m:val="p"/>
              </m:rPr>
              <w:rPr>
                <w:rFonts w:ascii="Cambria Math" w:eastAsia="仿宋_GB2312" w:hAnsi="Cambria Math" w:cs="Times New Roman"/>
                <w:sz w:val="24"/>
                <w:szCs w:val="28"/>
              </w:rPr>
              <m:t>同期异体移植皮肤移植总例次数</m:t>
            </m:r>
          </m:den>
        </m:f>
      </m:oMath>
      <w:r w:rsidRPr="00DF05F6">
        <w:rPr>
          <w:rFonts w:ascii="Cambria Math" w:eastAsia="仿宋_GB2312" w:hAnsi="Cambria Math" w:cs="Times New Roman" w:hint="eastAsia"/>
          <w:sz w:val="24"/>
          <w:szCs w:val="28"/>
        </w:rPr>
        <w:t>×</w:t>
      </w:r>
      <w:r w:rsidRPr="00DF05F6">
        <w:rPr>
          <w:rFonts w:ascii="Cambria Math" w:eastAsia="仿宋_GB2312" w:hAnsi="Cambria Math" w:cs="Times New Roman" w:hint="eastAsia"/>
          <w:sz w:val="24"/>
          <w:szCs w:val="28"/>
        </w:rPr>
        <w:t>100%</w:t>
      </w:r>
    </w:p>
    <w:p w:rsidR="00995047" w:rsidRDefault="007A0578">
      <w:pPr>
        <w:tabs>
          <w:tab w:val="left" w:pos="993"/>
        </w:tabs>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bCs/>
          <w:sz w:val="32"/>
          <w:szCs w:val="32"/>
        </w:rPr>
        <w:t>意义：</w:t>
      </w:r>
      <w:r>
        <w:rPr>
          <w:rFonts w:ascii="仿宋_GB2312" w:eastAsia="仿宋_GB2312" w:hAnsi="仿宋_GB2312" w:cs="仿宋_GB2312" w:hint="eastAsia"/>
          <w:sz w:val="32"/>
          <w:szCs w:val="32"/>
        </w:rPr>
        <w:t>反映同种异体皮肤组织移植技术水平的重要指标之一。</w:t>
      </w:r>
    </w:p>
    <w:p w:rsidR="00995047" w:rsidRDefault="007A0578">
      <w:pPr>
        <w:tabs>
          <w:tab w:val="left" w:pos="993"/>
        </w:tabs>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五、自异体皮肤混合移植率</w:t>
      </w:r>
    </w:p>
    <w:p w:rsidR="00995047" w:rsidRDefault="007A0578">
      <w:pPr>
        <w:tabs>
          <w:tab w:val="left" w:pos="993"/>
        </w:tabs>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bCs/>
          <w:sz w:val="32"/>
          <w:szCs w:val="32"/>
        </w:rPr>
        <w:t>定义：</w:t>
      </w:r>
      <w:r>
        <w:rPr>
          <w:rFonts w:ascii="仿宋_GB2312" w:eastAsia="仿宋_GB2312" w:hAnsi="仿宋_GB2312" w:cs="仿宋_GB2312" w:hint="eastAsia"/>
          <w:sz w:val="32"/>
          <w:szCs w:val="32"/>
        </w:rPr>
        <w:t>自异体皮肤混合移植例次数占同期皮肤移植总例次数的比例。（见注1）</w:t>
      </w:r>
    </w:p>
    <w:p w:rsidR="00995047" w:rsidRDefault="007A0578">
      <w:pPr>
        <w:tabs>
          <w:tab w:val="left" w:pos="993"/>
        </w:tabs>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计算公式：</w:t>
      </w:r>
    </w:p>
    <w:p w:rsidR="00995047" w:rsidRDefault="00F11CF3">
      <w:pPr>
        <w:tabs>
          <w:tab w:val="left" w:pos="993"/>
        </w:tabs>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自异体皮肤混合移植率</m:t>
        </m:r>
      </m:oMath>
      <w:r w:rsidRPr="00DF05F6">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自异体皮肤混合移植例次数</m:t>
            </m:r>
          </m:num>
          <m:den>
            <m:r>
              <m:rPr>
                <m:sty m:val="p"/>
              </m:rPr>
              <w:rPr>
                <w:rFonts w:ascii="Cambria Math" w:eastAsia="仿宋_GB2312" w:hAnsi="Cambria Math" w:cs="Times New Roman"/>
                <w:sz w:val="24"/>
                <w:szCs w:val="28"/>
              </w:rPr>
              <m:t>同期皮肤移植总例次数</m:t>
            </m:r>
          </m:den>
        </m:f>
      </m:oMath>
      <w:r w:rsidRPr="00DF05F6">
        <w:rPr>
          <w:rFonts w:ascii="Cambria Math" w:eastAsia="仿宋_GB2312" w:hAnsi="Cambria Math" w:cs="Times New Roman" w:hint="eastAsia"/>
          <w:sz w:val="24"/>
          <w:szCs w:val="28"/>
        </w:rPr>
        <w:t>×</w:t>
      </w:r>
      <w:r w:rsidRPr="00DF05F6">
        <w:rPr>
          <w:rFonts w:ascii="Cambria Math" w:eastAsia="仿宋_GB2312" w:hAnsi="Cambria Math" w:cs="Times New Roman" w:hint="eastAsia"/>
          <w:sz w:val="24"/>
          <w:szCs w:val="28"/>
        </w:rPr>
        <w:t>100%</w:t>
      </w:r>
    </w:p>
    <w:p w:rsidR="00995047" w:rsidRDefault="007A0578">
      <w:pPr>
        <w:tabs>
          <w:tab w:val="left" w:pos="993"/>
        </w:tabs>
        <w:adjustRightInd w:val="0"/>
        <w:snapToGrid w:val="0"/>
        <w:spacing w:line="360" w:lineRule="auto"/>
        <w:ind w:firstLineChars="200" w:firstLine="643"/>
        <w:rPr>
          <w:rFonts w:ascii="Cambria Math" w:eastAsia="仿宋_GB2312" w:hAnsi="Cambria Math" w:cs="Times New Roman"/>
          <w:sz w:val="24"/>
          <w:szCs w:val="28"/>
        </w:rPr>
      </w:pPr>
      <w:r>
        <w:rPr>
          <w:rFonts w:ascii="仿宋_GB2312" w:eastAsia="仿宋_GB2312" w:hAnsi="楷体_GB2312" w:cs="楷体_GB2312" w:hint="eastAsia"/>
          <w:b/>
          <w:bCs/>
          <w:sz w:val="32"/>
          <w:szCs w:val="32"/>
        </w:rPr>
        <w:t>意义：</w:t>
      </w:r>
      <w:r>
        <w:rPr>
          <w:rFonts w:ascii="仿宋_GB2312" w:eastAsia="仿宋_GB2312" w:hAnsi="仿宋_GB2312" w:cs="仿宋_GB2312" w:hint="eastAsia"/>
          <w:sz w:val="32"/>
          <w:szCs w:val="32"/>
        </w:rPr>
        <w:t>反映皮肤组织移植技术水平的重要指标之一。</w:t>
      </w:r>
    </w:p>
    <w:p w:rsidR="00995047" w:rsidRDefault="007A0578">
      <w:pPr>
        <w:tabs>
          <w:tab w:val="left" w:pos="993"/>
        </w:tabs>
        <w:adjustRightInd w:val="0"/>
        <w:snapToGrid w:val="0"/>
        <w:spacing w:line="360" w:lineRule="auto"/>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六、救治成功率</w:t>
      </w:r>
    </w:p>
    <w:p w:rsidR="00995047" w:rsidRDefault="007A0578">
      <w:pPr>
        <w:tabs>
          <w:tab w:val="left" w:pos="993"/>
        </w:tabs>
        <w:adjustRightInd w:val="0"/>
        <w:snapToGrid w:val="0"/>
        <w:spacing w:line="360" w:lineRule="auto"/>
        <w:ind w:firstLine="200"/>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Pr>
          <w:rFonts w:ascii="仿宋_GB2312" w:eastAsia="仿宋_GB2312" w:hAnsi="楷体_GB2312" w:cs="楷体_GB2312" w:hint="eastAsia"/>
          <w:b/>
          <w:bCs/>
          <w:sz w:val="32"/>
          <w:szCs w:val="32"/>
        </w:rPr>
        <w:t>定义：</w:t>
      </w:r>
      <w:r>
        <w:rPr>
          <w:rFonts w:ascii="仿宋_GB2312" w:eastAsia="仿宋_GB2312" w:hAnsi="楷体_GB2312" w:cs="楷体_GB2312" w:hint="eastAsia"/>
          <w:bCs/>
          <w:sz w:val="32"/>
          <w:szCs w:val="32"/>
        </w:rPr>
        <w:t>救治成功</w:t>
      </w:r>
      <w:proofErr w:type="gramStart"/>
      <w:r>
        <w:rPr>
          <w:rFonts w:ascii="仿宋_GB2312" w:eastAsia="仿宋_GB2312" w:hAnsi="仿宋_GB2312" w:cs="仿宋_GB2312" w:hint="eastAsia"/>
          <w:sz w:val="32"/>
          <w:szCs w:val="32"/>
        </w:rPr>
        <w:t>是指</w:t>
      </w:r>
      <w:r>
        <w:rPr>
          <w:rFonts w:ascii="仿宋_GB2312" w:eastAsia="仿宋_GB2312" w:hint="eastAsia"/>
          <w:sz w:val="32"/>
          <w:szCs w:val="32"/>
        </w:rPr>
        <w:t>特重度烧伤</w:t>
      </w:r>
      <w:proofErr w:type="gramEnd"/>
      <w:r>
        <w:rPr>
          <w:rFonts w:ascii="仿宋_GB2312" w:eastAsia="仿宋_GB2312" w:hint="eastAsia"/>
          <w:sz w:val="32"/>
          <w:szCs w:val="32"/>
        </w:rPr>
        <w:t>患者经过救治最终存活。救治成功率是指救治成功的患者数占同期特重度烧伤患者总数</w:t>
      </w:r>
      <w:r>
        <w:rPr>
          <w:rFonts w:ascii="仿宋_GB2312" w:eastAsia="仿宋_GB2312" w:hAnsi="仿宋_GB2312" w:cs="仿宋_GB2312" w:hint="eastAsia"/>
          <w:sz w:val="32"/>
          <w:szCs w:val="32"/>
        </w:rPr>
        <w:t>的比例。（见注2）</w:t>
      </w:r>
    </w:p>
    <w:p w:rsidR="00995047" w:rsidRDefault="007A0578">
      <w:pPr>
        <w:tabs>
          <w:tab w:val="left" w:pos="993"/>
        </w:tabs>
        <w:adjustRightInd w:val="0"/>
        <w:snapToGrid w:val="0"/>
        <w:spacing w:line="360" w:lineRule="auto"/>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lastRenderedPageBreak/>
        <w:t>计算公式：</w:t>
      </w:r>
    </w:p>
    <w:p w:rsidR="00995047" w:rsidRDefault="00D12160">
      <w:pPr>
        <w:tabs>
          <w:tab w:val="left" w:pos="993"/>
        </w:tabs>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救治成功率</m:t>
        </m:r>
      </m:oMath>
      <w:r w:rsidRPr="00DF05F6">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救治成功的患者数</m:t>
            </m:r>
          </m:num>
          <m:den>
            <m:r>
              <m:rPr>
                <m:sty m:val="p"/>
              </m:rPr>
              <w:rPr>
                <w:rFonts w:ascii="Cambria Math" w:eastAsia="仿宋_GB2312" w:hAnsi="Cambria Math" w:cs="Times New Roman"/>
                <w:sz w:val="24"/>
                <w:szCs w:val="28"/>
              </w:rPr>
              <m:t>同期特重度烧伤患者总数</m:t>
            </m:r>
          </m:den>
        </m:f>
      </m:oMath>
      <w:r w:rsidRPr="00DF05F6">
        <w:rPr>
          <w:rFonts w:ascii="Cambria Math" w:eastAsia="仿宋_GB2312" w:hAnsi="Cambria Math" w:cs="Times New Roman" w:hint="eastAsia"/>
          <w:sz w:val="24"/>
          <w:szCs w:val="28"/>
        </w:rPr>
        <w:t>×</w:t>
      </w:r>
      <w:r w:rsidRPr="00DF05F6">
        <w:rPr>
          <w:rFonts w:ascii="Cambria Math" w:eastAsia="仿宋_GB2312" w:hAnsi="Cambria Math" w:cs="Times New Roman" w:hint="eastAsia"/>
          <w:sz w:val="24"/>
          <w:szCs w:val="28"/>
        </w:rPr>
        <w:t>100%</w:t>
      </w:r>
    </w:p>
    <w:p w:rsidR="00995047" w:rsidRDefault="007A0578">
      <w:pPr>
        <w:tabs>
          <w:tab w:val="left" w:pos="993"/>
        </w:tabs>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bCs/>
          <w:sz w:val="32"/>
          <w:szCs w:val="32"/>
        </w:rPr>
        <w:t>意义：</w:t>
      </w:r>
      <w:r>
        <w:rPr>
          <w:rFonts w:ascii="仿宋_GB2312" w:eastAsia="仿宋_GB2312" w:hAnsi="仿宋_GB2312" w:cs="仿宋_GB2312" w:hint="eastAsia"/>
          <w:sz w:val="32"/>
          <w:szCs w:val="32"/>
        </w:rPr>
        <w:t>反映特重度烧伤患者救治能力的重要指标之一。</w:t>
      </w:r>
    </w:p>
    <w:p w:rsidR="00995047" w:rsidRDefault="007A0578">
      <w:pPr>
        <w:tabs>
          <w:tab w:val="left" w:pos="993"/>
        </w:tabs>
        <w:adjustRightInd w:val="0"/>
        <w:snapToGrid w:val="0"/>
        <w:spacing w:line="360" w:lineRule="auto"/>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七、活体供体供皮区平均愈合时间</w:t>
      </w:r>
    </w:p>
    <w:p w:rsidR="00995047" w:rsidRDefault="007A0578">
      <w:pPr>
        <w:tabs>
          <w:tab w:val="left" w:pos="993"/>
        </w:tabs>
        <w:adjustRightInd w:val="0"/>
        <w:snapToGrid w:val="0"/>
        <w:spacing w:line="360" w:lineRule="auto"/>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楷体_GB2312" w:cs="楷体_GB2312" w:hint="eastAsia"/>
          <w:b/>
          <w:bCs/>
          <w:sz w:val="32"/>
          <w:szCs w:val="32"/>
        </w:rPr>
        <w:t>定义：</w:t>
      </w:r>
      <w:r>
        <w:rPr>
          <w:rFonts w:ascii="仿宋_GB2312" w:eastAsia="仿宋_GB2312" w:hAnsi="仿宋_GB2312" w:cs="仿宋_GB2312" w:hint="eastAsia"/>
          <w:sz w:val="32"/>
          <w:szCs w:val="32"/>
        </w:rPr>
        <w:t>活体供体是指临床健康自愿捐献皮肤的活体捐献者。活体供体供皮区平均愈合时间是指</w:t>
      </w:r>
      <w:r>
        <w:rPr>
          <w:rFonts w:ascii="仿宋_GB2312" w:eastAsia="仿宋_GB2312" w:cs="Times New Roman" w:hint="eastAsia"/>
          <w:sz w:val="32"/>
          <w:szCs w:val="32"/>
        </w:rPr>
        <w:t>活体供体从手术取皮到供皮区愈合的平均时间</w:t>
      </w:r>
      <w:r>
        <w:rPr>
          <w:rFonts w:ascii="仿宋_GB2312" w:eastAsia="仿宋_GB2312" w:hAnsi="仿宋_GB2312" w:cs="仿宋_GB2312" w:hint="eastAsia"/>
          <w:sz w:val="32"/>
          <w:szCs w:val="32"/>
        </w:rPr>
        <w:t>（以天数为单位）。</w:t>
      </w:r>
    </w:p>
    <w:p w:rsidR="00995047" w:rsidRDefault="007A0578">
      <w:pPr>
        <w:tabs>
          <w:tab w:val="left" w:pos="993"/>
        </w:tabs>
        <w:adjustRightInd w:val="0"/>
        <w:snapToGrid w:val="0"/>
        <w:spacing w:line="360" w:lineRule="auto"/>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计算公式：</w:t>
      </w:r>
    </w:p>
    <w:p w:rsidR="00995047" w:rsidRPr="00EE05E8" w:rsidRDefault="004E299C" w:rsidP="00EE05E8">
      <w:pPr>
        <w:tabs>
          <w:tab w:val="left" w:pos="993"/>
        </w:tabs>
        <w:adjustRightInd w:val="0"/>
        <w:snapToGrid w:val="0"/>
        <w:spacing w:line="360" w:lineRule="auto"/>
        <w:ind w:firstLineChars="200" w:firstLine="480"/>
        <w:rPr>
          <w:rFonts w:ascii="Cambria Math" w:eastAsia="仿宋_GB2312" w:hAnsi="Cambria Math" w:cs="Times New Roman"/>
          <w:sz w:val="24"/>
          <w:szCs w:val="28"/>
        </w:rPr>
      </w:pPr>
      <m:oMath>
        <m:m>
          <m:mPr>
            <m:mcs>
              <m:mc>
                <m:mcPr>
                  <m:count m:val="1"/>
                  <m:mcJc m:val="center"/>
                </m:mcPr>
              </m:mc>
            </m:mcs>
            <m:ctrlPr>
              <w:rPr>
                <w:rFonts w:ascii="Cambria Math" w:eastAsia="仿宋_GB2312" w:hAnsi="Cambria Math" w:cs="Times New Roman" w:hint="eastAsia"/>
                <w:sz w:val="24"/>
                <w:szCs w:val="28"/>
              </w:rPr>
            </m:ctrlPr>
          </m:mPr>
          <m:mr>
            <m:e>
              <m:r>
                <m:rPr>
                  <m:sty m:val="p"/>
                </m:rPr>
                <w:rPr>
                  <w:rFonts w:ascii="Cambria Math" w:eastAsia="仿宋_GB2312" w:hAnsi="Cambria Math" w:cs="Times New Roman"/>
                  <w:sz w:val="24"/>
                  <w:szCs w:val="28"/>
                </w:rPr>
                <m:t>活体供体供皮区</m:t>
              </m:r>
            </m:e>
          </m:mr>
          <m:mr>
            <m:e>
              <m:r>
                <m:rPr>
                  <m:sty m:val="p"/>
                </m:rPr>
                <w:rPr>
                  <w:rFonts w:ascii="Cambria Math" w:eastAsia="仿宋_GB2312" w:hAnsi="Cambria Math" w:cs="Times New Roman"/>
                  <w:sz w:val="24"/>
                  <w:szCs w:val="28"/>
                </w:rPr>
                <m:t>平均愈合</m:t>
              </m:r>
              <m:r>
                <m:rPr>
                  <m:sty m:val="p"/>
                </m:rPr>
                <w:rPr>
                  <w:rFonts w:ascii="Cambria Math" w:eastAsia="仿宋_GB2312" w:hAnsi="Cambria Math" w:cs="Times New Roman" w:hint="eastAsia"/>
                  <w:sz w:val="24"/>
                  <w:szCs w:val="28"/>
                </w:rPr>
                <m:t>时间</m:t>
              </m:r>
            </m:e>
          </m:mr>
        </m:m>
      </m:oMath>
      <w:r w:rsidR="00EE05E8" w:rsidRPr="00FF2429">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活体供体供皮区愈合时间总和</m:t>
            </m:r>
          </m:num>
          <m:den>
            <m:r>
              <m:rPr>
                <m:sty m:val="p"/>
              </m:rPr>
              <w:rPr>
                <w:rFonts w:ascii="Cambria Math" w:eastAsia="仿宋_GB2312" w:hAnsi="Cambria Math" w:cs="Times New Roman"/>
                <w:sz w:val="24"/>
                <w:szCs w:val="28"/>
              </w:rPr>
              <m:t>同期活体供体总数</m:t>
            </m:r>
          </m:den>
        </m:f>
      </m:oMath>
    </w:p>
    <w:p w:rsidR="00995047" w:rsidRDefault="007A0578">
      <w:pPr>
        <w:tabs>
          <w:tab w:val="left" w:pos="993"/>
        </w:tabs>
        <w:adjustRightInd w:val="0"/>
        <w:snapToGrid w:val="0"/>
        <w:spacing w:line="360" w:lineRule="auto"/>
        <w:ind w:firstLineChars="200" w:firstLine="643"/>
        <w:rPr>
          <w:rFonts w:ascii="Cambria Math" w:eastAsia="仿宋_GB2312" w:hAnsi="Cambria Math" w:cs="Times New Roman"/>
          <w:sz w:val="32"/>
          <w:szCs w:val="32"/>
        </w:rPr>
      </w:pPr>
      <w:r>
        <w:rPr>
          <w:rFonts w:ascii="仿宋_GB2312" w:eastAsia="仿宋_GB2312" w:hAnsi="楷体_GB2312" w:cs="楷体_GB2312" w:hint="eastAsia"/>
          <w:b/>
          <w:bCs/>
          <w:sz w:val="32"/>
          <w:szCs w:val="32"/>
        </w:rPr>
        <w:t>意义：</w:t>
      </w:r>
      <w:r>
        <w:rPr>
          <w:rFonts w:ascii="仿宋_GB2312" w:eastAsia="仿宋_GB2312" w:hAnsi="仿宋_GB2312" w:cs="仿宋_GB2312" w:hint="eastAsia"/>
          <w:sz w:val="32"/>
          <w:szCs w:val="32"/>
        </w:rPr>
        <w:t>反映皮肤组织移植技术水平的重要指标之一。</w:t>
      </w:r>
    </w:p>
    <w:p w:rsidR="00995047" w:rsidRDefault="007A0578">
      <w:pPr>
        <w:tabs>
          <w:tab w:val="left" w:pos="993"/>
        </w:tabs>
        <w:adjustRightInd w:val="0"/>
        <w:snapToGrid w:val="0"/>
        <w:spacing w:line="360" w:lineRule="auto"/>
        <w:ind w:firstLine="200"/>
        <w:rPr>
          <w:rFonts w:ascii="黑体" w:eastAsia="黑体" w:hAnsi="黑体"/>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八、活体供体供皮区并发症发生率</w:t>
      </w:r>
    </w:p>
    <w:p w:rsidR="00995047" w:rsidRDefault="007A0578">
      <w:pPr>
        <w:tabs>
          <w:tab w:val="left" w:pos="993"/>
        </w:tabs>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楷体_GB2312" w:cs="楷体_GB2312" w:hint="eastAsia"/>
          <w:b/>
          <w:bCs/>
          <w:sz w:val="32"/>
          <w:szCs w:val="32"/>
        </w:rPr>
        <w:t>定义：</w:t>
      </w:r>
      <w:r>
        <w:rPr>
          <w:rFonts w:ascii="仿宋_GB2312" w:eastAsia="仿宋_GB2312" w:hAnsi="楷体_GB2312" w:cs="楷体_GB2312" w:hint="eastAsia"/>
          <w:sz w:val="32"/>
          <w:szCs w:val="32"/>
        </w:rPr>
        <w:t>活体供体供皮区</w:t>
      </w:r>
      <w:r>
        <w:rPr>
          <w:rFonts w:ascii="仿宋_GB2312" w:eastAsia="仿宋_GB2312" w:hAnsi="仿宋_GB2312" w:cs="仿宋_GB2312" w:hint="eastAsia"/>
          <w:bCs/>
          <w:sz w:val="32"/>
          <w:szCs w:val="32"/>
        </w:rPr>
        <w:t>并发症是指</w:t>
      </w:r>
      <w:r>
        <w:rPr>
          <w:rFonts w:ascii="仿宋_GB2312" w:eastAsia="仿宋_GB2312" w:hAnsi="仿宋_GB2312" w:cs="仿宋_GB2312" w:hint="eastAsia"/>
          <w:sz w:val="32"/>
          <w:szCs w:val="32"/>
        </w:rPr>
        <w:t>活体供体供皮区发生感染、创面延迟愈合（超过3周）等</w:t>
      </w:r>
      <w:r>
        <w:rPr>
          <w:rFonts w:ascii="仿宋_GB2312" w:eastAsia="仿宋_GB2312" w:hAnsi="仿宋_GB2312" w:cs="仿宋_GB2312" w:hint="eastAsia"/>
          <w:bCs/>
          <w:sz w:val="32"/>
          <w:szCs w:val="32"/>
        </w:rPr>
        <w:t>。活体供体供皮区并发症发生率是指活体供体供皮区并发症发生的例次数占同期同种异体活体皮肤移植总例次数的比例。</w:t>
      </w:r>
    </w:p>
    <w:p w:rsidR="00995047" w:rsidRDefault="007A0578">
      <w:pPr>
        <w:adjustRightInd w:val="0"/>
        <w:snapToGrid w:val="0"/>
        <w:spacing w:line="360" w:lineRule="auto"/>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计算公式：</w:t>
      </w:r>
    </w:p>
    <w:p w:rsidR="00995047" w:rsidRDefault="00590AD2">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活体供体供皮区并发症发生率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活体供体供皮区并发症发生的例次数</m:t>
            </m:r>
          </m:num>
          <m:den>
            <m:r>
              <m:rPr>
                <m:sty m:val="p"/>
              </m:rPr>
              <w:rPr>
                <w:rFonts w:ascii="Cambria Math" w:eastAsia="仿宋_GB2312" w:hAnsi="Cambria Math" w:cs="Times New Roman"/>
                <w:sz w:val="24"/>
                <w:szCs w:val="28"/>
              </w:rPr>
              <m:t>同期同种异体活体皮肤移植总例次数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995047" w:rsidRDefault="007A0578">
      <w:pPr>
        <w:tabs>
          <w:tab w:val="left" w:pos="993"/>
        </w:tabs>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sz w:val="32"/>
          <w:szCs w:val="32"/>
        </w:rPr>
        <w:t>意义：</w:t>
      </w:r>
      <w:r>
        <w:rPr>
          <w:rFonts w:ascii="仿宋_GB2312" w:eastAsia="仿宋_GB2312" w:hAnsi="仿宋_GB2312" w:cs="仿宋_GB2312" w:hint="eastAsia"/>
          <w:sz w:val="32"/>
          <w:szCs w:val="32"/>
        </w:rPr>
        <w:t>反映皮肤组织移植技术水平的重要指标之一。</w:t>
      </w:r>
    </w:p>
    <w:p w:rsidR="00995047" w:rsidRDefault="007A0578">
      <w:pPr>
        <w:adjustRightInd w:val="0"/>
        <w:snapToGrid w:val="0"/>
        <w:spacing w:line="360" w:lineRule="auto"/>
        <w:ind w:firstLineChars="200" w:firstLine="640"/>
        <w:rPr>
          <w:rFonts w:ascii="黑体" w:eastAsia="黑体" w:hAnsi="宋体" w:cs="Times New Roman"/>
          <w:sz w:val="32"/>
          <w:szCs w:val="32"/>
        </w:rPr>
      </w:pPr>
      <w:r>
        <w:rPr>
          <w:rFonts w:ascii="黑体" w:eastAsia="黑体" w:hAnsi="宋体" w:cs="Times New Roman" w:hint="eastAsia"/>
          <w:sz w:val="32"/>
          <w:szCs w:val="32"/>
        </w:rPr>
        <w:t>九、活体供体平均住院日</w:t>
      </w:r>
    </w:p>
    <w:p w:rsidR="00995047" w:rsidRDefault="007A0578">
      <w:pPr>
        <w:adjustRightInd w:val="0"/>
        <w:snapToGrid w:val="0"/>
        <w:spacing w:line="360" w:lineRule="auto"/>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定义：</w:t>
      </w:r>
      <w:r>
        <w:rPr>
          <w:rFonts w:ascii="仿宋_GB2312" w:eastAsia="仿宋_GB2312" w:hint="eastAsia"/>
          <w:sz w:val="32"/>
          <w:szCs w:val="32"/>
        </w:rPr>
        <w:t>出院时所有活体供体</w:t>
      </w:r>
      <w:proofErr w:type="gramStart"/>
      <w:r>
        <w:rPr>
          <w:rFonts w:ascii="仿宋_GB2312" w:eastAsia="仿宋_GB2312" w:hint="eastAsia"/>
          <w:sz w:val="32"/>
          <w:szCs w:val="32"/>
        </w:rPr>
        <w:t>占用总床日数</w:t>
      </w:r>
      <w:proofErr w:type="gramEnd"/>
      <w:r>
        <w:rPr>
          <w:rFonts w:ascii="仿宋_GB2312" w:eastAsia="仿宋_GB2312" w:hint="eastAsia"/>
          <w:sz w:val="32"/>
          <w:szCs w:val="32"/>
        </w:rPr>
        <w:t>与同期活体供体出院人数之比</w:t>
      </w:r>
      <w:r>
        <w:rPr>
          <w:rFonts w:ascii="仿宋_GB2312" w:eastAsia="仿宋_GB2312" w:hAnsi="宋体" w:cs="Times New Roman" w:hint="eastAsia"/>
          <w:sz w:val="32"/>
          <w:szCs w:val="32"/>
        </w:rPr>
        <w:t>。</w:t>
      </w:r>
    </w:p>
    <w:p w:rsidR="00995047" w:rsidRDefault="007A0578">
      <w:pPr>
        <w:adjustRightInd w:val="0"/>
        <w:snapToGrid w:val="0"/>
        <w:spacing w:line="360" w:lineRule="auto"/>
        <w:ind w:firstLineChars="200" w:firstLine="643"/>
        <w:rPr>
          <w:rFonts w:ascii="仿宋_GB2312" w:eastAsia="仿宋_GB2312" w:hAnsi="宋体" w:cs="Times New Roman"/>
          <w:b/>
          <w:sz w:val="32"/>
          <w:szCs w:val="32"/>
        </w:rPr>
      </w:pPr>
      <w:r>
        <w:rPr>
          <w:rFonts w:ascii="仿宋_GB2312" w:eastAsia="仿宋_GB2312" w:hAnsi="宋体" w:cs="Times New Roman" w:hint="eastAsia"/>
          <w:b/>
          <w:sz w:val="32"/>
          <w:szCs w:val="32"/>
        </w:rPr>
        <w:t>计算公式：</w:t>
      </w:r>
    </w:p>
    <w:p w:rsidR="00995047" w:rsidRDefault="00DA10E8">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lastRenderedPageBreak/>
        <w:t>活体供体平均住院日</w:t>
      </w:r>
      <w:r w:rsidRPr="004D0D74">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出院时所有活体供体占用总床日数</m:t>
            </m:r>
          </m:num>
          <m:den>
            <m:r>
              <m:rPr>
                <m:sty m:val="p"/>
              </m:rPr>
              <w:rPr>
                <w:rFonts w:ascii="Cambria Math" w:eastAsia="仿宋_GB2312" w:hAnsi="Cambria Math" w:cs="Times New Roman" w:hint="eastAsia"/>
                <w:sz w:val="24"/>
                <w:szCs w:val="28"/>
              </w:rPr>
              <m:t>同期</m:t>
            </m:r>
            <m:r>
              <m:rPr>
                <m:sty m:val="p"/>
              </m:rPr>
              <w:rPr>
                <w:rFonts w:ascii="Cambria Math" w:eastAsia="仿宋_GB2312" w:hAnsi="Cambria Math" w:cs="Times New Roman"/>
                <w:sz w:val="24"/>
                <w:szCs w:val="28"/>
              </w:rPr>
              <m:t>活体供体出院人数</m:t>
            </m:r>
          </m:den>
        </m:f>
      </m:oMath>
    </w:p>
    <w:p w:rsidR="00995047" w:rsidRDefault="007A0578">
      <w:pPr>
        <w:adjustRightInd w:val="0"/>
        <w:snapToGrid w:val="0"/>
        <w:spacing w:line="360" w:lineRule="auto"/>
        <w:ind w:firstLineChars="200" w:firstLine="643"/>
        <w:rPr>
          <w:rFonts w:ascii="仿宋_GB2312" w:eastAsia="仿宋_GB2312"/>
          <w:sz w:val="32"/>
          <w:szCs w:val="32"/>
        </w:rPr>
      </w:pPr>
      <w:r>
        <w:rPr>
          <w:rFonts w:ascii="仿宋_GB2312" w:eastAsia="仿宋_GB2312" w:hAnsi="宋体" w:cs="Times New Roman" w:hint="eastAsia"/>
          <w:b/>
          <w:sz w:val="32"/>
          <w:szCs w:val="32"/>
        </w:rPr>
        <w:t>意义：</w:t>
      </w:r>
      <w:r>
        <w:rPr>
          <w:rFonts w:ascii="仿宋_GB2312" w:eastAsia="仿宋_GB2312" w:hAnsi="宋体" w:cs="Times New Roman" w:hint="eastAsia"/>
          <w:sz w:val="32"/>
          <w:szCs w:val="32"/>
        </w:rPr>
        <w:t>反映皮肤组织移植技术水平</w:t>
      </w:r>
      <w:r>
        <w:rPr>
          <w:rFonts w:ascii="仿宋_GB2312" w:eastAsia="仿宋_GB2312" w:hint="eastAsia"/>
          <w:sz w:val="32"/>
          <w:szCs w:val="32"/>
        </w:rPr>
        <w:t>，是分析成本效益的重要指标之一。</w:t>
      </w:r>
    </w:p>
    <w:p w:rsidR="00995047" w:rsidRDefault="007A0578">
      <w:pPr>
        <w:adjustRightInd w:val="0"/>
        <w:snapToGrid w:val="0"/>
        <w:spacing w:line="360" w:lineRule="auto"/>
        <w:ind w:firstLineChars="200" w:firstLine="640"/>
        <w:rPr>
          <w:rFonts w:ascii="黑体" w:eastAsia="黑体" w:hAnsi="宋体" w:cs="Times New Roman"/>
          <w:sz w:val="32"/>
          <w:szCs w:val="32"/>
        </w:rPr>
      </w:pPr>
      <w:r>
        <w:rPr>
          <w:rFonts w:ascii="黑体" w:eastAsia="黑体" w:hAnsi="宋体" w:cs="Times New Roman" w:hint="eastAsia"/>
          <w:sz w:val="32"/>
          <w:szCs w:val="32"/>
        </w:rPr>
        <w:t>十、受体平均住院日</w:t>
      </w:r>
    </w:p>
    <w:p w:rsidR="00995047" w:rsidRDefault="007A0578">
      <w:pPr>
        <w:adjustRightInd w:val="0"/>
        <w:snapToGrid w:val="0"/>
        <w:spacing w:line="360" w:lineRule="auto"/>
        <w:ind w:firstLineChars="200" w:firstLine="643"/>
        <w:rPr>
          <w:rFonts w:ascii="仿宋_GB2312" w:eastAsia="仿宋_GB2312" w:hAnsi="宋体" w:cs="Times New Roman"/>
          <w:sz w:val="32"/>
          <w:szCs w:val="32"/>
        </w:rPr>
      </w:pPr>
      <w:r>
        <w:rPr>
          <w:rFonts w:ascii="仿宋_GB2312" w:eastAsia="仿宋_GB2312" w:hAnsi="宋体" w:cs="Times New Roman" w:hint="eastAsia"/>
          <w:b/>
          <w:sz w:val="32"/>
          <w:szCs w:val="32"/>
        </w:rPr>
        <w:t>定义：</w:t>
      </w:r>
      <w:r>
        <w:rPr>
          <w:rFonts w:ascii="仿宋_GB2312" w:eastAsia="仿宋_GB2312" w:hint="eastAsia"/>
          <w:sz w:val="32"/>
          <w:szCs w:val="32"/>
        </w:rPr>
        <w:t>出院时所有受体</w:t>
      </w:r>
      <w:proofErr w:type="gramStart"/>
      <w:r>
        <w:rPr>
          <w:rFonts w:ascii="仿宋_GB2312" w:eastAsia="仿宋_GB2312" w:hint="eastAsia"/>
          <w:sz w:val="32"/>
          <w:szCs w:val="32"/>
        </w:rPr>
        <w:t>占用总床日数</w:t>
      </w:r>
      <w:proofErr w:type="gramEnd"/>
      <w:r>
        <w:rPr>
          <w:rFonts w:ascii="仿宋_GB2312" w:eastAsia="仿宋_GB2312" w:hint="eastAsia"/>
          <w:sz w:val="32"/>
          <w:szCs w:val="32"/>
        </w:rPr>
        <w:t>与同期受体出院人数之比</w:t>
      </w:r>
      <w:r>
        <w:rPr>
          <w:rFonts w:ascii="仿宋_GB2312" w:eastAsia="仿宋_GB2312" w:hAnsi="宋体" w:cs="Times New Roman" w:hint="eastAsia"/>
          <w:sz w:val="32"/>
          <w:szCs w:val="32"/>
        </w:rPr>
        <w:t>。</w:t>
      </w:r>
    </w:p>
    <w:p w:rsidR="00995047" w:rsidRDefault="007A0578">
      <w:pPr>
        <w:adjustRightInd w:val="0"/>
        <w:snapToGrid w:val="0"/>
        <w:spacing w:line="360" w:lineRule="auto"/>
        <w:ind w:firstLineChars="200" w:firstLine="643"/>
        <w:rPr>
          <w:rFonts w:ascii="仿宋_GB2312" w:eastAsia="仿宋_GB2312" w:hAnsi="宋体" w:cs="Times New Roman"/>
          <w:b/>
          <w:sz w:val="32"/>
          <w:szCs w:val="32"/>
        </w:rPr>
      </w:pPr>
      <w:r>
        <w:rPr>
          <w:rFonts w:ascii="仿宋_GB2312" w:eastAsia="仿宋_GB2312" w:hAnsi="宋体" w:cs="Times New Roman" w:hint="eastAsia"/>
          <w:b/>
          <w:sz w:val="32"/>
          <w:szCs w:val="32"/>
        </w:rPr>
        <w:t>计算公式：</w:t>
      </w:r>
    </w:p>
    <w:p w:rsidR="00995047" w:rsidRDefault="007A0578">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受体平均住院日</w:t>
      </w:r>
      <w:r w:rsidRPr="004D0D74">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出院时所有受体占用总床日数</m:t>
            </m:r>
          </m:num>
          <m:den>
            <m:r>
              <m:rPr>
                <m:sty m:val="p"/>
              </m:rPr>
              <w:rPr>
                <w:rFonts w:ascii="Cambria Math" w:eastAsia="仿宋_GB2312" w:hAnsi="Cambria Math" w:cs="Times New Roman" w:hint="eastAsia"/>
                <w:sz w:val="24"/>
                <w:szCs w:val="28"/>
              </w:rPr>
              <m:t>同期</m:t>
            </m:r>
            <m:r>
              <m:rPr>
                <m:sty m:val="p"/>
              </m:rPr>
              <w:rPr>
                <w:rFonts w:ascii="Cambria Math" w:eastAsia="仿宋_GB2312" w:hAnsi="Cambria Math" w:cs="Times New Roman"/>
                <w:sz w:val="24"/>
                <w:szCs w:val="28"/>
              </w:rPr>
              <m:t>受体出院人数</m:t>
            </m:r>
          </m:den>
        </m:f>
      </m:oMath>
    </w:p>
    <w:p w:rsidR="00995047" w:rsidRDefault="007A0578">
      <w:pPr>
        <w:adjustRightInd w:val="0"/>
        <w:snapToGrid w:val="0"/>
        <w:spacing w:line="360" w:lineRule="auto"/>
        <w:ind w:firstLineChars="200" w:firstLine="643"/>
        <w:rPr>
          <w:rFonts w:ascii="仿宋_GB2312" w:eastAsia="仿宋_GB2312"/>
          <w:sz w:val="32"/>
          <w:szCs w:val="32"/>
        </w:rPr>
      </w:pPr>
      <w:r>
        <w:rPr>
          <w:rFonts w:ascii="仿宋_GB2312" w:eastAsia="仿宋_GB2312" w:hAnsi="宋体" w:cs="Times New Roman" w:hint="eastAsia"/>
          <w:b/>
          <w:sz w:val="32"/>
          <w:szCs w:val="32"/>
        </w:rPr>
        <w:t>意义：</w:t>
      </w:r>
      <w:r>
        <w:rPr>
          <w:rFonts w:ascii="仿宋_GB2312" w:eastAsia="仿宋_GB2312" w:hAnsi="宋体" w:cs="Times New Roman" w:hint="eastAsia"/>
          <w:sz w:val="32"/>
          <w:szCs w:val="32"/>
        </w:rPr>
        <w:t>反映皮肤组织移植技术水平</w:t>
      </w:r>
      <w:r>
        <w:rPr>
          <w:rFonts w:ascii="仿宋_GB2312" w:eastAsia="仿宋_GB2312" w:hint="eastAsia"/>
          <w:sz w:val="32"/>
          <w:szCs w:val="32"/>
        </w:rPr>
        <w:t>，是分析成本效益的重要指标之一。</w:t>
      </w:r>
    </w:p>
    <w:p w:rsidR="00995047" w:rsidRDefault="007A0578">
      <w:pPr>
        <w:adjustRightInd w:val="0"/>
        <w:snapToGrid w:val="0"/>
        <w:spacing w:line="360" w:lineRule="auto"/>
        <w:ind w:firstLineChars="200" w:firstLine="562"/>
        <w:rPr>
          <w:rFonts w:ascii="仿宋_GB2312" w:eastAsia="仿宋_GB2312"/>
          <w:b/>
          <w:sz w:val="28"/>
          <w:szCs w:val="28"/>
        </w:rPr>
      </w:pPr>
      <w:r>
        <w:rPr>
          <w:rFonts w:ascii="仿宋_GB2312" w:eastAsia="仿宋_GB2312" w:hint="eastAsia"/>
          <w:b/>
          <w:sz w:val="28"/>
          <w:szCs w:val="28"/>
        </w:rPr>
        <w:t>注：</w:t>
      </w:r>
    </w:p>
    <w:p w:rsidR="00995047" w:rsidRDefault="007A0578">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int="eastAsia"/>
          <w:sz w:val="28"/>
          <w:szCs w:val="28"/>
        </w:rPr>
        <w:t>1.</w:t>
      </w:r>
      <w:r>
        <w:rPr>
          <w:rFonts w:ascii="仿宋_GB2312" w:eastAsia="仿宋_GB2312" w:hAnsi="仿宋_GB2312" w:cs="仿宋_GB2312" w:hint="eastAsia"/>
          <w:sz w:val="28"/>
          <w:szCs w:val="28"/>
        </w:rPr>
        <w:t>自异体混合移植，包括自异体邮票皮混合移植、异体皮覆盖自体微粒皮移植、异体皮开窗自体皮嵌入移植术等。</w:t>
      </w:r>
    </w:p>
    <w:p w:rsidR="00995047" w:rsidRDefault="007A057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Ansi="仿宋_GB2312" w:cs="仿宋_GB2312" w:hint="eastAsia"/>
          <w:sz w:val="28"/>
          <w:szCs w:val="28"/>
        </w:rPr>
        <w:t>小儿特重度烧伤：总面积在25%以上或Ⅲ度烧伤面积在10%以上者。成人特重度烧伤：总面积在51%以上或Ⅲ度烧伤面积在21%以上者。</w:t>
      </w:r>
    </w:p>
    <w:p w:rsidR="00995047" w:rsidRDefault="00995047"/>
    <w:p w:rsidR="00995047" w:rsidRPr="00FC7508" w:rsidRDefault="00995047" w:rsidP="00FC7508">
      <w:pPr>
        <w:widowControl/>
        <w:jc w:val="left"/>
        <w:rPr>
          <w:rFonts w:ascii="仿宋_GB2312" w:eastAsia="仿宋_GB2312"/>
          <w:sz w:val="32"/>
          <w:szCs w:val="32"/>
        </w:rPr>
      </w:pPr>
    </w:p>
    <w:sectPr w:rsidR="00995047" w:rsidRPr="00FC75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9C" w:rsidRDefault="004E299C" w:rsidP="00444434">
      <w:r>
        <w:separator/>
      </w:r>
    </w:p>
  </w:endnote>
  <w:endnote w:type="continuationSeparator" w:id="0">
    <w:p w:rsidR="004E299C" w:rsidRDefault="004E299C" w:rsidP="0044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9C" w:rsidRDefault="004E299C" w:rsidP="00444434">
      <w:r>
        <w:separator/>
      </w:r>
    </w:p>
  </w:footnote>
  <w:footnote w:type="continuationSeparator" w:id="0">
    <w:p w:rsidR="004E299C" w:rsidRDefault="004E299C" w:rsidP="0044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35"/>
    <w:rsid w:val="000C5F35"/>
    <w:rsid w:val="00176DB0"/>
    <w:rsid w:val="00230547"/>
    <w:rsid w:val="00266277"/>
    <w:rsid w:val="00304415"/>
    <w:rsid w:val="003520B4"/>
    <w:rsid w:val="003A05F9"/>
    <w:rsid w:val="00406D23"/>
    <w:rsid w:val="00444434"/>
    <w:rsid w:val="004E299C"/>
    <w:rsid w:val="00590AD2"/>
    <w:rsid w:val="00633EF8"/>
    <w:rsid w:val="00653278"/>
    <w:rsid w:val="00792E52"/>
    <w:rsid w:val="007A0578"/>
    <w:rsid w:val="00845588"/>
    <w:rsid w:val="009307B0"/>
    <w:rsid w:val="00967817"/>
    <w:rsid w:val="00995047"/>
    <w:rsid w:val="00AE5D4C"/>
    <w:rsid w:val="00AF0AA7"/>
    <w:rsid w:val="00BE660C"/>
    <w:rsid w:val="00D12160"/>
    <w:rsid w:val="00DA10E8"/>
    <w:rsid w:val="00DC7571"/>
    <w:rsid w:val="00EE05E8"/>
    <w:rsid w:val="00F11CF3"/>
    <w:rsid w:val="00FC7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821</Characters>
  <Application>Microsoft Office Word</Application>
  <DocSecurity>0</DocSecurity>
  <Lines>58</Lines>
  <Paragraphs>35</Paragraphs>
  <ScaleCrop>false</ScaleCrop>
  <Company>中华人民共和国卫生部</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yxc</dc:creator>
  <cp:lastModifiedBy>医政医管局,医疗质量处,马旭东</cp:lastModifiedBy>
  <cp:revision>3</cp:revision>
  <dcterms:created xsi:type="dcterms:W3CDTF">2016-09-20T01:56:00Z</dcterms:created>
  <dcterms:modified xsi:type="dcterms:W3CDTF">2017-02-04T01:23:00Z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