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E4" w:rsidRDefault="00BB1895">
      <w:pPr>
        <w:adjustRightInd w:val="0"/>
        <w:snapToGrid w:val="0"/>
        <w:spacing w:line="360" w:lineRule="auto"/>
        <w:rPr>
          <w:rFonts w:ascii="黑体" w:eastAsia="黑体" w:hAnsi="黑体"/>
          <w:sz w:val="28"/>
          <w:szCs w:val="28"/>
        </w:rPr>
      </w:pPr>
      <w:r>
        <w:rPr>
          <w:rFonts w:ascii="黑体" w:eastAsia="黑体" w:hAnsi="黑体" w:hint="eastAsia"/>
          <w:sz w:val="28"/>
          <w:szCs w:val="28"/>
        </w:rPr>
        <w:t>附件</w:t>
      </w:r>
      <w:r w:rsidR="00B66C5A">
        <w:rPr>
          <w:rFonts w:ascii="黑体" w:eastAsia="黑体" w:hAnsi="黑体" w:hint="eastAsia"/>
          <w:sz w:val="28"/>
          <w:szCs w:val="28"/>
        </w:rPr>
        <w:t>6</w:t>
      </w:r>
    </w:p>
    <w:p w:rsidR="00384FE4" w:rsidRDefault="00BB1895">
      <w:pPr>
        <w:adjustRightInd w:val="0"/>
        <w:snapToGrid w:val="0"/>
        <w:jc w:val="center"/>
        <w:rPr>
          <w:rFonts w:ascii="宋体" w:hAnsi="宋体"/>
          <w:b/>
          <w:sz w:val="44"/>
          <w:szCs w:val="44"/>
        </w:rPr>
      </w:pPr>
      <w:r>
        <w:rPr>
          <w:rFonts w:ascii="宋体" w:hAnsi="宋体" w:hint="eastAsia"/>
          <w:b/>
          <w:sz w:val="44"/>
          <w:szCs w:val="44"/>
        </w:rPr>
        <w:t>同种异体运动系统结构性组织</w:t>
      </w:r>
    </w:p>
    <w:p w:rsidR="00384FE4" w:rsidRDefault="00BB1895">
      <w:pPr>
        <w:adjustRightInd w:val="0"/>
        <w:snapToGrid w:val="0"/>
        <w:jc w:val="center"/>
        <w:rPr>
          <w:rFonts w:ascii="宋体" w:hAnsi="宋体"/>
          <w:b/>
          <w:sz w:val="44"/>
          <w:szCs w:val="44"/>
        </w:rPr>
      </w:pPr>
      <w:r>
        <w:rPr>
          <w:rFonts w:ascii="宋体" w:hAnsi="宋体"/>
          <w:b/>
          <w:sz w:val="44"/>
          <w:szCs w:val="44"/>
        </w:rPr>
        <w:t>移植技术</w:t>
      </w:r>
      <w:r w:rsidR="00B66C5A" w:rsidRPr="00B66C5A">
        <w:rPr>
          <w:rFonts w:ascii="宋体" w:hAnsi="宋体" w:hint="eastAsia"/>
          <w:b/>
          <w:sz w:val="44"/>
          <w:szCs w:val="44"/>
        </w:rPr>
        <w:t>临床应用质量控制指标</w:t>
      </w:r>
    </w:p>
    <w:p w:rsidR="00384FE4" w:rsidRDefault="00BB1895">
      <w:pPr>
        <w:adjustRightInd w:val="0"/>
        <w:snapToGrid w:val="0"/>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DC034F">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AB2304">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384FE4" w:rsidRDefault="00384FE4">
      <w:pPr>
        <w:adjustRightInd w:val="0"/>
        <w:snapToGrid w:val="0"/>
        <w:spacing w:line="360" w:lineRule="auto"/>
        <w:ind w:firstLineChars="200" w:firstLine="422"/>
        <w:rPr>
          <w:rFonts w:ascii="宋体" w:hAnsi="宋体"/>
          <w:b/>
          <w:szCs w:val="21"/>
        </w:rPr>
      </w:pPr>
    </w:p>
    <w:p w:rsidR="00384FE4" w:rsidRDefault="00BB1895">
      <w:pPr>
        <w:adjustRightInd w:val="0"/>
        <w:snapToGrid w:val="0"/>
        <w:spacing w:line="360" w:lineRule="auto"/>
        <w:ind w:firstLineChars="200" w:firstLine="640"/>
        <w:rPr>
          <w:rFonts w:eastAsia="黑体"/>
          <w:b/>
          <w:sz w:val="32"/>
        </w:rPr>
      </w:pPr>
      <w:r>
        <w:rPr>
          <w:rFonts w:eastAsia="黑体" w:hint="eastAsia"/>
          <w:bCs/>
          <w:sz w:val="32"/>
        </w:rPr>
        <w:t>一、各类来源移植物比例</w:t>
      </w:r>
    </w:p>
    <w:p w:rsidR="00384FE4" w:rsidRDefault="00BB1895">
      <w:pPr>
        <w:pStyle w:val="1"/>
        <w:adjustRightInd w:val="0"/>
        <w:snapToGrid w:val="0"/>
        <w:spacing w:line="360" w:lineRule="auto"/>
        <w:ind w:firstLine="643"/>
        <w:rPr>
          <w:rFonts w:ascii="仿宋_GB2312" w:eastAsia="仿宋_GB2312" w:hAnsi="Times New Roman"/>
          <w:sz w:val="32"/>
          <w:szCs w:val="32"/>
        </w:rPr>
      </w:pPr>
      <w:r>
        <w:rPr>
          <w:rFonts w:ascii="仿宋_GB2312" w:eastAsia="仿宋_GB2312" w:hAnsi="楷体_GB2312" w:cs="楷体_GB2312" w:hint="eastAsia"/>
          <w:b/>
          <w:bCs/>
          <w:sz w:val="32"/>
          <w:szCs w:val="32"/>
        </w:rPr>
        <w:t>定义：</w:t>
      </w:r>
      <w:r>
        <w:rPr>
          <w:rFonts w:ascii="仿宋_GB2312" w:eastAsia="仿宋_GB2312" w:hAnsi="楷体_GB2312" w:cs="楷体_GB2312" w:hint="eastAsia"/>
          <w:bCs/>
          <w:sz w:val="32"/>
          <w:szCs w:val="32"/>
        </w:rPr>
        <w:t>该类</w:t>
      </w:r>
      <w:r>
        <w:rPr>
          <w:rFonts w:ascii="仿宋_GB2312" w:eastAsia="仿宋_GB2312" w:hAnsi="Times New Roman" w:hint="eastAsia"/>
          <w:sz w:val="32"/>
          <w:szCs w:val="32"/>
        </w:rPr>
        <w:t>来源移植物数占同期移植物总数的比例。（见注1）</w:t>
      </w:r>
    </w:p>
    <w:p w:rsidR="00384FE4" w:rsidRDefault="00BB1895">
      <w:pPr>
        <w:pStyle w:val="1"/>
        <w:adjustRightInd w:val="0"/>
        <w:snapToGrid w:val="0"/>
        <w:spacing w:line="360" w:lineRule="auto"/>
        <w:ind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计算公式:</w:t>
      </w:r>
      <w:r>
        <w:rPr>
          <w:rFonts w:ascii="仿宋_GB2312" w:eastAsia="仿宋_GB2312" w:hAnsi="楷体_GB2312" w:cs="楷体_GB2312"/>
          <w:b/>
          <w:bCs/>
          <w:sz w:val="32"/>
          <w:szCs w:val="32"/>
        </w:rPr>
        <w:t xml:space="preserve"> </w:t>
      </w:r>
    </w:p>
    <w:p w:rsidR="00384FE4" w:rsidRDefault="00A97A4F">
      <w:pPr>
        <w:pStyle w:val="1"/>
        <w:adjustRightInd w:val="0"/>
        <w:snapToGrid w:val="0"/>
        <w:spacing w:line="360" w:lineRule="auto"/>
        <w:ind w:firstLine="480"/>
        <w:rPr>
          <w:rFonts w:ascii="Cambria Math" w:eastAsia="仿宋_GB2312" w:hAnsi="Cambria Math"/>
          <w:sz w:val="24"/>
          <w:szCs w:val="28"/>
        </w:rPr>
      </w:pPr>
      <w:r w:rsidRPr="00DE78AD">
        <w:rPr>
          <w:rFonts w:ascii="Cambria Math" w:eastAsia="仿宋_GB2312" w:hAnsi="Cambria Math" w:hint="eastAsia"/>
          <w:sz w:val="24"/>
          <w:szCs w:val="28"/>
        </w:rPr>
        <w:t>各类来源移植物比例</w:t>
      </w:r>
      <w:r w:rsidRPr="00DE78AD">
        <w:rPr>
          <w:rFonts w:ascii="Cambria Math" w:eastAsia="仿宋_GB2312" w:hAnsi="Cambria Math" w:hint="eastAsia"/>
          <w:sz w:val="24"/>
          <w:szCs w:val="28"/>
        </w:rPr>
        <w:t xml:space="preserve">= </w:t>
      </w:r>
      <m:oMath>
        <m:f>
          <m:fPr>
            <m:ctrlPr>
              <w:rPr>
                <w:rFonts w:ascii="Cambria Math" w:eastAsia="仿宋_GB2312" w:hAnsi="Cambria Math"/>
                <w:sz w:val="24"/>
                <w:szCs w:val="28"/>
              </w:rPr>
            </m:ctrlPr>
          </m:fPr>
          <m:num>
            <m:r>
              <m:rPr>
                <m:sty m:val="p"/>
              </m:rPr>
              <w:rPr>
                <w:rFonts w:ascii="Cambria Math" w:eastAsia="仿宋_GB2312" w:hAnsi="Cambria Math"/>
                <w:sz w:val="24"/>
                <w:szCs w:val="28"/>
              </w:rPr>
              <m:t>该类来源移植物数</m:t>
            </m:r>
          </m:num>
          <m:den>
            <m:r>
              <m:rPr>
                <m:sty m:val="p"/>
              </m:rPr>
              <w:rPr>
                <w:rFonts w:ascii="Cambria Math" w:eastAsia="仿宋_GB2312" w:hAnsi="Cambria Math"/>
                <w:sz w:val="24"/>
                <w:szCs w:val="28"/>
              </w:rPr>
              <m:t>同期移植物总数</m:t>
            </m:r>
          </m:den>
        </m:f>
      </m:oMath>
      <w:r w:rsidRPr="00DE78AD">
        <w:rPr>
          <w:rFonts w:ascii="Cambria Math" w:eastAsia="仿宋_GB2312" w:hAnsi="Cambria Math" w:hint="eastAsia"/>
          <w:sz w:val="24"/>
          <w:szCs w:val="28"/>
        </w:rPr>
        <w:t>×</w:t>
      </w:r>
      <w:r w:rsidRPr="00DE78AD">
        <w:rPr>
          <w:rFonts w:ascii="Cambria Math" w:eastAsia="仿宋_GB2312" w:hAnsi="Cambria Math" w:hint="eastAsia"/>
          <w:sz w:val="24"/>
          <w:szCs w:val="28"/>
        </w:rPr>
        <w:t>100%</w:t>
      </w:r>
    </w:p>
    <w:p w:rsidR="00384FE4" w:rsidRDefault="00BB1895">
      <w:pPr>
        <w:adjustRightInd w:val="0"/>
        <w:snapToGrid w:val="0"/>
        <w:spacing w:line="360" w:lineRule="auto"/>
        <w:ind w:firstLine="200"/>
        <w:rPr>
          <w:rFonts w:ascii="仿宋_GB2312" w:eastAsia="仿宋_GB2312"/>
          <w:b/>
          <w:sz w:val="32"/>
        </w:rPr>
      </w:pPr>
      <w:r>
        <w:rPr>
          <w:rFonts w:ascii="仿宋_GB2312" w:eastAsia="仿宋_GB2312" w:hint="eastAsia"/>
          <w:b/>
          <w:sz w:val="32"/>
        </w:rPr>
        <w:t xml:space="preserve">   </w:t>
      </w:r>
      <w:r>
        <w:rPr>
          <w:rFonts w:ascii="仿宋_GB2312" w:eastAsia="仿宋_GB2312" w:hAnsi="楷体_GB2312" w:cs="楷体_GB2312" w:hint="eastAsia"/>
          <w:b/>
          <w:sz w:val="32"/>
          <w:szCs w:val="32"/>
        </w:rPr>
        <w:t>意义：</w:t>
      </w:r>
      <w:r>
        <w:rPr>
          <w:rFonts w:ascii="仿宋_GB2312" w:eastAsia="仿宋_GB2312" w:hint="eastAsia"/>
          <w:sz w:val="32"/>
          <w:szCs w:val="32"/>
        </w:rPr>
        <w:t>反映移植物来源的规范性。</w:t>
      </w:r>
    </w:p>
    <w:p w:rsidR="00384FE4" w:rsidRDefault="00BB1895">
      <w:pPr>
        <w:adjustRightInd w:val="0"/>
        <w:snapToGrid w:val="0"/>
        <w:spacing w:line="360" w:lineRule="auto"/>
        <w:ind w:firstLineChars="200" w:firstLine="640"/>
        <w:rPr>
          <w:rFonts w:eastAsia="黑体"/>
          <w:bCs/>
          <w:sz w:val="32"/>
        </w:rPr>
      </w:pPr>
      <w:r>
        <w:rPr>
          <w:rFonts w:eastAsia="黑体" w:hint="eastAsia"/>
          <w:bCs/>
          <w:sz w:val="32"/>
        </w:rPr>
        <w:t>二、术中移植物微生物培养阳性率</w:t>
      </w:r>
    </w:p>
    <w:p w:rsidR="00384FE4" w:rsidRDefault="00BB1895">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sz w:val="32"/>
          <w:szCs w:val="32"/>
        </w:rPr>
        <w:t>定义：</w:t>
      </w:r>
      <w:r>
        <w:rPr>
          <w:rFonts w:ascii="仿宋_GB2312" w:eastAsia="仿宋_GB2312" w:hAnsi="仿宋_GB2312" w:cs="仿宋_GB2312" w:hint="eastAsia"/>
          <w:bCs/>
          <w:sz w:val="32"/>
          <w:szCs w:val="32"/>
        </w:rPr>
        <w:t>术中移植物微生物（细菌、真菌、支原体等）培养阳性的样本数占同期术中移植物微生物</w:t>
      </w:r>
      <w:proofErr w:type="gramStart"/>
      <w:r>
        <w:rPr>
          <w:rFonts w:ascii="仿宋_GB2312" w:eastAsia="仿宋_GB2312" w:hAnsi="仿宋_GB2312" w:cs="仿宋_GB2312" w:hint="eastAsia"/>
          <w:bCs/>
          <w:sz w:val="32"/>
          <w:szCs w:val="32"/>
        </w:rPr>
        <w:t>培养总</w:t>
      </w:r>
      <w:proofErr w:type="gramEnd"/>
      <w:r>
        <w:rPr>
          <w:rFonts w:ascii="仿宋_GB2312" w:eastAsia="仿宋_GB2312" w:hAnsi="仿宋_GB2312" w:cs="仿宋_GB2312" w:hint="eastAsia"/>
          <w:bCs/>
          <w:sz w:val="32"/>
          <w:szCs w:val="32"/>
        </w:rPr>
        <w:t>样本数的比例。</w:t>
      </w:r>
    </w:p>
    <w:p w:rsidR="00384FE4" w:rsidRDefault="00BB1895">
      <w:pPr>
        <w:adjustRightInd w:val="0"/>
        <w:snapToGrid w:val="0"/>
        <w:spacing w:line="360" w:lineRule="auto"/>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计算公式：</w:t>
      </w:r>
    </w:p>
    <w:p w:rsidR="00384FE4" w:rsidRDefault="0001389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术中移植物微生物培养阳性率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术中移植物微生物培养阳性的样本数</m:t>
            </m:r>
          </m:num>
          <m:den>
            <m:r>
              <m:rPr>
                <m:sty m:val="p"/>
              </m:rPr>
              <w:rPr>
                <w:rFonts w:ascii="Cambria Math" w:eastAsia="仿宋_GB2312" w:hAnsi="Cambria Math" w:cs="Times New Roman"/>
                <w:sz w:val="24"/>
                <w:szCs w:val="28"/>
              </w:rPr>
              <m:t>同期术中移植物微生物培养总样本数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384FE4" w:rsidRDefault="00BB1895">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sz w:val="32"/>
          <w:szCs w:val="32"/>
        </w:rPr>
        <w:t>意义：</w:t>
      </w:r>
      <w:r>
        <w:rPr>
          <w:rFonts w:ascii="仿宋_GB2312" w:eastAsia="仿宋_GB2312" w:hint="eastAsia"/>
          <w:sz w:val="32"/>
          <w:szCs w:val="32"/>
        </w:rPr>
        <w:t>反映同种异体运动系统结构性组织移植术中感染风险</w:t>
      </w:r>
      <w:r>
        <w:rPr>
          <w:rFonts w:ascii="仿宋_GB2312" w:eastAsia="仿宋_GB2312" w:hAnsi="仿宋_GB2312" w:cs="仿宋_GB2312" w:hint="eastAsia"/>
          <w:bCs/>
          <w:sz w:val="32"/>
          <w:szCs w:val="32"/>
        </w:rPr>
        <w:t>。</w:t>
      </w:r>
    </w:p>
    <w:p w:rsidR="00384FE4" w:rsidRDefault="00BB1895">
      <w:pPr>
        <w:adjustRightInd w:val="0"/>
        <w:snapToGrid w:val="0"/>
        <w:spacing w:line="360" w:lineRule="auto"/>
        <w:ind w:firstLineChars="200" w:firstLine="640"/>
        <w:rPr>
          <w:rFonts w:eastAsia="黑体" w:cs="Times New Roman"/>
          <w:bCs/>
          <w:sz w:val="32"/>
        </w:rPr>
      </w:pPr>
      <w:r>
        <w:rPr>
          <w:rFonts w:eastAsia="黑体" w:cs="Times New Roman" w:hint="eastAsia"/>
          <w:bCs/>
          <w:sz w:val="32"/>
        </w:rPr>
        <w:t>三、</w:t>
      </w:r>
      <w:proofErr w:type="gramStart"/>
      <w:r>
        <w:rPr>
          <w:rFonts w:eastAsia="黑体" w:cs="Times New Roman" w:hint="eastAsia"/>
          <w:bCs/>
          <w:sz w:val="32"/>
        </w:rPr>
        <w:t>围手术期</w:t>
      </w:r>
      <w:proofErr w:type="gramEnd"/>
      <w:r>
        <w:rPr>
          <w:rFonts w:eastAsia="黑体" w:cs="Times New Roman" w:hint="eastAsia"/>
          <w:bCs/>
          <w:sz w:val="32"/>
        </w:rPr>
        <w:t>并发症发生率</w:t>
      </w:r>
    </w:p>
    <w:p w:rsidR="00384FE4" w:rsidRDefault="00BB1895">
      <w:pPr>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楷体_GB2312" w:cs="楷体_GB2312" w:hint="eastAsia"/>
          <w:b/>
          <w:sz w:val="32"/>
          <w:szCs w:val="32"/>
        </w:rPr>
        <w:t>定义：</w:t>
      </w:r>
      <w:r>
        <w:rPr>
          <w:rFonts w:ascii="仿宋_GB2312" w:eastAsia="仿宋_GB2312" w:hAnsi="楷体_GB2312" w:cs="楷体_GB2312" w:hint="eastAsia"/>
          <w:sz w:val="32"/>
          <w:szCs w:val="32"/>
        </w:rPr>
        <w:t>围手术期</w:t>
      </w:r>
      <w:r>
        <w:rPr>
          <w:rFonts w:ascii="仿宋_GB2312" w:eastAsia="仿宋_GB2312" w:hAnsi="仿宋_GB2312" w:cs="仿宋_GB2312" w:hint="eastAsia"/>
          <w:bCs/>
          <w:sz w:val="32"/>
          <w:szCs w:val="32"/>
        </w:rPr>
        <w:t>并发症是指同种</w:t>
      </w:r>
      <w:r>
        <w:rPr>
          <w:rFonts w:ascii="仿宋_GB2312" w:eastAsia="仿宋_GB2312" w:hint="eastAsia"/>
          <w:sz w:val="32"/>
          <w:szCs w:val="32"/>
        </w:rPr>
        <w:t>异体运动系统结构性组织</w:t>
      </w:r>
      <w:r>
        <w:rPr>
          <w:rFonts w:ascii="仿宋_GB2312" w:eastAsia="仿宋_GB2312" w:hAnsi="仿宋_GB2312" w:cs="仿宋_GB2312" w:hint="eastAsia"/>
          <w:bCs/>
          <w:sz w:val="32"/>
          <w:szCs w:val="32"/>
        </w:rPr>
        <w:t>移植术后30</w:t>
      </w:r>
      <w:r w:rsidR="00AB2304">
        <w:rPr>
          <w:rFonts w:ascii="仿宋_GB2312" w:eastAsia="仿宋_GB2312" w:hAnsi="仿宋_GB2312" w:cs="仿宋_GB2312" w:hint="eastAsia"/>
          <w:bCs/>
          <w:sz w:val="32"/>
          <w:szCs w:val="32"/>
        </w:rPr>
        <w:t>天</w:t>
      </w:r>
      <w:r>
        <w:rPr>
          <w:rFonts w:ascii="仿宋_GB2312" w:eastAsia="仿宋_GB2312" w:hAnsi="仿宋_GB2312" w:cs="仿宋_GB2312" w:hint="eastAsia"/>
          <w:bCs/>
          <w:sz w:val="32"/>
          <w:szCs w:val="32"/>
        </w:rPr>
        <w:t>内发生的并发症，包括</w:t>
      </w:r>
      <w:r>
        <w:rPr>
          <w:rFonts w:ascii="仿宋_GB2312" w:eastAsia="仿宋_GB2312" w:hAnsi="Times New Roman" w:hint="eastAsia"/>
          <w:sz w:val="32"/>
          <w:szCs w:val="32"/>
        </w:rPr>
        <w:t>感染、血栓形成、移植失败</w:t>
      </w:r>
      <w:r>
        <w:rPr>
          <w:rFonts w:ascii="仿宋_GB2312" w:eastAsia="仿宋_GB2312" w:hAnsi="仿宋_GB2312" w:cs="仿宋_GB2312" w:hint="eastAsia"/>
          <w:bCs/>
          <w:sz w:val="32"/>
          <w:szCs w:val="32"/>
        </w:rPr>
        <w:t>等。</w:t>
      </w:r>
      <w:proofErr w:type="gramStart"/>
      <w:r>
        <w:rPr>
          <w:rFonts w:ascii="仿宋_GB2312" w:eastAsia="仿宋_GB2312" w:hAnsi="仿宋_GB2312" w:cs="仿宋_GB2312" w:hint="eastAsia"/>
          <w:bCs/>
          <w:sz w:val="32"/>
          <w:szCs w:val="32"/>
        </w:rPr>
        <w:t>围手术期</w:t>
      </w:r>
      <w:proofErr w:type="gramEnd"/>
      <w:r>
        <w:rPr>
          <w:rFonts w:ascii="仿宋_GB2312" w:eastAsia="仿宋_GB2312" w:hAnsi="仿宋_GB2312" w:cs="仿宋_GB2312" w:hint="eastAsia"/>
          <w:bCs/>
          <w:sz w:val="32"/>
          <w:szCs w:val="32"/>
        </w:rPr>
        <w:t>并发症发生率是指</w:t>
      </w:r>
      <w:proofErr w:type="gramStart"/>
      <w:r>
        <w:rPr>
          <w:rFonts w:ascii="仿宋_GB2312" w:eastAsia="仿宋_GB2312" w:hAnsi="仿宋_GB2312" w:cs="仿宋_GB2312" w:hint="eastAsia"/>
          <w:bCs/>
          <w:sz w:val="32"/>
          <w:szCs w:val="32"/>
        </w:rPr>
        <w:t>围手术期</w:t>
      </w:r>
      <w:proofErr w:type="gramEnd"/>
      <w:r>
        <w:rPr>
          <w:rFonts w:ascii="仿宋_GB2312" w:eastAsia="仿宋_GB2312" w:hAnsi="仿宋_GB2312" w:cs="仿宋_GB2312" w:hint="eastAsia"/>
          <w:bCs/>
          <w:sz w:val="32"/>
          <w:szCs w:val="32"/>
        </w:rPr>
        <w:t>并发症发</w:t>
      </w:r>
      <w:r>
        <w:rPr>
          <w:rFonts w:ascii="仿宋_GB2312" w:eastAsia="仿宋_GB2312" w:hAnsi="仿宋_GB2312" w:cs="仿宋_GB2312" w:hint="eastAsia"/>
          <w:bCs/>
          <w:sz w:val="32"/>
          <w:szCs w:val="32"/>
        </w:rPr>
        <w:lastRenderedPageBreak/>
        <w:t>生的例次数占同期同种</w:t>
      </w:r>
      <w:r>
        <w:rPr>
          <w:rFonts w:ascii="仿宋_GB2312" w:eastAsia="仿宋_GB2312" w:hint="eastAsia"/>
          <w:sz w:val="32"/>
          <w:szCs w:val="32"/>
        </w:rPr>
        <w:t>异体运动系统结构性组织</w:t>
      </w:r>
      <w:r>
        <w:rPr>
          <w:rFonts w:ascii="仿宋_GB2312" w:eastAsia="仿宋_GB2312" w:hAnsi="仿宋_GB2312" w:cs="仿宋_GB2312" w:hint="eastAsia"/>
          <w:bCs/>
          <w:sz w:val="32"/>
          <w:szCs w:val="32"/>
        </w:rPr>
        <w:t>移植</w:t>
      </w:r>
      <w:proofErr w:type="gramStart"/>
      <w:r>
        <w:rPr>
          <w:rFonts w:ascii="仿宋_GB2312" w:eastAsia="仿宋_GB2312" w:hAnsi="仿宋_GB2312" w:cs="仿宋_GB2312" w:hint="eastAsia"/>
          <w:bCs/>
          <w:sz w:val="32"/>
          <w:szCs w:val="32"/>
        </w:rPr>
        <w:t>手术总</w:t>
      </w:r>
      <w:proofErr w:type="gramEnd"/>
      <w:r>
        <w:rPr>
          <w:rFonts w:ascii="仿宋_GB2312" w:eastAsia="仿宋_GB2312" w:hAnsi="仿宋_GB2312" w:cs="仿宋_GB2312" w:hint="eastAsia"/>
          <w:bCs/>
          <w:sz w:val="32"/>
          <w:szCs w:val="32"/>
        </w:rPr>
        <w:t>例次数的比例。</w:t>
      </w:r>
    </w:p>
    <w:p w:rsidR="00384FE4" w:rsidRDefault="00BB1895">
      <w:pPr>
        <w:adjustRightInd w:val="0"/>
        <w:snapToGrid w:val="0"/>
        <w:spacing w:line="360" w:lineRule="auto"/>
        <w:ind w:firstLineChars="200" w:firstLine="643"/>
        <w:rPr>
          <w:rFonts w:ascii="仿宋_GB2312" w:eastAsia="仿宋_GB2312" w:hAnsi="楷体_GB2312" w:cs="楷体_GB2312"/>
          <w:b/>
          <w:sz w:val="32"/>
          <w:szCs w:val="32"/>
        </w:rPr>
      </w:pPr>
      <w:r>
        <w:rPr>
          <w:rFonts w:ascii="仿宋_GB2312" w:eastAsia="仿宋_GB2312" w:hAnsi="楷体_GB2312" w:cs="楷体_GB2312" w:hint="eastAsia"/>
          <w:b/>
          <w:sz w:val="32"/>
          <w:szCs w:val="32"/>
        </w:rPr>
        <w:t>计算公式：</w:t>
      </w:r>
    </w:p>
    <w:p w:rsidR="00384FE4" w:rsidRDefault="00933CE5">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围手术期并发症发生率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围手术期并发症发生的例次数</m:t>
            </m:r>
          </m:num>
          <m:den>
            <m:r>
              <m:rPr>
                <m:sty m:val="p"/>
              </m:rPr>
              <w:rPr>
                <w:rFonts w:ascii="Cambria Math" w:eastAsia="仿宋_GB2312" w:hAnsi="Cambria Math" w:cs="Times New Roman"/>
                <w:sz w:val="24"/>
                <w:szCs w:val="28"/>
              </w:rPr>
              <m:t>同期同种</m:t>
            </m:r>
            <m:r>
              <m:rPr>
                <m:sty m:val="p"/>
              </m:rPr>
              <w:rPr>
                <w:rFonts w:ascii="Cambria Math" w:eastAsia="仿宋_GB2312" w:hAnsi="Cambria Math" w:cs="Times New Roman" w:hint="eastAsia"/>
                <w:sz w:val="24"/>
                <w:szCs w:val="28"/>
              </w:rPr>
              <m:t>异体运动系统结构性组织</m:t>
            </m:r>
            <m:r>
              <m:rPr>
                <m:sty m:val="p"/>
              </m:rPr>
              <w:rPr>
                <w:rFonts w:ascii="Cambria Math" w:eastAsia="仿宋_GB2312" w:hAnsi="Cambria Math" w:cs="Times New Roman"/>
                <w:sz w:val="24"/>
                <w:szCs w:val="28"/>
              </w:rPr>
              <m:t>移植手术总例次数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384FE4" w:rsidRDefault="00BB1895">
      <w:pPr>
        <w:pStyle w:val="1"/>
        <w:adjustRightInd w:val="0"/>
        <w:snapToGrid w:val="0"/>
        <w:spacing w:line="360" w:lineRule="auto"/>
        <w:ind w:firstLine="643"/>
        <w:rPr>
          <w:rFonts w:ascii="仿宋_GB2312" w:eastAsia="仿宋_GB2312" w:hAnsi="Times New Roman"/>
          <w:sz w:val="32"/>
          <w:szCs w:val="32"/>
        </w:rPr>
      </w:pPr>
      <w:r>
        <w:rPr>
          <w:rFonts w:ascii="仿宋_GB2312" w:eastAsia="仿宋_GB2312" w:hAnsi="楷体_GB2312" w:cs="楷体_GB2312" w:hint="eastAsia"/>
          <w:b/>
          <w:bCs/>
          <w:sz w:val="32"/>
          <w:szCs w:val="32"/>
        </w:rPr>
        <w:t>意义：</w:t>
      </w:r>
      <w:r>
        <w:rPr>
          <w:rFonts w:ascii="仿宋_GB2312" w:eastAsia="仿宋_GB2312" w:hAnsi="仿宋_GB2312" w:cs="仿宋_GB2312" w:hint="eastAsia"/>
          <w:sz w:val="32"/>
          <w:szCs w:val="32"/>
        </w:rPr>
        <w:t>反映</w:t>
      </w:r>
      <w:r>
        <w:rPr>
          <w:rFonts w:ascii="仿宋_GB2312" w:eastAsia="仿宋_GB2312" w:hint="eastAsia"/>
          <w:sz w:val="32"/>
          <w:szCs w:val="32"/>
        </w:rPr>
        <w:t>同种异体运动系统结构性组织移植</w:t>
      </w:r>
      <w:r>
        <w:rPr>
          <w:rFonts w:ascii="仿宋_GB2312" w:eastAsia="仿宋_GB2312" w:hAnsi="Times New Roman" w:hint="eastAsia"/>
          <w:sz w:val="32"/>
          <w:szCs w:val="32"/>
        </w:rPr>
        <w:t>手术的安全性。</w:t>
      </w:r>
    </w:p>
    <w:p w:rsidR="00384FE4" w:rsidRDefault="00BB1895">
      <w:pPr>
        <w:adjustRightInd w:val="0"/>
        <w:snapToGrid w:val="0"/>
        <w:spacing w:line="360" w:lineRule="auto"/>
        <w:ind w:firstLineChars="200" w:firstLine="640"/>
        <w:rPr>
          <w:rFonts w:eastAsia="黑体"/>
          <w:bCs/>
          <w:sz w:val="32"/>
        </w:rPr>
      </w:pPr>
      <w:r>
        <w:rPr>
          <w:rFonts w:eastAsia="黑体" w:hint="eastAsia"/>
          <w:bCs/>
          <w:sz w:val="32"/>
        </w:rPr>
        <w:t>四、移植后临床满意率</w:t>
      </w:r>
    </w:p>
    <w:p w:rsidR="00384FE4" w:rsidRDefault="00BB1895">
      <w:pPr>
        <w:pStyle w:val="1"/>
        <w:adjustRightInd w:val="0"/>
        <w:snapToGrid w:val="0"/>
        <w:spacing w:line="360" w:lineRule="auto"/>
        <w:ind w:firstLine="643"/>
        <w:rPr>
          <w:rFonts w:ascii="仿宋_GB2312" w:eastAsia="仿宋_GB2312" w:hAnsi="Times New Roman"/>
          <w:sz w:val="32"/>
          <w:szCs w:val="32"/>
        </w:rPr>
      </w:pPr>
      <w:r>
        <w:rPr>
          <w:rFonts w:ascii="仿宋_GB2312" w:eastAsia="仿宋_GB2312" w:hAnsi="楷体_GB2312" w:cs="楷体_GB2312" w:hint="eastAsia"/>
          <w:b/>
          <w:bCs/>
          <w:sz w:val="32"/>
          <w:szCs w:val="32"/>
        </w:rPr>
        <w:t>定义：</w:t>
      </w:r>
      <w:r>
        <w:rPr>
          <w:rFonts w:ascii="仿宋_GB2312" w:eastAsia="仿宋_GB2312" w:hAnsi="楷体_GB2312" w:cs="楷体_GB2312" w:hint="eastAsia"/>
          <w:bCs/>
          <w:sz w:val="32"/>
          <w:szCs w:val="32"/>
        </w:rPr>
        <w:t>实施</w:t>
      </w:r>
      <w:r>
        <w:rPr>
          <w:rFonts w:ascii="仿宋_GB2312" w:eastAsia="仿宋_GB2312" w:hint="eastAsia"/>
          <w:sz w:val="32"/>
          <w:szCs w:val="32"/>
        </w:rPr>
        <w:t>同种异体运动系统结构性组织移植的患者，移植后临床满意的例次数占同期同种异体运动系统结构性组织移植</w:t>
      </w:r>
      <w:proofErr w:type="gramStart"/>
      <w:r>
        <w:rPr>
          <w:rFonts w:ascii="仿宋_GB2312" w:eastAsia="仿宋_GB2312" w:hint="eastAsia"/>
          <w:sz w:val="32"/>
          <w:szCs w:val="32"/>
        </w:rPr>
        <w:t>手术总</w:t>
      </w:r>
      <w:proofErr w:type="gramEnd"/>
      <w:r>
        <w:rPr>
          <w:rFonts w:ascii="仿宋_GB2312" w:eastAsia="仿宋_GB2312" w:hint="eastAsia"/>
          <w:sz w:val="32"/>
          <w:szCs w:val="32"/>
        </w:rPr>
        <w:t>例次数的比例。（见注2）</w:t>
      </w:r>
    </w:p>
    <w:p w:rsidR="00384FE4" w:rsidRDefault="00BB1895">
      <w:pPr>
        <w:pStyle w:val="1"/>
        <w:adjustRightInd w:val="0"/>
        <w:snapToGrid w:val="0"/>
        <w:spacing w:line="360" w:lineRule="auto"/>
        <w:ind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计算公式：</w:t>
      </w:r>
    </w:p>
    <w:p w:rsidR="00384FE4" w:rsidRDefault="0051637B">
      <w:pPr>
        <w:pStyle w:val="1"/>
        <w:adjustRightInd w:val="0"/>
        <w:snapToGrid w:val="0"/>
        <w:spacing w:line="360" w:lineRule="auto"/>
        <w:ind w:firstLine="480"/>
        <w:rPr>
          <w:rFonts w:ascii="Cambria Math" w:eastAsia="仿宋_GB2312" w:hAnsi="Cambria Math"/>
          <w:sz w:val="24"/>
          <w:szCs w:val="28"/>
        </w:rPr>
      </w:pPr>
      <m:oMath>
        <m:r>
          <m:rPr>
            <m:sty m:val="p"/>
          </m:rPr>
          <w:rPr>
            <w:rFonts w:ascii="Cambria Math" w:eastAsia="仿宋_GB2312" w:hAnsi="Cambria Math"/>
            <w:sz w:val="24"/>
            <w:szCs w:val="28"/>
          </w:rPr>
          <m:t>移植后临床满意率</m:t>
        </m:r>
      </m:oMath>
      <w:r w:rsidRPr="00FB08FF">
        <w:rPr>
          <w:rFonts w:ascii="Cambria Math" w:eastAsia="仿宋_GB2312" w:hAnsi="Cambria Math" w:hint="eastAsia"/>
          <w:sz w:val="24"/>
          <w:szCs w:val="28"/>
        </w:rPr>
        <w:t>=</w:t>
      </w:r>
      <m:oMath>
        <m:f>
          <m:fPr>
            <m:ctrlPr>
              <w:rPr>
                <w:rFonts w:ascii="Cambria Math" w:eastAsia="仿宋_GB2312" w:hAnsi="Cambria Math"/>
                <w:sz w:val="24"/>
                <w:szCs w:val="28"/>
              </w:rPr>
            </m:ctrlPr>
          </m:fPr>
          <m:num>
            <m:r>
              <m:rPr>
                <m:sty m:val="p"/>
              </m:rPr>
              <w:rPr>
                <w:rFonts w:ascii="Cambria Math" w:eastAsia="仿宋_GB2312" w:hAnsi="Cambria Math"/>
                <w:sz w:val="24"/>
                <w:szCs w:val="28"/>
              </w:rPr>
              <m:t>移植后临床满意的例次数</m:t>
            </m:r>
          </m:num>
          <m:den>
            <m:r>
              <m:rPr>
                <m:sty m:val="p"/>
              </m:rPr>
              <w:rPr>
                <w:rFonts w:ascii="Cambria Math" w:eastAsia="仿宋_GB2312" w:hAnsi="Cambria Math"/>
                <w:sz w:val="24"/>
                <w:szCs w:val="28"/>
              </w:rPr>
              <m:t>同期同种</m:t>
            </m:r>
            <m:r>
              <m:rPr>
                <m:sty m:val="p"/>
              </m:rPr>
              <w:rPr>
                <w:rFonts w:ascii="Cambria Math" w:eastAsia="仿宋_GB2312" w:hAnsi="Cambria Math" w:hint="eastAsia"/>
                <w:sz w:val="24"/>
                <w:szCs w:val="28"/>
              </w:rPr>
              <m:t>异体运动系统结构性组织</m:t>
            </m:r>
            <m:r>
              <m:rPr>
                <m:sty m:val="p"/>
              </m:rPr>
              <w:rPr>
                <w:rFonts w:ascii="Cambria Math" w:eastAsia="仿宋_GB2312" w:hAnsi="Cambria Math"/>
                <w:sz w:val="24"/>
                <w:szCs w:val="28"/>
              </w:rPr>
              <m:t>移植手术总例次数</m:t>
            </m:r>
          </m:den>
        </m:f>
      </m:oMath>
      <w:r w:rsidRPr="00FB08FF">
        <w:rPr>
          <w:rFonts w:ascii="Cambria Math" w:eastAsia="仿宋_GB2312" w:hAnsi="Cambria Math" w:hint="eastAsia"/>
          <w:sz w:val="24"/>
          <w:szCs w:val="28"/>
        </w:rPr>
        <w:t>×</w:t>
      </w:r>
      <w:r w:rsidRPr="00FB08FF">
        <w:rPr>
          <w:rFonts w:ascii="Cambria Math" w:eastAsia="仿宋_GB2312" w:hAnsi="Cambria Math" w:hint="eastAsia"/>
          <w:sz w:val="24"/>
          <w:szCs w:val="28"/>
        </w:rPr>
        <w:t>100%</w:t>
      </w:r>
    </w:p>
    <w:p w:rsidR="00384FE4" w:rsidRDefault="00BB1895">
      <w:pPr>
        <w:adjustRightInd w:val="0"/>
        <w:snapToGrid w:val="0"/>
        <w:spacing w:line="360" w:lineRule="auto"/>
        <w:ind w:firstLineChars="193" w:firstLine="620"/>
        <w:rPr>
          <w:rFonts w:ascii="仿宋_GB2312" w:eastAsia="仿宋_GB2312"/>
          <w:sz w:val="32"/>
          <w:szCs w:val="32"/>
        </w:rPr>
      </w:pPr>
      <w:r>
        <w:rPr>
          <w:rFonts w:ascii="仿宋_GB2312" w:eastAsia="仿宋_GB2312" w:hAnsi="楷体_GB2312" w:cs="楷体_GB2312" w:hint="eastAsia"/>
          <w:b/>
          <w:bCs/>
          <w:sz w:val="32"/>
          <w:szCs w:val="32"/>
        </w:rPr>
        <w:t>意义：</w:t>
      </w:r>
      <w:r>
        <w:rPr>
          <w:rFonts w:ascii="仿宋_GB2312" w:eastAsia="仿宋_GB2312" w:hint="eastAsia"/>
          <w:sz w:val="32"/>
          <w:szCs w:val="32"/>
        </w:rPr>
        <w:t>反映同种异体运动系统结构性组织移植手术效果。</w:t>
      </w:r>
    </w:p>
    <w:p w:rsidR="00384FE4" w:rsidRDefault="00BB1895">
      <w:pPr>
        <w:adjustRightInd w:val="0"/>
        <w:snapToGrid w:val="0"/>
        <w:spacing w:line="360" w:lineRule="auto"/>
        <w:ind w:firstLineChars="200" w:firstLine="640"/>
        <w:rPr>
          <w:rFonts w:eastAsia="黑体"/>
          <w:bCs/>
          <w:sz w:val="32"/>
        </w:rPr>
      </w:pPr>
      <w:r>
        <w:rPr>
          <w:rFonts w:eastAsia="黑体" w:hint="eastAsia"/>
          <w:bCs/>
          <w:sz w:val="32"/>
        </w:rPr>
        <w:t>五、移植后影像学和电生理学评估优良率</w:t>
      </w:r>
    </w:p>
    <w:p w:rsidR="00384FE4" w:rsidRDefault="00BB1895">
      <w:pPr>
        <w:pStyle w:val="1"/>
        <w:adjustRightInd w:val="0"/>
        <w:snapToGrid w:val="0"/>
        <w:spacing w:line="360" w:lineRule="auto"/>
        <w:ind w:firstLine="643"/>
        <w:rPr>
          <w:rFonts w:ascii="仿宋_GB2312" w:eastAsia="仿宋_GB2312" w:hAnsi="Times New Roman"/>
          <w:sz w:val="32"/>
          <w:szCs w:val="32"/>
        </w:rPr>
      </w:pPr>
      <w:r>
        <w:rPr>
          <w:rFonts w:ascii="仿宋_GB2312" w:eastAsia="仿宋_GB2312" w:hAnsi="楷体_GB2312" w:cs="楷体_GB2312" w:hint="eastAsia"/>
          <w:b/>
          <w:bCs/>
          <w:sz w:val="32"/>
          <w:szCs w:val="32"/>
        </w:rPr>
        <w:t>定义：</w:t>
      </w:r>
      <w:r>
        <w:rPr>
          <w:rFonts w:ascii="仿宋_GB2312" w:eastAsia="仿宋_GB2312" w:hAnsi="楷体_GB2312" w:cs="楷体_GB2312" w:hint="eastAsia"/>
          <w:bCs/>
          <w:sz w:val="32"/>
          <w:szCs w:val="32"/>
        </w:rPr>
        <w:t>移植后影像学和电生理学评估优良，是指</w:t>
      </w:r>
      <w:r>
        <w:rPr>
          <w:rFonts w:ascii="仿宋_GB2312" w:eastAsia="仿宋_GB2312" w:hint="eastAsia"/>
          <w:sz w:val="32"/>
          <w:szCs w:val="32"/>
        </w:rPr>
        <w:t>同种异体运动系统结构性组织移植后，</w:t>
      </w:r>
      <w:proofErr w:type="gramStart"/>
      <w:r>
        <w:rPr>
          <w:rFonts w:ascii="仿宋_GB2312" w:eastAsia="仿宋_GB2312" w:hint="eastAsia"/>
          <w:sz w:val="32"/>
          <w:szCs w:val="32"/>
        </w:rPr>
        <w:t>按骨关节</w:t>
      </w:r>
      <w:proofErr w:type="gramEnd"/>
      <w:r>
        <w:rPr>
          <w:rFonts w:ascii="仿宋_GB2312" w:eastAsia="仿宋_GB2312" w:hint="eastAsia"/>
          <w:sz w:val="32"/>
          <w:szCs w:val="32"/>
        </w:rPr>
        <w:t>各亚专科优良率评估标准，影像学（X线片、CT或MRI）和电生理学</w:t>
      </w:r>
      <w:proofErr w:type="gramStart"/>
      <w:r>
        <w:rPr>
          <w:rFonts w:ascii="仿宋_GB2312" w:eastAsia="仿宋_GB2312" w:hint="eastAsia"/>
          <w:sz w:val="32"/>
          <w:szCs w:val="32"/>
        </w:rPr>
        <w:t>评估较</w:t>
      </w:r>
      <w:proofErr w:type="gramEnd"/>
      <w:r>
        <w:rPr>
          <w:rFonts w:ascii="仿宋_GB2312" w:eastAsia="仿宋_GB2312" w:hint="eastAsia"/>
          <w:sz w:val="32"/>
          <w:szCs w:val="32"/>
        </w:rPr>
        <w:t>术前同类检查优良。</w:t>
      </w:r>
      <w:r>
        <w:rPr>
          <w:rFonts w:ascii="仿宋_GB2312" w:eastAsia="仿宋_GB2312" w:hAnsi="楷体_GB2312" w:cs="楷体_GB2312" w:hint="eastAsia"/>
          <w:bCs/>
          <w:sz w:val="32"/>
          <w:szCs w:val="32"/>
        </w:rPr>
        <w:t>移植后影像学和电生理学评估优良率是指移植后影像学和电生理学评估优良的例次数占同期</w:t>
      </w:r>
      <w:r>
        <w:rPr>
          <w:rFonts w:ascii="仿宋_GB2312" w:eastAsia="仿宋_GB2312" w:hint="eastAsia"/>
          <w:sz w:val="32"/>
          <w:szCs w:val="32"/>
        </w:rPr>
        <w:t>同种异体运动系统结构性组织移植</w:t>
      </w:r>
      <w:proofErr w:type="gramStart"/>
      <w:r>
        <w:rPr>
          <w:rFonts w:ascii="仿宋_GB2312" w:eastAsia="仿宋_GB2312" w:hint="eastAsia"/>
          <w:sz w:val="32"/>
          <w:szCs w:val="32"/>
        </w:rPr>
        <w:t>手术总</w:t>
      </w:r>
      <w:proofErr w:type="gramEnd"/>
      <w:r>
        <w:rPr>
          <w:rFonts w:ascii="仿宋_GB2312" w:eastAsia="仿宋_GB2312" w:hint="eastAsia"/>
          <w:sz w:val="32"/>
          <w:szCs w:val="32"/>
        </w:rPr>
        <w:t>例次数的比例。</w:t>
      </w:r>
    </w:p>
    <w:p w:rsidR="00384FE4" w:rsidRDefault="00BB1895">
      <w:pPr>
        <w:pStyle w:val="1"/>
        <w:adjustRightInd w:val="0"/>
        <w:snapToGrid w:val="0"/>
        <w:spacing w:line="360" w:lineRule="auto"/>
        <w:ind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计算公式：</w:t>
      </w:r>
    </w:p>
    <w:p w:rsidR="00384FE4" w:rsidRPr="0007655D" w:rsidRDefault="00A933C3" w:rsidP="0007655D">
      <w:pPr>
        <w:pStyle w:val="1"/>
        <w:adjustRightInd w:val="0"/>
        <w:snapToGrid w:val="0"/>
        <w:spacing w:line="360" w:lineRule="auto"/>
        <w:ind w:firstLine="480"/>
        <w:rPr>
          <w:rFonts w:ascii="Cambria Math" w:eastAsia="仿宋_GB2312" w:hAnsi="Cambria Math"/>
          <w:sz w:val="24"/>
          <w:szCs w:val="28"/>
        </w:rPr>
      </w:pPr>
      <m:oMath>
        <m:m>
          <m:mPr>
            <m:mcs>
              <m:mc>
                <m:mcPr>
                  <m:count m:val="1"/>
                  <m:mcJc m:val="center"/>
                </m:mcPr>
              </m:mc>
            </m:mcs>
            <m:ctrlPr>
              <w:rPr>
                <w:rFonts w:ascii="Cambria Math" w:eastAsia="仿宋_GB2312" w:hAnsi="Cambria Math"/>
                <w:sz w:val="24"/>
                <w:szCs w:val="28"/>
              </w:rPr>
            </m:ctrlPr>
          </m:mPr>
          <m:mr>
            <m:e>
              <m:r>
                <m:rPr>
                  <m:sty m:val="p"/>
                </m:rPr>
                <w:rPr>
                  <w:rFonts w:ascii="Cambria Math" w:eastAsia="仿宋_GB2312" w:hAnsi="Cambria Math"/>
                  <w:sz w:val="24"/>
                  <w:szCs w:val="28"/>
                </w:rPr>
                <m:t>移植后影像学和</m:t>
              </m:r>
            </m:e>
          </m:mr>
          <m:mr>
            <m:e>
              <m:r>
                <m:rPr>
                  <m:sty m:val="p"/>
                </m:rPr>
                <w:rPr>
                  <w:rFonts w:ascii="Cambria Math" w:eastAsia="仿宋_GB2312" w:hAnsi="Cambria Math"/>
                  <w:sz w:val="24"/>
                  <w:szCs w:val="28"/>
                </w:rPr>
                <m:t>电生理学评估优良</m:t>
              </m:r>
              <m:r>
                <m:rPr>
                  <m:sty m:val="p"/>
                </m:rPr>
                <w:rPr>
                  <w:rFonts w:ascii="Cambria Math" w:eastAsia="仿宋_GB2312" w:hAnsi="Cambria Math" w:hint="eastAsia"/>
                  <w:sz w:val="24"/>
                  <w:szCs w:val="28"/>
                </w:rPr>
                <m:t>率</m:t>
              </m:r>
            </m:e>
          </m:mr>
        </m:m>
      </m:oMath>
      <w:r w:rsidR="0007655D" w:rsidRPr="00FB08FF">
        <w:rPr>
          <w:rFonts w:ascii="Cambria Math" w:eastAsia="仿宋_GB2312" w:hAnsi="Cambria Math" w:hint="eastAsia"/>
          <w:sz w:val="24"/>
          <w:szCs w:val="28"/>
        </w:rPr>
        <w:t>=</w:t>
      </w:r>
      <m:oMath>
        <m:f>
          <m:fPr>
            <m:ctrlPr>
              <w:rPr>
                <w:rFonts w:ascii="Cambria Math" w:eastAsia="仿宋_GB2312" w:hAnsi="Cambria Math"/>
                <w:sz w:val="24"/>
                <w:szCs w:val="28"/>
              </w:rPr>
            </m:ctrlPr>
          </m:fPr>
          <m:num>
            <m:r>
              <m:rPr>
                <m:sty m:val="p"/>
              </m:rPr>
              <w:rPr>
                <w:rFonts w:ascii="Cambria Math" w:eastAsia="仿宋_GB2312" w:hAnsi="Cambria Math"/>
                <w:sz w:val="24"/>
                <w:szCs w:val="28"/>
              </w:rPr>
              <m:t>移植后影像学和电生理学评估优良的例次数</m:t>
            </m:r>
          </m:num>
          <m:den>
            <m:r>
              <m:rPr>
                <m:sty m:val="p"/>
              </m:rPr>
              <w:rPr>
                <w:rFonts w:ascii="Cambria Math" w:eastAsia="仿宋_GB2312" w:hAnsi="Cambria Math"/>
                <w:sz w:val="24"/>
                <w:szCs w:val="28"/>
              </w:rPr>
              <m:t>同期同种</m:t>
            </m:r>
            <m:r>
              <m:rPr>
                <m:sty m:val="p"/>
              </m:rPr>
              <w:rPr>
                <w:rFonts w:ascii="Cambria Math" w:eastAsia="仿宋_GB2312" w:hAnsi="Cambria Math" w:hint="eastAsia"/>
                <w:sz w:val="24"/>
                <w:szCs w:val="28"/>
              </w:rPr>
              <m:t>异体运动系统结构性组织</m:t>
            </m:r>
            <m:r>
              <m:rPr>
                <m:sty m:val="p"/>
              </m:rPr>
              <w:rPr>
                <w:rFonts w:ascii="Cambria Math" w:eastAsia="仿宋_GB2312" w:hAnsi="Cambria Math"/>
                <w:sz w:val="24"/>
                <w:szCs w:val="28"/>
              </w:rPr>
              <m:t>移植手术总例次数</m:t>
            </m:r>
          </m:den>
        </m:f>
      </m:oMath>
      <w:r w:rsidR="0007655D" w:rsidRPr="00FB08FF">
        <w:rPr>
          <w:rFonts w:ascii="Cambria Math" w:eastAsia="仿宋_GB2312" w:hAnsi="Cambria Math" w:hint="eastAsia"/>
          <w:sz w:val="24"/>
          <w:szCs w:val="28"/>
        </w:rPr>
        <w:t>×</w:t>
      </w:r>
      <w:r w:rsidR="0007655D" w:rsidRPr="00FB08FF">
        <w:rPr>
          <w:rFonts w:ascii="Cambria Math" w:eastAsia="仿宋_GB2312" w:hAnsi="Cambria Math" w:hint="eastAsia"/>
          <w:sz w:val="24"/>
          <w:szCs w:val="28"/>
        </w:rPr>
        <w:t>100%</w:t>
      </w:r>
    </w:p>
    <w:p w:rsidR="00384FE4" w:rsidRDefault="00BB1895">
      <w:pPr>
        <w:pStyle w:val="1"/>
        <w:adjustRightInd w:val="0"/>
        <w:snapToGrid w:val="0"/>
        <w:spacing w:line="360" w:lineRule="auto"/>
        <w:ind w:firstLine="643"/>
        <w:rPr>
          <w:rFonts w:ascii="仿宋_GB2312" w:eastAsia="仿宋_GB2312" w:hAnsi="Times New Roman"/>
          <w:sz w:val="32"/>
          <w:szCs w:val="32"/>
        </w:rPr>
      </w:pPr>
      <w:r>
        <w:rPr>
          <w:rFonts w:ascii="仿宋_GB2312" w:eastAsia="仿宋_GB2312" w:hAnsi="楷体_GB2312" w:cs="楷体_GB2312" w:hint="eastAsia"/>
          <w:b/>
          <w:bCs/>
          <w:sz w:val="32"/>
          <w:szCs w:val="32"/>
        </w:rPr>
        <w:lastRenderedPageBreak/>
        <w:t>意义：</w:t>
      </w:r>
      <w:r>
        <w:rPr>
          <w:rFonts w:ascii="仿宋_GB2312" w:eastAsia="仿宋_GB2312" w:hint="eastAsia"/>
          <w:sz w:val="32"/>
          <w:szCs w:val="32"/>
        </w:rPr>
        <w:t>反映同种异体运动系统结构性组织移植手术效果。</w:t>
      </w:r>
    </w:p>
    <w:p w:rsidR="00384FE4" w:rsidRDefault="00BB1895">
      <w:pPr>
        <w:adjustRightInd w:val="0"/>
        <w:snapToGrid w:val="0"/>
        <w:spacing w:line="360" w:lineRule="auto"/>
        <w:ind w:firstLineChars="200" w:firstLine="640"/>
        <w:rPr>
          <w:rFonts w:eastAsia="黑体"/>
          <w:bCs/>
          <w:sz w:val="32"/>
        </w:rPr>
      </w:pPr>
      <w:r>
        <w:rPr>
          <w:rFonts w:eastAsia="黑体" w:hint="eastAsia"/>
          <w:bCs/>
          <w:sz w:val="32"/>
        </w:rPr>
        <w:t>六、微创手术比例</w:t>
      </w:r>
    </w:p>
    <w:p w:rsidR="00384FE4" w:rsidRDefault="00BB1895">
      <w:pPr>
        <w:pStyle w:val="1"/>
        <w:adjustRightInd w:val="0"/>
        <w:snapToGrid w:val="0"/>
        <w:spacing w:line="360" w:lineRule="auto"/>
        <w:ind w:firstLine="643"/>
        <w:rPr>
          <w:rFonts w:ascii="仿宋_GB2312" w:eastAsia="仿宋_GB2312" w:hAnsi="Times New Roman"/>
          <w:sz w:val="32"/>
          <w:szCs w:val="32"/>
        </w:rPr>
      </w:pPr>
      <w:r>
        <w:rPr>
          <w:rFonts w:ascii="仿宋_GB2312" w:eastAsia="仿宋_GB2312" w:hAnsi="楷体_GB2312" w:cs="楷体_GB2312" w:hint="eastAsia"/>
          <w:b/>
          <w:bCs/>
          <w:sz w:val="32"/>
          <w:szCs w:val="32"/>
        </w:rPr>
        <w:t>定义：</w:t>
      </w:r>
      <w:r>
        <w:rPr>
          <w:rFonts w:ascii="仿宋_GB2312" w:eastAsia="仿宋_GB2312" w:hAnsi="楷体_GB2312" w:cs="楷体_GB2312" w:hint="eastAsia"/>
          <w:bCs/>
          <w:sz w:val="32"/>
          <w:szCs w:val="32"/>
        </w:rPr>
        <w:t>微创</w:t>
      </w:r>
      <w:r>
        <w:rPr>
          <w:rFonts w:ascii="仿宋_GB2312" w:eastAsia="仿宋_GB2312" w:hint="eastAsia"/>
          <w:sz w:val="32"/>
          <w:szCs w:val="32"/>
        </w:rPr>
        <w:t>同种异体运动系统结构性组织移植</w:t>
      </w:r>
      <w:r>
        <w:rPr>
          <w:rFonts w:ascii="仿宋_GB2312" w:eastAsia="仿宋_GB2312" w:hAnsi="Times New Roman" w:hint="eastAsia"/>
          <w:sz w:val="32"/>
          <w:szCs w:val="32"/>
        </w:rPr>
        <w:t>手术例次数占同期</w:t>
      </w:r>
      <w:r>
        <w:rPr>
          <w:rFonts w:ascii="仿宋_GB2312" w:eastAsia="仿宋_GB2312" w:hint="eastAsia"/>
          <w:sz w:val="32"/>
          <w:szCs w:val="32"/>
        </w:rPr>
        <w:t>同种异体运动系统结构性组织移植</w:t>
      </w:r>
      <w:proofErr w:type="gramStart"/>
      <w:r>
        <w:rPr>
          <w:rFonts w:ascii="仿宋_GB2312" w:eastAsia="仿宋_GB2312" w:hint="eastAsia"/>
          <w:sz w:val="32"/>
          <w:szCs w:val="32"/>
        </w:rPr>
        <w:t>手术总</w:t>
      </w:r>
      <w:proofErr w:type="gramEnd"/>
      <w:r>
        <w:rPr>
          <w:rFonts w:ascii="仿宋_GB2312" w:eastAsia="仿宋_GB2312" w:hint="eastAsia"/>
          <w:sz w:val="32"/>
          <w:szCs w:val="32"/>
        </w:rPr>
        <w:t>例次数</w:t>
      </w:r>
      <w:r>
        <w:rPr>
          <w:rFonts w:ascii="仿宋_GB2312" w:eastAsia="仿宋_GB2312" w:hAnsi="Times New Roman" w:hint="eastAsia"/>
          <w:sz w:val="32"/>
          <w:szCs w:val="32"/>
        </w:rPr>
        <w:t>的比例。</w:t>
      </w:r>
    </w:p>
    <w:p w:rsidR="00384FE4" w:rsidRDefault="00BB1895">
      <w:pPr>
        <w:pStyle w:val="1"/>
        <w:adjustRightInd w:val="0"/>
        <w:snapToGrid w:val="0"/>
        <w:spacing w:line="360" w:lineRule="auto"/>
        <w:ind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计算公式：</w:t>
      </w:r>
    </w:p>
    <w:p w:rsidR="00384FE4" w:rsidRDefault="00861B79">
      <w:pPr>
        <w:pStyle w:val="1"/>
        <w:adjustRightInd w:val="0"/>
        <w:snapToGrid w:val="0"/>
        <w:spacing w:line="360" w:lineRule="auto"/>
        <w:ind w:firstLine="480"/>
        <w:rPr>
          <w:rFonts w:ascii="Cambria Math" w:eastAsia="仿宋_GB2312" w:hAnsi="Cambria Math"/>
          <w:sz w:val="24"/>
          <w:szCs w:val="28"/>
        </w:rPr>
      </w:pPr>
      <m:oMath>
        <m:r>
          <m:rPr>
            <m:sty m:val="p"/>
          </m:rPr>
          <w:rPr>
            <w:rFonts w:ascii="Cambria Math" w:eastAsia="仿宋_GB2312" w:hAnsi="Cambria Math"/>
            <w:sz w:val="24"/>
            <w:szCs w:val="28"/>
          </w:rPr>
          <m:t>微创手术比例</m:t>
        </m:r>
      </m:oMath>
      <w:r w:rsidRPr="00FB08FF">
        <w:rPr>
          <w:rFonts w:ascii="Cambria Math" w:eastAsia="仿宋_GB2312" w:hAnsi="Cambria Math" w:hint="eastAsia"/>
          <w:sz w:val="24"/>
          <w:szCs w:val="28"/>
        </w:rPr>
        <w:t>=</w:t>
      </w:r>
      <m:oMath>
        <m:f>
          <m:fPr>
            <m:ctrlPr>
              <w:rPr>
                <w:rFonts w:ascii="Cambria Math" w:eastAsia="仿宋_GB2312" w:hAnsi="Cambria Math"/>
                <w:sz w:val="24"/>
                <w:szCs w:val="28"/>
              </w:rPr>
            </m:ctrlPr>
          </m:fPr>
          <m:num>
            <m:r>
              <m:rPr>
                <m:sty m:val="p"/>
              </m:rPr>
              <w:rPr>
                <w:rFonts w:ascii="Cambria Math" w:eastAsia="仿宋_GB2312" w:hAnsi="Cambria Math"/>
                <w:sz w:val="24"/>
                <w:szCs w:val="28"/>
              </w:rPr>
              <m:t>微创同种</m:t>
            </m:r>
            <m:r>
              <m:rPr>
                <m:sty m:val="p"/>
              </m:rPr>
              <w:rPr>
                <w:rFonts w:ascii="Cambria Math" w:eastAsia="仿宋_GB2312" w:hAnsi="Cambria Math" w:hint="eastAsia"/>
                <w:sz w:val="24"/>
                <w:szCs w:val="28"/>
              </w:rPr>
              <m:t>异体运动系统结构性组织移植手术</m:t>
            </m:r>
            <m:r>
              <m:rPr>
                <m:sty m:val="p"/>
              </m:rPr>
              <w:rPr>
                <w:rFonts w:ascii="Cambria Math" w:eastAsia="仿宋_GB2312" w:hAnsi="Cambria Math"/>
                <w:sz w:val="24"/>
                <w:szCs w:val="28"/>
              </w:rPr>
              <m:t>例次数</m:t>
            </m:r>
          </m:num>
          <m:den>
            <m:r>
              <m:rPr>
                <m:sty m:val="p"/>
              </m:rPr>
              <w:rPr>
                <w:rFonts w:ascii="Cambria Math" w:eastAsia="仿宋_GB2312" w:hAnsi="Cambria Math"/>
                <w:sz w:val="24"/>
                <w:szCs w:val="28"/>
              </w:rPr>
              <m:t>同期同种</m:t>
            </m:r>
            <m:r>
              <m:rPr>
                <m:sty m:val="p"/>
              </m:rPr>
              <w:rPr>
                <w:rFonts w:ascii="Cambria Math" w:eastAsia="仿宋_GB2312" w:hAnsi="Cambria Math" w:hint="eastAsia"/>
                <w:sz w:val="24"/>
                <w:szCs w:val="28"/>
              </w:rPr>
              <m:t>异体运动系统结构性组织</m:t>
            </m:r>
            <m:r>
              <m:rPr>
                <m:sty m:val="p"/>
              </m:rPr>
              <w:rPr>
                <w:rFonts w:ascii="Cambria Math" w:eastAsia="仿宋_GB2312" w:hAnsi="Cambria Math"/>
                <w:sz w:val="24"/>
                <w:szCs w:val="28"/>
              </w:rPr>
              <m:t>移植手术总例次数</m:t>
            </m:r>
          </m:den>
        </m:f>
      </m:oMath>
      <w:r w:rsidRPr="00FB08FF">
        <w:rPr>
          <w:rFonts w:ascii="Cambria Math" w:eastAsia="仿宋_GB2312" w:hAnsi="Cambria Math" w:hint="eastAsia"/>
          <w:sz w:val="24"/>
          <w:szCs w:val="28"/>
        </w:rPr>
        <w:t>×</w:t>
      </w:r>
      <w:r w:rsidRPr="00FB08FF">
        <w:rPr>
          <w:rFonts w:ascii="Cambria Math" w:eastAsia="仿宋_GB2312" w:hAnsi="Cambria Math" w:hint="eastAsia"/>
          <w:sz w:val="24"/>
          <w:szCs w:val="28"/>
        </w:rPr>
        <w:t>100%</w:t>
      </w:r>
    </w:p>
    <w:p w:rsidR="00384FE4" w:rsidRDefault="00BB1895">
      <w:pPr>
        <w:adjustRightInd w:val="0"/>
        <w:snapToGrid w:val="0"/>
        <w:spacing w:line="360" w:lineRule="auto"/>
        <w:ind w:firstLineChars="200" w:firstLine="643"/>
        <w:rPr>
          <w:rFonts w:ascii="仿宋_GB2312" w:eastAsia="仿宋_GB2312" w:hAnsi="Times New Roman"/>
          <w:sz w:val="32"/>
          <w:szCs w:val="32"/>
        </w:rPr>
      </w:pPr>
      <w:r>
        <w:rPr>
          <w:rFonts w:ascii="仿宋_GB2312" w:eastAsia="仿宋_GB2312" w:hAnsi="楷体_GB2312" w:cs="楷体_GB2312" w:hint="eastAsia"/>
          <w:b/>
          <w:bCs/>
          <w:sz w:val="32"/>
          <w:szCs w:val="32"/>
        </w:rPr>
        <w:t>意义：</w:t>
      </w:r>
      <w:r>
        <w:rPr>
          <w:rFonts w:ascii="仿宋_GB2312" w:eastAsia="仿宋_GB2312" w:hint="eastAsia"/>
          <w:sz w:val="32"/>
          <w:szCs w:val="32"/>
        </w:rPr>
        <w:t>反映同种异体运动系统结构性组织移植手术</w:t>
      </w:r>
      <w:r>
        <w:rPr>
          <w:rFonts w:ascii="仿宋_GB2312" w:eastAsia="仿宋_GB2312" w:hAnsi="Times New Roman" w:hint="eastAsia"/>
          <w:sz w:val="32"/>
          <w:szCs w:val="32"/>
        </w:rPr>
        <w:t>水平。</w:t>
      </w:r>
    </w:p>
    <w:p w:rsidR="00384FE4" w:rsidRDefault="00BB1895">
      <w:pPr>
        <w:pStyle w:val="2"/>
        <w:tabs>
          <w:tab w:val="left" w:pos="709"/>
          <w:tab w:val="left" w:pos="1418"/>
          <w:tab w:val="left" w:pos="1701"/>
        </w:tabs>
        <w:adjustRightInd w:val="0"/>
        <w:snapToGrid w:val="0"/>
        <w:spacing w:line="360" w:lineRule="auto"/>
        <w:ind w:left="200" w:firstLineChars="150" w:firstLine="480"/>
        <w:rPr>
          <w:rFonts w:ascii="黑体" w:eastAsia="黑体" w:hAnsi="黑体"/>
          <w:sz w:val="32"/>
          <w:szCs w:val="32"/>
        </w:rPr>
      </w:pPr>
      <w:r>
        <w:rPr>
          <w:rFonts w:ascii="黑体" w:eastAsia="黑体" w:hAnsi="黑体" w:hint="eastAsia"/>
          <w:sz w:val="32"/>
          <w:szCs w:val="32"/>
        </w:rPr>
        <w:t>七、患者随访率</w:t>
      </w:r>
    </w:p>
    <w:p w:rsidR="00384FE4" w:rsidRDefault="00BB1895">
      <w:pPr>
        <w:adjustRightInd w:val="0"/>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定义：</w:t>
      </w:r>
      <w:r>
        <w:rPr>
          <w:rFonts w:ascii="仿宋_GB2312" w:eastAsia="仿宋_GB2312" w:hint="eastAsia"/>
          <w:sz w:val="32"/>
          <w:szCs w:val="32"/>
        </w:rPr>
        <w:t>同种异体运动系统结构性组织移植后，1、3、5年内完成随访的例次数占同期同种异体运动系统结构性组织移植</w:t>
      </w:r>
      <w:proofErr w:type="gramStart"/>
      <w:r>
        <w:rPr>
          <w:rFonts w:ascii="仿宋_GB2312" w:eastAsia="仿宋_GB2312" w:hint="eastAsia"/>
          <w:sz w:val="32"/>
          <w:szCs w:val="32"/>
        </w:rPr>
        <w:t>手术总</w:t>
      </w:r>
      <w:proofErr w:type="gramEnd"/>
      <w:r>
        <w:rPr>
          <w:rFonts w:ascii="仿宋_GB2312" w:eastAsia="仿宋_GB2312" w:hint="eastAsia"/>
          <w:sz w:val="32"/>
          <w:szCs w:val="32"/>
        </w:rPr>
        <w:t>例次数的比例。</w:t>
      </w:r>
    </w:p>
    <w:p w:rsidR="00384FE4" w:rsidRDefault="00BB1895">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计算公式：</w:t>
      </w:r>
    </w:p>
    <w:p w:rsidR="00384FE4" w:rsidRDefault="00BB1895">
      <w:pPr>
        <w:pStyle w:val="1"/>
        <w:adjustRightInd w:val="0"/>
        <w:snapToGrid w:val="0"/>
        <w:spacing w:line="360" w:lineRule="auto"/>
        <w:ind w:firstLine="480"/>
        <w:rPr>
          <w:rFonts w:ascii="Cambria Math" w:eastAsia="仿宋_GB2312" w:hAnsi="Cambria Math"/>
          <w:sz w:val="24"/>
          <w:szCs w:val="28"/>
        </w:rPr>
      </w:pPr>
      <w:r w:rsidRPr="004D0D74">
        <w:rPr>
          <w:rFonts w:ascii="Cambria Math" w:eastAsia="仿宋_GB2312" w:hAnsi="Cambria Math" w:hint="eastAsia"/>
          <w:sz w:val="24"/>
          <w:szCs w:val="28"/>
        </w:rPr>
        <w:t>患者</w:t>
      </w:r>
      <w:proofErr w:type="gramStart"/>
      <w:r w:rsidRPr="004D0D74">
        <w:rPr>
          <w:rFonts w:ascii="Cambria Math" w:eastAsia="仿宋_GB2312" w:hAnsi="Cambria Math" w:hint="eastAsia"/>
          <w:sz w:val="24"/>
          <w:szCs w:val="28"/>
        </w:rPr>
        <w:t>随访率</w:t>
      </w:r>
      <w:proofErr w:type="gramEnd"/>
      <w:r w:rsidRPr="004D0D74">
        <w:rPr>
          <w:rFonts w:ascii="Cambria Math" w:eastAsia="仿宋_GB2312" w:hAnsi="Cambria Math" w:hint="eastAsia"/>
          <w:sz w:val="24"/>
          <w:szCs w:val="28"/>
        </w:rPr>
        <w:t xml:space="preserve">= </w:t>
      </w:r>
      <m:oMath>
        <m:f>
          <m:fPr>
            <m:ctrlPr>
              <w:rPr>
                <w:rFonts w:ascii="Cambria Math" w:eastAsia="仿宋_GB2312" w:hAnsi="Cambria Math"/>
                <w:sz w:val="24"/>
                <w:szCs w:val="28"/>
              </w:rPr>
            </m:ctrlPr>
          </m:fPr>
          <m:num>
            <m:r>
              <m:rPr>
                <m:sty m:val="p"/>
              </m:rPr>
              <w:rPr>
                <w:rFonts w:ascii="Cambria Math" w:eastAsia="仿宋_GB2312" w:hAnsi="Cambria Math"/>
                <w:sz w:val="24"/>
                <w:szCs w:val="28"/>
              </w:rPr>
              <m:t>一定时间内完成随访的例次数</m:t>
            </m:r>
          </m:num>
          <m:den>
            <m:r>
              <m:rPr>
                <m:sty m:val="p"/>
              </m:rPr>
              <w:rPr>
                <w:rFonts w:ascii="Cambria Math" w:eastAsia="仿宋_GB2312" w:hAnsi="Cambria Math"/>
                <w:sz w:val="24"/>
                <w:szCs w:val="28"/>
              </w:rPr>
              <m:t>同期</m:t>
            </m:r>
            <m:r>
              <m:rPr>
                <m:sty m:val="p"/>
              </m:rPr>
              <w:rPr>
                <w:rFonts w:ascii="Cambria Math" w:eastAsia="仿宋_GB2312" w:hAnsi="Cambria Math" w:hint="eastAsia"/>
                <w:sz w:val="24"/>
                <w:szCs w:val="28"/>
              </w:rPr>
              <m:t>同种异体运动系统结构性组织移植</m:t>
            </m:r>
            <m:r>
              <m:rPr>
                <m:sty m:val="p"/>
              </m:rPr>
              <w:rPr>
                <w:rFonts w:ascii="Cambria Math" w:eastAsia="仿宋_GB2312" w:hAnsi="Cambria Math"/>
                <w:sz w:val="24"/>
                <w:szCs w:val="28"/>
              </w:rPr>
              <m:t>手术总例次数</m:t>
            </m:r>
          </m:den>
        </m:f>
      </m:oMath>
      <w:r w:rsidRPr="004D0D74">
        <w:rPr>
          <w:rFonts w:ascii="Cambria Math" w:eastAsia="仿宋_GB2312" w:hAnsi="Cambria Math" w:hint="eastAsia"/>
          <w:sz w:val="24"/>
          <w:szCs w:val="28"/>
        </w:rPr>
        <w:t>×</w:t>
      </w:r>
      <w:r w:rsidRPr="004D0D74">
        <w:rPr>
          <w:rFonts w:ascii="Cambria Math" w:eastAsia="仿宋_GB2312" w:hAnsi="Cambria Math" w:hint="eastAsia"/>
          <w:sz w:val="24"/>
          <w:szCs w:val="28"/>
        </w:rPr>
        <w:t>100%</w:t>
      </w:r>
    </w:p>
    <w:p w:rsidR="00384FE4" w:rsidRDefault="00BB1895">
      <w:pPr>
        <w:adjustRightInd w:val="0"/>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意义：</w:t>
      </w:r>
      <w:r>
        <w:rPr>
          <w:rFonts w:ascii="仿宋_GB2312" w:eastAsia="仿宋_GB2312" w:hint="eastAsia"/>
          <w:sz w:val="32"/>
          <w:szCs w:val="32"/>
        </w:rPr>
        <w:t>反映同种异体运动系统结构性组织移植治疗患者的远期疗效及管理水平。</w:t>
      </w:r>
    </w:p>
    <w:p w:rsidR="00384FE4" w:rsidRDefault="00BB1895">
      <w:pPr>
        <w:adjustRightInd w:val="0"/>
        <w:snapToGrid w:val="0"/>
        <w:spacing w:line="360" w:lineRule="auto"/>
        <w:ind w:firstLineChars="200" w:firstLine="562"/>
        <w:rPr>
          <w:rFonts w:ascii="仿宋_GB2312" w:eastAsia="仿宋_GB2312" w:hAnsi="Times New Roman"/>
          <w:b/>
          <w:sz w:val="28"/>
          <w:szCs w:val="28"/>
        </w:rPr>
      </w:pPr>
      <w:r>
        <w:rPr>
          <w:rFonts w:ascii="仿宋_GB2312" w:eastAsia="仿宋_GB2312" w:hAnsi="Times New Roman" w:hint="eastAsia"/>
          <w:b/>
          <w:sz w:val="28"/>
          <w:szCs w:val="28"/>
        </w:rPr>
        <w:t>注：</w:t>
      </w:r>
    </w:p>
    <w:p w:rsidR="00384FE4" w:rsidRDefault="00BB1895">
      <w:pPr>
        <w:pStyle w:val="1"/>
        <w:adjustRightInd w:val="0"/>
        <w:snapToGrid w:val="0"/>
        <w:spacing w:line="360" w:lineRule="auto"/>
        <w:ind w:firstLine="560"/>
        <w:rPr>
          <w:rFonts w:ascii="仿宋_GB2312" w:eastAsia="仿宋_GB2312" w:hAnsi="Times New Roman"/>
          <w:sz w:val="28"/>
          <w:szCs w:val="28"/>
        </w:rPr>
      </w:pPr>
      <w:r>
        <w:rPr>
          <w:rFonts w:ascii="仿宋_GB2312" w:eastAsia="仿宋_GB2312" w:hAnsi="Times New Roman" w:hint="eastAsia"/>
          <w:sz w:val="28"/>
          <w:szCs w:val="28"/>
        </w:rPr>
        <w:t>1.符合规定的同种异体运动系统结构性组织移植物来源分两类：具有国家食品药品监督管理总局（CFDA）产品注册证的移植物和公民逝世后捐献来源的移植物。</w:t>
      </w:r>
    </w:p>
    <w:p w:rsidR="00384FE4" w:rsidRDefault="00BB1895">
      <w:pPr>
        <w:pStyle w:val="1"/>
        <w:adjustRightInd w:val="0"/>
        <w:snapToGrid w:val="0"/>
        <w:spacing w:line="360" w:lineRule="auto"/>
        <w:ind w:firstLine="560"/>
        <w:rPr>
          <w:rFonts w:ascii="仿宋_GB2312" w:eastAsia="仿宋_GB2312" w:hAnsi="Times New Roman"/>
          <w:sz w:val="28"/>
          <w:szCs w:val="28"/>
        </w:rPr>
      </w:pPr>
      <w:r>
        <w:rPr>
          <w:rFonts w:ascii="仿宋_GB2312" w:eastAsia="仿宋_GB2312" w:hAnsi="Times New Roman" w:hint="eastAsia"/>
          <w:sz w:val="28"/>
          <w:szCs w:val="28"/>
        </w:rPr>
        <w:t>2.</w:t>
      </w:r>
      <w:r>
        <w:rPr>
          <w:rFonts w:ascii="仿宋_GB2312" w:eastAsia="仿宋_GB2312" w:hint="eastAsia"/>
          <w:sz w:val="28"/>
          <w:szCs w:val="28"/>
        </w:rPr>
        <w:t>移植后临床满意是指同种异体运动系统结构性组织移植</w:t>
      </w:r>
      <w:r>
        <w:rPr>
          <w:rFonts w:ascii="仿宋_GB2312" w:eastAsia="仿宋_GB2312" w:hAnsi="Times New Roman" w:hint="eastAsia"/>
          <w:sz w:val="28"/>
          <w:szCs w:val="28"/>
        </w:rPr>
        <w:t>后的评价指标（临床症状、体征和功能评分）之一较术前改善，患者满意。</w:t>
      </w:r>
    </w:p>
    <w:p w:rsidR="00384FE4" w:rsidRDefault="00BB1895">
      <w:pPr>
        <w:pStyle w:val="1"/>
        <w:adjustRightInd w:val="0"/>
        <w:snapToGrid w:val="0"/>
        <w:spacing w:line="360" w:lineRule="auto"/>
        <w:ind w:firstLine="560"/>
        <w:rPr>
          <w:rFonts w:ascii="仿宋_GB2312" w:eastAsia="仿宋_GB2312" w:hAnsi="Times New Roman"/>
          <w:sz w:val="28"/>
          <w:szCs w:val="28"/>
        </w:rPr>
      </w:pPr>
      <w:r>
        <w:rPr>
          <w:rFonts w:ascii="仿宋_GB2312" w:eastAsia="仿宋_GB2312" w:hAnsi="Times New Roman" w:hint="eastAsia"/>
          <w:sz w:val="28"/>
          <w:szCs w:val="28"/>
        </w:rPr>
        <w:t>（1）临床症状：移植相关范围的疼痛、肿胀、皮肤感觉和肢体</w:t>
      </w:r>
      <w:r>
        <w:rPr>
          <w:rFonts w:ascii="仿宋_GB2312" w:eastAsia="仿宋_GB2312" w:hAnsi="Times New Roman" w:hint="eastAsia"/>
          <w:sz w:val="28"/>
          <w:szCs w:val="28"/>
        </w:rPr>
        <w:lastRenderedPageBreak/>
        <w:t>运动、主管骨关节稳定性。</w:t>
      </w:r>
    </w:p>
    <w:p w:rsidR="00384FE4" w:rsidRDefault="00BB1895">
      <w:pPr>
        <w:pStyle w:val="1"/>
        <w:adjustRightInd w:val="0"/>
        <w:snapToGrid w:val="0"/>
        <w:spacing w:line="360" w:lineRule="auto"/>
        <w:ind w:firstLine="560"/>
        <w:rPr>
          <w:rFonts w:ascii="仿宋_GB2312" w:eastAsia="仿宋_GB2312" w:hAnsi="Times New Roman"/>
          <w:sz w:val="28"/>
          <w:szCs w:val="28"/>
        </w:rPr>
      </w:pPr>
      <w:r>
        <w:rPr>
          <w:rFonts w:ascii="仿宋_GB2312" w:eastAsia="仿宋_GB2312" w:hAnsi="Times New Roman" w:hint="eastAsia"/>
          <w:sz w:val="28"/>
          <w:szCs w:val="28"/>
        </w:rPr>
        <w:t>（2）体征：骨关节各</w:t>
      </w:r>
      <w:proofErr w:type="gramStart"/>
      <w:r>
        <w:rPr>
          <w:rFonts w:ascii="仿宋_GB2312" w:eastAsia="仿宋_GB2312" w:hAnsi="Times New Roman" w:hint="eastAsia"/>
          <w:sz w:val="28"/>
          <w:szCs w:val="28"/>
        </w:rPr>
        <w:t>亚专业</w:t>
      </w:r>
      <w:proofErr w:type="gramEnd"/>
      <w:r>
        <w:rPr>
          <w:rFonts w:ascii="仿宋_GB2312" w:eastAsia="仿宋_GB2312" w:hAnsi="Times New Roman" w:hint="eastAsia"/>
          <w:sz w:val="28"/>
          <w:szCs w:val="28"/>
        </w:rPr>
        <w:t>特殊体征。</w:t>
      </w:r>
    </w:p>
    <w:p w:rsidR="00384FE4" w:rsidRDefault="00BB1895">
      <w:pPr>
        <w:pStyle w:val="1"/>
        <w:adjustRightInd w:val="0"/>
        <w:snapToGrid w:val="0"/>
        <w:spacing w:line="360" w:lineRule="auto"/>
        <w:ind w:firstLine="560"/>
        <w:rPr>
          <w:rFonts w:ascii="仿宋_GB2312" w:eastAsia="仿宋_GB2312" w:hAnsi="Times New Roman"/>
          <w:sz w:val="28"/>
          <w:szCs w:val="28"/>
        </w:rPr>
      </w:pPr>
      <w:r>
        <w:rPr>
          <w:rFonts w:ascii="仿宋_GB2312" w:eastAsia="仿宋_GB2312" w:hAnsi="Times New Roman" w:hint="eastAsia"/>
          <w:sz w:val="28"/>
          <w:szCs w:val="28"/>
        </w:rPr>
        <w:t>（3）功能评分：骨关节各</w:t>
      </w:r>
      <w:proofErr w:type="gramStart"/>
      <w:r>
        <w:rPr>
          <w:rFonts w:ascii="仿宋_GB2312" w:eastAsia="仿宋_GB2312" w:hAnsi="Times New Roman" w:hint="eastAsia"/>
          <w:sz w:val="28"/>
          <w:szCs w:val="28"/>
        </w:rPr>
        <w:t>亚专业</w:t>
      </w:r>
      <w:proofErr w:type="gramEnd"/>
      <w:r>
        <w:rPr>
          <w:rFonts w:ascii="仿宋_GB2312" w:eastAsia="仿宋_GB2312" w:hAnsi="Times New Roman" w:hint="eastAsia"/>
          <w:sz w:val="28"/>
          <w:szCs w:val="28"/>
        </w:rPr>
        <w:t>特殊功能评分。</w:t>
      </w:r>
    </w:p>
    <w:p w:rsidR="00384FE4" w:rsidRDefault="00384FE4"/>
    <w:p w:rsidR="00384FE4" w:rsidRPr="00A97A4F" w:rsidRDefault="00384FE4" w:rsidP="00A97A4F">
      <w:pPr>
        <w:widowControl/>
        <w:jc w:val="left"/>
        <w:rPr>
          <w:rFonts w:ascii="仿宋_GB2312" w:eastAsia="仿宋_GB2312" w:hAnsi="Times New Roman"/>
          <w:sz w:val="32"/>
          <w:szCs w:val="32"/>
        </w:rPr>
      </w:pPr>
    </w:p>
    <w:sectPr w:rsidR="00384FE4" w:rsidRPr="00A97A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C3" w:rsidRDefault="00A933C3" w:rsidP="007E29AD">
      <w:r>
        <w:separator/>
      </w:r>
    </w:p>
  </w:endnote>
  <w:endnote w:type="continuationSeparator" w:id="0">
    <w:p w:rsidR="00A933C3" w:rsidRDefault="00A933C3" w:rsidP="007E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C3" w:rsidRDefault="00A933C3" w:rsidP="007E29AD">
      <w:r>
        <w:separator/>
      </w:r>
    </w:p>
  </w:footnote>
  <w:footnote w:type="continuationSeparator" w:id="0">
    <w:p w:rsidR="00A933C3" w:rsidRDefault="00A933C3" w:rsidP="007E2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43"/>
    <w:rsid w:val="00013893"/>
    <w:rsid w:val="0007655D"/>
    <w:rsid w:val="00162773"/>
    <w:rsid w:val="002B17AB"/>
    <w:rsid w:val="0036069A"/>
    <w:rsid w:val="00365C59"/>
    <w:rsid w:val="00384FE4"/>
    <w:rsid w:val="003A05F9"/>
    <w:rsid w:val="0051637B"/>
    <w:rsid w:val="00671EAC"/>
    <w:rsid w:val="00681AE8"/>
    <w:rsid w:val="006945DD"/>
    <w:rsid w:val="006C2743"/>
    <w:rsid w:val="007E29AD"/>
    <w:rsid w:val="00844F8E"/>
    <w:rsid w:val="00861B79"/>
    <w:rsid w:val="00866603"/>
    <w:rsid w:val="00932542"/>
    <w:rsid w:val="00933CE5"/>
    <w:rsid w:val="00A933C3"/>
    <w:rsid w:val="00A97A4F"/>
    <w:rsid w:val="00AB2304"/>
    <w:rsid w:val="00AD01FC"/>
    <w:rsid w:val="00B56041"/>
    <w:rsid w:val="00B66C5A"/>
    <w:rsid w:val="00BB1895"/>
    <w:rsid w:val="00DC034F"/>
    <w:rsid w:val="00E05C5E"/>
    <w:rsid w:val="00EB48A0"/>
    <w:rsid w:val="35964F78"/>
    <w:rsid w:val="49F10C60"/>
    <w:rsid w:val="4D206899"/>
    <w:rsid w:val="539A61B8"/>
    <w:rsid w:val="7ACB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200"/>
    </w:pPr>
    <w:rPr>
      <w:rFonts w:cs="Times New Roman"/>
    </w:rPr>
  </w:style>
  <w:style w:type="paragraph" w:customStyle="1" w:styleId="2">
    <w:name w:val="列出段落2"/>
    <w:basedOn w:val="a"/>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200"/>
    </w:pPr>
    <w:rPr>
      <w:rFonts w:cs="Times New Roman"/>
    </w:rPr>
  </w:style>
  <w:style w:type="paragraph" w:customStyle="1" w:styleId="2">
    <w:name w:val="列出段落2"/>
    <w:basedOn w:val="a"/>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761</Characters>
  <Application>Microsoft Office Word</Application>
  <DocSecurity>0</DocSecurity>
  <Lines>54</Lines>
  <Paragraphs>33</Paragraphs>
  <ScaleCrop>false</ScaleCrop>
  <Company>中华人民共和国卫生部</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yxc</dc:creator>
  <cp:lastModifiedBy>医政医管局,医疗质量处,马旭东</cp:lastModifiedBy>
  <cp:revision>3</cp:revision>
  <dcterms:created xsi:type="dcterms:W3CDTF">2016-09-20T01:55:00Z</dcterms:created>
  <dcterms:modified xsi:type="dcterms:W3CDTF">2017-02-04T01:23:00Z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