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569" w:rsidRDefault="00F75569" w:rsidP="00F75569">
      <w:pPr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="0"/>
        <w:rPr>
          <w:rFonts w:ascii="黑体" w:eastAsia="黑体" w:cs="黑体" w:hint="eastAsia"/>
          <w:b/>
          <w:bCs/>
          <w:sz w:val="44"/>
          <w:szCs w:val="44"/>
        </w:rPr>
      </w:pPr>
      <w:r>
        <w:rPr>
          <w:rFonts w:ascii="黑体" w:eastAsia="黑体" w:cs="黑体" w:hint="eastAsia"/>
          <w:b/>
          <w:bCs/>
          <w:sz w:val="44"/>
          <w:szCs w:val="44"/>
        </w:rPr>
        <w:t>干细胞临床研究项目备案材料</w:t>
      </w:r>
    </w:p>
    <w:p w:rsidR="00F75569" w:rsidRDefault="00F75569" w:rsidP="00F75569">
      <w:pPr>
        <w:ind w:firstLineChars="200" w:firstLine="643"/>
        <w:rPr>
          <w:rFonts w:ascii="宋体" w:hAnsi="宋体" w:hint="eastAsia"/>
          <w:b/>
          <w:sz w:val="32"/>
          <w:szCs w:val="32"/>
        </w:rPr>
      </w:pPr>
    </w:p>
    <w:p w:rsidR="00F75569" w:rsidRDefault="00F75569" w:rsidP="00F7556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干细胞临床研究项目主要提交材料(一式两份)：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一、项目立项申报材料诚信承诺书。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二、项目伦理审查申请表。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三、临床研究经费情况。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四、研究人员的名单和简历（包括临床研究单位和制剂研制单位），干细胞临床研究质量管理手册。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五、供者筛选标准和供者知情同意书样稿。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六、干细胞制备过程中主要原辅料标准。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七、干细胞制剂的制备工艺，质量控制标准和制定依据，以及工艺稳定性数据等。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八、干细胞制备的完整记录和干细胞制剂质量检验报告。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九、干细胞制剂的标签、储存、运输和使用追溯方案。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十、不合格和剩余干细胞制剂的处理措施。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十一、临床前研究报告，包括细胞水平和动物实验的安全性和有效性评价。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十二、临床研究方案，应当包括以下内容</w:t>
      </w:r>
      <w:r>
        <w:rPr>
          <w:rFonts w:ascii="仿宋_GB2312" w:eastAsia="仿宋_GB2312" w:hAnsi="宋体"/>
          <w:sz w:val="32"/>
          <w:szCs w:val="32"/>
        </w:rPr>
        <w:t>: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1.研究题目；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2.研究目的；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3.立题依据；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4.预期效果；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5.研究设计；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6.受试者纳入、排除标准和分配入组方法；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7.所需的病例数；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8.干细胞制剂的使用方式、剂量、时间及疗程，如需通过特殊手术导入治疗制剂，应当提供详细操作过程；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9.中止和终止临床研究的标准；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10.疗效评定标准；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11.不良事件的记录要求和严重不良事件的报告方法、处理措施；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12.病例报告表样稿；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13.研究结果的统计分析；</w:t>
      </w:r>
    </w:p>
    <w:p w:rsidR="00F75569" w:rsidRDefault="00F75569" w:rsidP="00F75569">
      <w:pPr>
        <w:pStyle w:val="bodytextfp"/>
        <w:spacing w:before="0" w:beforeAutospacing="0" w:after="0" w:afterAutospacing="0"/>
        <w:ind w:leftChars="344" w:left="1442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14.随访的计划及实施办法。</w:t>
      </w:r>
    </w:p>
    <w:p w:rsidR="00F75569" w:rsidRDefault="00F75569" w:rsidP="00F75569">
      <w:pPr>
        <w:pStyle w:val="bodytextfp"/>
        <w:spacing w:before="0" w:beforeAutospacing="0" w:after="0" w:afterAutospacing="0"/>
        <w:ind w:left="0" w:firstLineChars="200" w:firstLine="640"/>
        <w:jc w:val="both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十三、临床研究风险预判和处理措施，包括风险评估报告、控制方案及实施细则等。</w:t>
      </w:r>
    </w:p>
    <w:p w:rsidR="00F75569" w:rsidRDefault="00F75569" w:rsidP="00F75569">
      <w:pPr>
        <w:pStyle w:val="bodytextfp"/>
        <w:spacing w:before="0" w:beforeAutospacing="0" w:after="0" w:afterAutospacing="0"/>
        <w:ind w:leftChars="171" w:left="1079" w:hangingChars="22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十四、临床研究进度计划。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十五、资料记录与保存措施。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十六、受试者知情同意书样稿。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十七、研究者手册。</w:t>
      </w:r>
    </w:p>
    <w:p w:rsidR="00F75569" w:rsidRDefault="00F75569" w:rsidP="00F75569">
      <w:pPr>
        <w:pStyle w:val="bodytextfp"/>
        <w:spacing w:before="0" w:beforeAutospacing="0" w:after="0" w:afterAutospacing="0"/>
        <w:ind w:leftChars="43" w:left="90" w:firstLineChars="150" w:firstLine="4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十八、相关知识产权证明文件。</w:t>
      </w:r>
    </w:p>
    <w:p w:rsidR="00F75569" w:rsidRDefault="00F75569" w:rsidP="00F75569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十九、其他相关材料。</w:t>
      </w:r>
    </w:p>
    <w:p w:rsidR="00D06F93" w:rsidRDefault="00D06F93"/>
    <w:sectPr w:rsidR="00D06F93" w:rsidSect="00D0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5569"/>
    <w:rsid w:val="00D06F93"/>
    <w:rsid w:val="00F7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6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p">
    <w:name w:val="bodytextfp"/>
    <w:basedOn w:val="a"/>
    <w:rsid w:val="00F75569"/>
    <w:pPr>
      <w:widowControl/>
      <w:spacing w:before="100" w:beforeAutospacing="1" w:after="100" w:afterAutospacing="1"/>
      <w:ind w:left="720" w:hanging="720"/>
      <w:jc w:val="center"/>
    </w:pPr>
    <w:rPr>
      <w:rFonts w:ascii="宋体" w:hAnsi="Arial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China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2015-08-21T02:13:00Z</dcterms:created>
  <dcterms:modified xsi:type="dcterms:W3CDTF">2015-08-21T02:13:00Z</dcterms:modified>
</cp:coreProperties>
</file>