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5F" w:rsidRPr="00141D5F" w:rsidRDefault="00141D5F" w:rsidP="00141D5F">
      <w:pPr>
        <w:widowControl/>
        <w:spacing w:line="540" w:lineRule="atLeast"/>
        <w:ind w:left="2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拟批准的食品添加剂新品种金箔</w:t>
      </w:r>
    </w:p>
    <w:p w:rsidR="00141D5F" w:rsidRPr="00141D5F" w:rsidRDefault="00141D5F" w:rsidP="00141D5F">
      <w:pPr>
        <w:widowControl/>
        <w:snapToGrid w:val="0"/>
        <w:spacing w:line="32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141D5F" w:rsidRPr="00141D5F" w:rsidRDefault="00141D5F" w:rsidP="00141D5F">
      <w:pPr>
        <w:widowControl/>
        <w:snapToGrid w:val="0"/>
        <w:spacing w:line="32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黑体" w:eastAsia="黑体" w:hAnsi="Times New Roman" w:cs="Times New Roman" w:hint="eastAsia"/>
          <w:kern w:val="0"/>
          <w:sz w:val="24"/>
          <w:szCs w:val="24"/>
        </w:rPr>
        <w:t>金箔</w:t>
      </w:r>
    </w:p>
    <w:p w:rsidR="00141D5F" w:rsidRPr="00141D5F" w:rsidRDefault="00141D5F" w:rsidP="00141D5F">
      <w:pPr>
        <w:widowControl/>
        <w:snapToGrid w:val="0"/>
        <w:spacing w:line="32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宋体" w:eastAsia="宋体" w:hAnsi="宋体" w:cs="Times New Roman" w:hint="eastAsia"/>
          <w:kern w:val="0"/>
          <w:sz w:val="24"/>
          <w:szCs w:val="24"/>
        </w:rPr>
        <w:t>英文名称：</w:t>
      </w:r>
      <w:r w:rsidRPr="00141D5F">
        <w:rPr>
          <w:rFonts w:ascii="Times New Roman" w:eastAsia="宋体" w:hAnsi="Times New Roman" w:cs="Times New Roman"/>
          <w:kern w:val="0"/>
          <w:sz w:val="24"/>
          <w:szCs w:val="24"/>
        </w:rPr>
        <w:t>Gold</w:t>
      </w:r>
    </w:p>
    <w:p w:rsidR="00141D5F" w:rsidRPr="00141D5F" w:rsidRDefault="00141D5F" w:rsidP="00141D5F">
      <w:pPr>
        <w:widowControl/>
        <w:snapToGrid w:val="0"/>
        <w:spacing w:line="320" w:lineRule="atLeast"/>
        <w:ind w:hanging="1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宋体" w:eastAsia="宋体" w:hAnsi="宋体" w:cs="Times New Roman" w:hint="eastAsia"/>
          <w:kern w:val="0"/>
          <w:sz w:val="24"/>
          <w:szCs w:val="24"/>
        </w:rPr>
        <w:t>功能：其他</w:t>
      </w:r>
    </w:p>
    <w:p w:rsidR="00141D5F" w:rsidRPr="00141D5F" w:rsidRDefault="00141D5F" w:rsidP="00141D5F">
      <w:pPr>
        <w:widowControl/>
        <w:snapToGrid w:val="0"/>
        <w:spacing w:line="32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黑体" w:eastAsia="黑体" w:hAnsi="Times New Roman" w:cs="Times New Roman" w:hint="eastAsia"/>
          <w:kern w:val="0"/>
          <w:sz w:val="24"/>
          <w:szCs w:val="24"/>
        </w:rPr>
        <w:t>（一）用量及使用范围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6"/>
        <w:gridCol w:w="3045"/>
        <w:gridCol w:w="2367"/>
        <w:gridCol w:w="1348"/>
      </w:tblGrid>
      <w:tr w:rsidR="00141D5F" w:rsidRPr="00141D5F" w:rsidTr="00141D5F">
        <w:trPr>
          <w:trHeight w:val="499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>食品分类号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>食品名称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>最大使用量(g/kg)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>备 注</w:t>
            </w:r>
          </w:p>
        </w:tc>
      </w:tr>
      <w:tr w:rsidR="00141D5F" w:rsidRPr="00141D5F" w:rsidTr="00141D5F">
        <w:trPr>
          <w:trHeight w:val="368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Times New Roman" w:eastAsia="宋体" w:hAnsi="Times New Roman" w:cs="Times New Roman"/>
                <w:kern w:val="0"/>
                <w:szCs w:val="21"/>
              </w:rPr>
              <w:t>15.01.01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白酒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0.02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141D5F" w:rsidRPr="00141D5F" w:rsidRDefault="00141D5F" w:rsidP="00141D5F">
      <w:pPr>
        <w:widowControl/>
        <w:snapToGrid w:val="0"/>
        <w:spacing w:line="32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黑体" w:eastAsia="黑体" w:hAnsi="Times New Roman" w:cs="Times New Roman" w:hint="eastAsia"/>
          <w:kern w:val="0"/>
          <w:sz w:val="24"/>
          <w:szCs w:val="24"/>
        </w:rPr>
        <w:t>（二）质量规格要求</w:t>
      </w:r>
    </w:p>
    <w:p w:rsidR="00141D5F" w:rsidRPr="00141D5F" w:rsidRDefault="00141D5F" w:rsidP="00141D5F">
      <w:pPr>
        <w:widowControl/>
        <w:snapToGrid w:val="0"/>
        <w:spacing w:line="320" w:lineRule="atLeast"/>
        <w:ind w:hanging="1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黑体" w:eastAsia="黑体" w:hAnsi="Times New Roman" w:cs="Times New Roman" w:hint="eastAsia"/>
          <w:kern w:val="0"/>
          <w:sz w:val="24"/>
          <w:szCs w:val="24"/>
        </w:rPr>
        <w:t>1.生产工艺</w:t>
      </w:r>
    </w:p>
    <w:p w:rsidR="00141D5F" w:rsidRPr="00141D5F" w:rsidRDefault="00141D5F" w:rsidP="00141D5F">
      <w:pPr>
        <w:widowControl/>
        <w:snapToGrid w:val="0"/>
        <w:spacing w:line="32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宋体" w:eastAsia="宋体" w:hAnsi="宋体" w:cs="Times New Roman" w:hint="eastAsia"/>
          <w:kern w:val="0"/>
          <w:sz w:val="24"/>
          <w:szCs w:val="24"/>
        </w:rPr>
        <w:t>将纯度为99.99%纯金以物理方式将其气化，使其均匀分散成小分子，再将这</w:t>
      </w:r>
      <w:proofErr w:type="gramStart"/>
      <w:r w:rsidRPr="00141D5F">
        <w:rPr>
          <w:rFonts w:ascii="宋体" w:eastAsia="宋体" w:hAnsi="宋体" w:cs="Times New Roman" w:hint="eastAsia"/>
          <w:kern w:val="0"/>
          <w:sz w:val="24"/>
          <w:szCs w:val="24"/>
        </w:rPr>
        <w:t>些小金</w:t>
      </w:r>
      <w:proofErr w:type="gramEnd"/>
      <w:r w:rsidRPr="00141D5F">
        <w:rPr>
          <w:rFonts w:ascii="宋体" w:eastAsia="宋体" w:hAnsi="宋体" w:cs="Times New Roman" w:hint="eastAsia"/>
          <w:kern w:val="0"/>
          <w:sz w:val="24"/>
          <w:szCs w:val="24"/>
        </w:rPr>
        <w:t>分子重新堆栈排列以精准控制分子</w:t>
      </w:r>
      <w:proofErr w:type="gramStart"/>
      <w:r w:rsidRPr="00141D5F">
        <w:rPr>
          <w:rFonts w:ascii="宋体" w:eastAsia="宋体" w:hAnsi="宋体" w:cs="Times New Roman" w:hint="eastAsia"/>
          <w:kern w:val="0"/>
          <w:sz w:val="24"/>
          <w:szCs w:val="24"/>
        </w:rPr>
        <w:t>磊</w:t>
      </w:r>
      <w:proofErr w:type="gramEnd"/>
      <w:r w:rsidRPr="00141D5F">
        <w:rPr>
          <w:rFonts w:ascii="宋体" w:eastAsia="宋体" w:hAnsi="宋体" w:cs="Times New Roman" w:hint="eastAsia"/>
          <w:kern w:val="0"/>
          <w:sz w:val="24"/>
          <w:szCs w:val="24"/>
        </w:rPr>
        <w:t>晶堆栈的方式形成食品添加剂金箔。</w:t>
      </w:r>
    </w:p>
    <w:p w:rsidR="00141D5F" w:rsidRPr="00141D5F" w:rsidRDefault="00141D5F" w:rsidP="00141D5F">
      <w:pPr>
        <w:widowControl/>
        <w:snapToGrid w:val="0"/>
        <w:spacing w:line="320" w:lineRule="atLeast"/>
        <w:ind w:hanging="1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黑体" w:eastAsia="黑体" w:hAnsi="Times New Roman" w:cs="Times New Roman" w:hint="eastAsia"/>
          <w:kern w:val="0"/>
          <w:sz w:val="24"/>
          <w:szCs w:val="24"/>
        </w:rPr>
        <w:t>2.技术要求</w:t>
      </w:r>
    </w:p>
    <w:p w:rsidR="00141D5F" w:rsidRPr="00141D5F" w:rsidRDefault="00141D5F" w:rsidP="00141D5F">
      <w:pPr>
        <w:widowControl/>
        <w:spacing w:line="320" w:lineRule="atLeast"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黑体" w:eastAsia="黑体" w:hAnsi="Times New Roman" w:cs="Times New Roman" w:hint="eastAsia"/>
          <w:kern w:val="0"/>
          <w:sz w:val="24"/>
          <w:szCs w:val="24"/>
        </w:rPr>
        <w:t>2.1感官要求：</w:t>
      </w:r>
    </w:p>
    <w:p w:rsidR="00141D5F" w:rsidRPr="00141D5F" w:rsidRDefault="00141D5F" w:rsidP="00141D5F">
      <w:pPr>
        <w:widowControl/>
        <w:spacing w:line="3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宋体" w:eastAsia="宋体" w:hAnsi="宋体" w:cs="Times New Roman" w:hint="eastAsia"/>
          <w:kern w:val="0"/>
          <w:sz w:val="24"/>
          <w:szCs w:val="24"/>
        </w:rPr>
        <w:t>应符合表1的规定。</w:t>
      </w:r>
    </w:p>
    <w:p w:rsidR="00141D5F" w:rsidRPr="00141D5F" w:rsidRDefault="00141D5F" w:rsidP="00141D5F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黑体" w:eastAsia="黑体" w:hAnsi="Times New Roman" w:cs="Times New Roman" w:hint="eastAsia"/>
          <w:kern w:val="0"/>
          <w:sz w:val="24"/>
          <w:szCs w:val="24"/>
        </w:rPr>
        <w:t>表1</w:t>
      </w:r>
      <w:r w:rsidRPr="00141D5F">
        <w:rPr>
          <w:rFonts w:ascii="黑体" w:eastAsia="黑体" w:hAnsi="Times New Roman" w:cs="Times New Roman" w:hint="eastAsia"/>
          <w:kern w:val="0"/>
          <w:sz w:val="24"/>
          <w:szCs w:val="24"/>
        </w:rPr>
        <w:t> </w:t>
      </w:r>
      <w:r w:rsidRPr="00141D5F">
        <w:rPr>
          <w:rFonts w:ascii="黑体" w:eastAsia="黑体" w:hAnsi="Times New Roman" w:cs="Times New Roman" w:hint="eastAsia"/>
          <w:kern w:val="0"/>
          <w:sz w:val="24"/>
          <w:szCs w:val="24"/>
        </w:rPr>
        <w:t xml:space="preserve"> 感官要求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0"/>
        <w:gridCol w:w="2841"/>
        <w:gridCol w:w="2841"/>
      </w:tblGrid>
      <w:tr w:rsidR="00141D5F" w:rsidRPr="00141D5F" w:rsidTr="00141D5F"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5F" w:rsidRPr="00141D5F" w:rsidRDefault="00141D5F" w:rsidP="00141D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>项</w:t>
            </w: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> </w:t>
            </w: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 xml:space="preserve"> 目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5F" w:rsidRPr="00141D5F" w:rsidRDefault="00141D5F" w:rsidP="00141D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>要</w:t>
            </w: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> </w:t>
            </w: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 xml:space="preserve"> 求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5F" w:rsidRPr="00141D5F" w:rsidRDefault="00141D5F" w:rsidP="00141D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>检 验 方 法</w:t>
            </w:r>
          </w:p>
        </w:tc>
      </w:tr>
      <w:tr w:rsidR="00141D5F" w:rsidRPr="00141D5F" w:rsidTr="00141D5F">
        <w:trPr>
          <w:trHeight w:val="15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5F" w:rsidRPr="00141D5F" w:rsidRDefault="00141D5F" w:rsidP="00141D5F">
            <w:pPr>
              <w:widowControl/>
              <w:spacing w:line="157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色泽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spacing w:line="157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金色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spacing w:line="157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取包装完整的样品一袋，取出内容物于洁净的玻璃器皿中，在自然光下，观察其色泽和性状。</w:t>
            </w:r>
          </w:p>
        </w:tc>
      </w:tr>
      <w:tr w:rsidR="00141D5F" w:rsidRPr="00141D5F" w:rsidTr="00141D5F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5F" w:rsidRPr="00141D5F" w:rsidRDefault="00141D5F" w:rsidP="00141D5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状态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5F" w:rsidRPr="00141D5F" w:rsidRDefault="00141D5F" w:rsidP="00141D5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粉末或微小薄片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D5F" w:rsidRPr="00141D5F" w:rsidRDefault="00141D5F" w:rsidP="00141D5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141D5F" w:rsidRPr="00141D5F" w:rsidRDefault="00141D5F" w:rsidP="00141D5F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黑体" w:eastAsia="黑体" w:hAnsi="Times New Roman" w:cs="Times New Roman" w:hint="eastAsia"/>
          <w:kern w:val="0"/>
          <w:sz w:val="24"/>
          <w:szCs w:val="24"/>
        </w:rPr>
        <w:t>2.2技术要求：</w:t>
      </w:r>
    </w:p>
    <w:p w:rsidR="00141D5F" w:rsidRPr="00141D5F" w:rsidRDefault="00141D5F" w:rsidP="00141D5F">
      <w:pPr>
        <w:widowControl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宋体" w:eastAsia="宋体" w:hAnsi="宋体" w:cs="Times New Roman" w:hint="eastAsia"/>
          <w:kern w:val="0"/>
          <w:sz w:val="24"/>
          <w:szCs w:val="24"/>
        </w:rPr>
        <w:t>应符合表2的规定。</w:t>
      </w:r>
    </w:p>
    <w:p w:rsidR="00141D5F" w:rsidRPr="00141D5F" w:rsidRDefault="00141D5F" w:rsidP="00141D5F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黑体" w:eastAsia="黑体" w:hAnsi="Times New Roman" w:cs="Times New Roman" w:hint="eastAsia"/>
          <w:kern w:val="0"/>
          <w:sz w:val="24"/>
          <w:szCs w:val="24"/>
        </w:rPr>
        <w:t>表2</w:t>
      </w:r>
      <w:r w:rsidRPr="00141D5F">
        <w:rPr>
          <w:rFonts w:ascii="黑体" w:eastAsia="黑体" w:hAnsi="Times New Roman" w:cs="Times New Roman" w:hint="eastAsia"/>
          <w:kern w:val="0"/>
          <w:sz w:val="24"/>
          <w:szCs w:val="24"/>
        </w:rPr>
        <w:t> </w:t>
      </w:r>
      <w:r w:rsidRPr="00141D5F">
        <w:rPr>
          <w:rFonts w:ascii="黑体" w:eastAsia="黑体" w:hAnsi="Times New Roman" w:cs="Times New Roman" w:hint="eastAsia"/>
          <w:kern w:val="0"/>
          <w:sz w:val="24"/>
          <w:szCs w:val="24"/>
        </w:rPr>
        <w:t xml:space="preserve"> 理化指标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24"/>
        <w:gridCol w:w="426"/>
        <w:gridCol w:w="2836"/>
        <w:gridCol w:w="2836"/>
      </w:tblGrid>
      <w:tr w:rsidR="00141D5F" w:rsidRPr="00141D5F" w:rsidTr="00141D5F"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5F" w:rsidRPr="00141D5F" w:rsidRDefault="00141D5F" w:rsidP="00141D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>项</w:t>
            </w: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> </w:t>
            </w: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 xml:space="preserve"> 目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5F" w:rsidRPr="00141D5F" w:rsidRDefault="00141D5F" w:rsidP="00141D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>指</w:t>
            </w: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> </w:t>
            </w: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 xml:space="preserve"> 标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5F" w:rsidRPr="00141D5F" w:rsidRDefault="00141D5F" w:rsidP="00141D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黑体" w:eastAsia="黑体" w:hAnsi="Times New Roman" w:cs="Times New Roman" w:hint="eastAsia"/>
                <w:kern w:val="0"/>
                <w:szCs w:val="21"/>
              </w:rPr>
              <w:t>检 验 方 法</w:t>
            </w:r>
          </w:p>
        </w:tc>
      </w:tr>
      <w:tr w:rsidR="00141D5F" w:rsidRPr="00141D5F" w:rsidTr="00141D5F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ind w:firstLine="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金，（</w:t>
            </w:r>
            <w:r w:rsidRPr="00141D5F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w</w:t>
            </w: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  <w:r w:rsidRPr="00141D5F">
              <w:rPr>
                <w:rFonts w:ascii="Times New Roman" w:eastAsia="宋体" w:hAnsi="Times New Roman" w:cs="Times New Roman"/>
                <w:kern w:val="0"/>
                <w:szCs w:val="21"/>
              </w:rPr>
              <w:t>/%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1D5F" w:rsidRPr="00141D5F" w:rsidRDefault="00141D5F" w:rsidP="00141D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≥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ind w:firstLine="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Times New Roman" w:eastAsia="宋体" w:hAnsi="Times New Roman" w:cs="Times New Roman"/>
                <w:kern w:val="0"/>
                <w:szCs w:val="21"/>
              </w:rPr>
              <w:t>           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GB/T 15337-2008</w:t>
            </w:r>
          </w:p>
        </w:tc>
      </w:tr>
      <w:tr w:rsidR="00141D5F" w:rsidRPr="00141D5F" w:rsidTr="00141D5F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ind w:firstLine="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银，（</w:t>
            </w:r>
            <w:r w:rsidRPr="00141D5F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w</w:t>
            </w: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  <w:r w:rsidRPr="00141D5F">
              <w:rPr>
                <w:rFonts w:ascii="Times New Roman" w:eastAsia="宋体" w:hAnsi="Times New Roman" w:cs="Times New Roman"/>
                <w:kern w:val="0"/>
                <w:szCs w:val="21"/>
              </w:rPr>
              <w:t>/%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1D5F" w:rsidRPr="00141D5F" w:rsidRDefault="00141D5F" w:rsidP="00141D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≤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ind w:firstLine="8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Times New Roman" w:eastAsia="宋体" w:hAnsi="Times New Roman" w:cs="Times New Roman"/>
                <w:kern w:val="0"/>
                <w:szCs w:val="21"/>
              </w:rPr>
              <w:t>7.0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GB/T 15337-2008</w:t>
            </w:r>
          </w:p>
        </w:tc>
      </w:tr>
      <w:tr w:rsidR="00141D5F" w:rsidRPr="00141D5F" w:rsidTr="00141D5F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铜，（</w:t>
            </w:r>
            <w:r w:rsidRPr="00141D5F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w</w:t>
            </w: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  <w:r w:rsidRPr="00141D5F">
              <w:rPr>
                <w:rFonts w:ascii="Times New Roman" w:eastAsia="宋体" w:hAnsi="Times New Roman" w:cs="Times New Roman"/>
                <w:kern w:val="0"/>
                <w:szCs w:val="21"/>
              </w:rPr>
              <w:t>/%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1D5F" w:rsidRPr="00141D5F" w:rsidRDefault="00141D5F" w:rsidP="00141D5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≤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Times New Roman" w:eastAsia="宋体" w:hAnsi="Times New Roman" w:cs="Times New Roman"/>
                <w:kern w:val="0"/>
                <w:szCs w:val="21"/>
              </w:rPr>
              <w:t>4.0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5F" w:rsidRPr="00141D5F" w:rsidRDefault="00141D5F" w:rsidP="00141D5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1D5F">
              <w:rPr>
                <w:rFonts w:ascii="宋体" w:eastAsia="宋体" w:hAnsi="宋体" w:cs="Times New Roman" w:hint="eastAsia"/>
                <w:kern w:val="0"/>
                <w:szCs w:val="21"/>
              </w:rPr>
              <w:t>GB/T 15337-2008</w:t>
            </w:r>
          </w:p>
        </w:tc>
      </w:tr>
    </w:tbl>
    <w:p w:rsidR="00141D5F" w:rsidRPr="00141D5F" w:rsidRDefault="00141D5F" w:rsidP="00141D5F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141D5F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142562" w:rsidRPr="00141D5F" w:rsidRDefault="007A65B2"/>
    <w:sectPr w:rsidR="00142562" w:rsidRPr="00141D5F" w:rsidSect="00EB0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B2" w:rsidRDefault="007A65B2" w:rsidP="00141D5F">
      <w:r>
        <w:separator/>
      </w:r>
    </w:p>
  </w:endnote>
  <w:endnote w:type="continuationSeparator" w:id="0">
    <w:p w:rsidR="007A65B2" w:rsidRDefault="007A65B2" w:rsidP="0014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B2" w:rsidRDefault="007A65B2" w:rsidP="00141D5F">
      <w:r>
        <w:separator/>
      </w:r>
    </w:p>
  </w:footnote>
  <w:footnote w:type="continuationSeparator" w:id="0">
    <w:p w:rsidR="007A65B2" w:rsidRDefault="007A65B2" w:rsidP="0014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D5F"/>
    <w:rsid w:val="00141D5F"/>
    <w:rsid w:val="00250A60"/>
    <w:rsid w:val="0031695A"/>
    <w:rsid w:val="007A65B2"/>
    <w:rsid w:val="00BB109E"/>
    <w:rsid w:val="00CE30C1"/>
    <w:rsid w:val="00EB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D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D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141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2015-01-28T08:25:00Z</dcterms:created>
  <dcterms:modified xsi:type="dcterms:W3CDTF">2015-01-28T08:26:00Z</dcterms:modified>
</cp:coreProperties>
</file>