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/>
        <w:jc w:val="both"/>
        <w:textAlignment w:val="auto"/>
        <w:rPr>
          <w:rFonts w:hint="eastAsia" w:ascii="宋体" w:hAnsi="宋体" w:eastAsia="仿宋_GB2312" w:cs="宋体"/>
          <w:b/>
          <w:bCs/>
          <w:sz w:val="44"/>
          <w:szCs w:val="44"/>
          <w:lang w:eastAsia="zh-CN"/>
        </w:rPr>
      </w:pPr>
      <w:r>
        <w:rPr>
          <w:rFonts w:hint="eastAsia" w:eastAsia="仿宋_GB2312"/>
          <w:sz w:val="32"/>
          <w:szCs w:val="18"/>
          <w:lang w:eastAsia="zh-CN"/>
        </w:rPr>
        <w:t>附件</w:t>
      </w:r>
    </w:p>
    <w:p>
      <w:pPr>
        <w:pStyle w:val="1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各级妇幼保健机构编制标准（试行）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妇幼保健工作是我国人民卫生事业的重要组成部分，各级妇幼保健机构承担着保障妇女儿童身心健康，提高妇女儿童健康水平的重要责任。各级妇幼保健机构应随着我国卫生事业的发展，逐步建立健全编制管理，以适应妇幼保健事业的发展。为了实现上述任务，特制定本标准（试行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一、机构设置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1．各级妇幼保健机构，按行政区划，省、自治区、直辖市设妇幼保健院（所）；市（州、盟）设妇幼保健院（所）；县（市、区、旗）设妇幼保健所。少数有条件的县经上级卫生行政部门批准可设妇幼保健院。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2．各级妇幼保健机构，应本着精简和提高工作效率的原则，按照院（所）、科（室、组）两级行政管理体制，确定内部机构，经上级主管部门批准后设置。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二、人员编制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1．县以上（含县）妇幼保健机构的人员编制总额，一般按人口的1∶10,000配备；地广人稀、交通不便的地区和大城市按人口的1∶5,000配备；人口稠密的省按1∶15,000配备。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2．妇幼保健院、保健所，根据工作任务、技术力量和开展工作情况的不同，按以下一、二类编制标准确定： 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255"/>
        <w:gridCol w:w="2657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pacing w:val="4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省（自治区、直辖市）</w:t>
            </w:r>
            <w:r>
              <w:rPr>
                <w:rFonts w:hint="eastAsia" w:eastAsia="仿宋_GB2312"/>
                <w:spacing w:val="4"/>
                <w:sz w:val="32"/>
                <w:szCs w:val="18"/>
              </w:rPr>
              <w:t>妇幼保健院（所）</w:t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pacing w:val="4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市（州、盟）妇</w:t>
            </w:r>
            <w:r>
              <w:rPr>
                <w:rFonts w:hint="eastAsia" w:eastAsia="仿宋_GB2312"/>
                <w:spacing w:val="4"/>
                <w:sz w:val="32"/>
                <w:szCs w:val="18"/>
              </w:rPr>
              <w:t>幼保健院（所）</w:t>
            </w: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pacing w:val="4"/>
                <w:sz w:val="32"/>
                <w:szCs w:val="18"/>
              </w:rPr>
            </w:pPr>
            <w:r>
              <w:rPr>
                <w:rFonts w:hint="eastAsia" w:eastAsia="仿宋_GB2312"/>
                <w:spacing w:val="4"/>
                <w:sz w:val="32"/>
                <w:szCs w:val="18"/>
              </w:rPr>
              <w:t>县（市、区旗）妇幼保健所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pacing w:val="2"/>
                <w:sz w:val="32"/>
                <w:szCs w:val="18"/>
              </w:rPr>
              <w:t>一</w:t>
            </w:r>
            <w:r>
              <w:rPr>
                <w:rFonts w:hint="eastAsia" w:eastAsia="仿宋_GB2312"/>
                <w:sz w:val="32"/>
                <w:szCs w:val="18"/>
              </w:rPr>
              <w:t>类</w:t>
            </w:r>
          </w:p>
        </w:tc>
        <w:tc>
          <w:tcPr>
            <w:tcW w:w="22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121－160人</w:t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61－90人</w:t>
            </w: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41－70人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二类</w:t>
            </w:r>
          </w:p>
        </w:tc>
        <w:tc>
          <w:tcPr>
            <w:tcW w:w="22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80－120人</w:t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40－60人</w:t>
            </w: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eastAsia="仿宋_GB2312"/>
                <w:sz w:val="32"/>
                <w:szCs w:val="18"/>
              </w:rPr>
            </w:pPr>
            <w:r>
              <w:rPr>
                <w:rFonts w:hint="eastAsia" w:eastAsia="仿宋_GB2312"/>
                <w:sz w:val="32"/>
                <w:szCs w:val="18"/>
              </w:rPr>
              <w:t>20－40人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>注：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（1）地区妇幼保健机构的人员编制，根据实际情况，参照市、县级人员编制标准确定。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（2）目前各级妇幼保健机构统一按二类标准执行。根据工作开展需要，由上级卫生主管部　门会同编制主管部门批准，可执行一类标准。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>3．</w:t>
      </w:r>
      <w:r>
        <w:rPr>
          <w:rFonts w:hint="eastAsia" w:eastAsia="仿宋_GB2312"/>
          <w:spacing w:val="8"/>
          <w:sz w:val="32"/>
          <w:szCs w:val="18"/>
        </w:rPr>
        <w:t>各级妇幼保健院内，临床部人员按设立床位数，以1∶</w:t>
      </w:r>
      <w:r>
        <w:rPr>
          <w:rFonts w:hint="eastAsia" w:eastAsia="仿宋_GB2312"/>
          <w:sz w:val="32"/>
          <w:szCs w:val="18"/>
        </w:rPr>
        <w:t xml:space="preserve">1.7增加编制。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4．妇幼保健院卫生技术人员占总人数的75－80%。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 xml:space="preserve">妇幼保健所卫生技术人员占总人数的80%－85%。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18"/>
        </w:rPr>
      </w:pPr>
      <w:r>
        <w:rPr>
          <w:rFonts w:hint="eastAsia" w:eastAsia="仿宋_GB2312"/>
          <w:sz w:val="32"/>
          <w:szCs w:val="18"/>
        </w:rPr>
        <w:t>5．各级妇幼保健机构领导职数，可根据实际情况和不同规模分别确定：市（州、盟）以上妇幼保健院为2至4人，妇幼保健所为1至3人（包括专职支部书记、副书记在内）。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圆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黑眼小豆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Noto Sans Adlam">
    <w:panose1 w:val="020B0502040504020204"/>
    <w:charset w:val="00"/>
    <w:family w:val="auto"/>
    <w:pitch w:val="default"/>
    <w:sig w:usb0="80002003" w:usb1="02000000" w:usb2="00000000" w:usb3="00000000" w:csb0="00000001" w:csb1="00000000"/>
  </w:font>
  <w:font w:name="Noto Sans Anatolian Hieroglyphs">
    <w:panose1 w:val="020B0502040504020204"/>
    <w:charset w:val="00"/>
    <w:family w:val="auto"/>
    <w:pitch w:val="default"/>
    <w:sig w:usb0="80000003" w:usb1="02000000" w:usb2="00000000" w:usb3="00000000" w:csb0="0000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B6975"/>
    <w:rsid w:val="26FA2AFF"/>
    <w:rsid w:val="50431043"/>
    <w:rsid w:val="5D9F7444"/>
    <w:rsid w:val="74F2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ind w:firstLine="200" w:firstLineChars="200"/>
      <w:jc w:val="both"/>
    </w:pPr>
    <w:rPr>
      <w:rFonts w:ascii="Times New Roman" w:hAnsi="Times New Roman" w:eastAsia="方正书宋简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1624"/>
    <w:pPr>
      <w:ind w:firstLine="420"/>
    </w:pPr>
    <w:rPr>
      <w:rFonts w:eastAsia="方正书宋简体"/>
      <w:color w:val="000000"/>
      <w:szCs w:val="18"/>
    </w:rPr>
  </w:style>
  <w:style w:type="paragraph" w:styleId="3">
    <w:name w:val="Body Text Indent 2"/>
    <w:basedOn w:val="1"/>
    <w:qFormat/>
    <w:uiPriority w:val="1624"/>
    <w:pPr>
      <w:ind w:firstLine="428"/>
    </w:pPr>
    <w:rPr>
      <w:rFonts w:eastAsia="方正书宋简体"/>
      <w:spacing w:val="2"/>
      <w:szCs w:val="18"/>
    </w:rPr>
  </w:style>
  <w:style w:type="paragraph" w:customStyle="1" w:styleId="6">
    <w:name w:val="BT1"/>
    <w:basedOn w:val="1"/>
    <w:qFormat/>
    <w:uiPriority w:val="3"/>
    <w:pPr>
      <w:snapToGrid w:val="0"/>
      <w:spacing w:before="595" w:beforeLines="180" w:after="165" w:afterLines="50"/>
      <w:ind w:firstLine="0" w:firstLineChars="0"/>
      <w:jc w:val="center"/>
      <w:outlineLvl w:val="1"/>
    </w:pPr>
    <w:rPr>
      <w:rFonts w:ascii="方正小标宋简体" w:hAnsi="宋体" w:eastAsia="方正小标宋简体"/>
      <w:sz w:val="28"/>
      <w:szCs w:val="28"/>
    </w:rPr>
  </w:style>
  <w:style w:type="paragraph" w:customStyle="1" w:styleId="7">
    <w:name w:val="令号"/>
    <w:basedOn w:val="1"/>
    <w:qFormat/>
    <w:uiPriority w:val="0"/>
    <w:pPr>
      <w:ind w:firstLine="0" w:firstLineChars="0"/>
      <w:jc w:val="center"/>
    </w:pPr>
    <w:rPr>
      <w:rFonts w:eastAsia="仿宋_GB2312"/>
    </w:rPr>
  </w:style>
  <w:style w:type="paragraph" w:customStyle="1" w:styleId="8">
    <w:name w:val="附件"/>
    <w:basedOn w:val="1"/>
    <w:qFormat/>
    <w:uiPriority w:val="0"/>
    <w:pPr>
      <w:pageBreakBefore/>
      <w:spacing w:after="198" w:afterLines="60"/>
      <w:ind w:firstLine="0" w:firstLineChars="0"/>
    </w:pPr>
    <w:rPr>
      <w:szCs w:val="18"/>
    </w:rPr>
  </w:style>
  <w:style w:type="paragraph" w:customStyle="1" w:styleId="9">
    <w:name w:val="居右"/>
    <w:basedOn w:val="1"/>
    <w:qFormat/>
    <w:uiPriority w:val="0"/>
    <w:pPr>
      <w:ind w:firstLine="420"/>
      <w:jc w:val="right"/>
    </w:pPr>
    <w:rPr>
      <w:rFonts w:ascii="方正书宋简体" w:hAnsi="宋体" w:eastAsia="方正书宋简体"/>
      <w:color w:val="000000"/>
      <w:szCs w:val="18"/>
    </w:rPr>
  </w:style>
  <w:style w:type="paragraph" w:customStyle="1" w:styleId="10">
    <w:name w:val="附标题"/>
    <w:basedOn w:val="1"/>
    <w:qFormat/>
    <w:uiPriority w:val="2441"/>
    <w:pPr>
      <w:spacing w:before="595" w:beforeLines="180"/>
      <w:ind w:firstLine="0" w:firstLineChars="0"/>
      <w:jc w:val="center"/>
    </w:pPr>
    <w:rPr>
      <w:rFonts w:eastAsia="黑体"/>
      <w:sz w:val="28"/>
      <w:szCs w:val="28"/>
    </w:rPr>
  </w:style>
  <w:style w:type="paragraph" w:customStyle="1" w:styleId="11">
    <w:name w:val="号下字"/>
    <w:basedOn w:val="1"/>
    <w:qFormat/>
    <w:uiPriority w:val="1461"/>
    <w:pPr>
      <w:ind w:firstLine="0" w:firstLineChars="0"/>
      <w:jc w:val="center"/>
    </w:pPr>
    <w:rPr>
      <w:bCs/>
      <w:szCs w:val="18"/>
    </w:rPr>
  </w:style>
  <w:style w:type="paragraph" w:customStyle="1" w:styleId="12">
    <w:name w:val="BT2"/>
    <w:basedOn w:val="1"/>
    <w:qFormat/>
    <w:uiPriority w:val="3"/>
    <w:pPr>
      <w:spacing w:before="50" w:beforeLines="50" w:after="50" w:afterLines="50"/>
      <w:ind w:firstLine="0" w:firstLineChars="0"/>
      <w:jc w:val="center"/>
    </w:pPr>
    <w:rPr>
      <w:rFonts w:ascii="黑体" w:hAnsi="宋体" w:eastAsia="黑体"/>
      <w:kern w:val="21"/>
      <w:szCs w:val="18"/>
    </w:rPr>
  </w:style>
  <w:style w:type="paragraph" w:customStyle="1" w:styleId="13">
    <w:name w:val="表题"/>
    <w:basedOn w:val="1"/>
    <w:qFormat/>
    <w:uiPriority w:val="0"/>
    <w:pPr>
      <w:spacing w:before="165" w:beforeLines="50" w:after="66" w:afterLines="20"/>
      <w:ind w:firstLine="0" w:firstLineChars="0"/>
      <w:jc w:val="center"/>
    </w:pPr>
    <w:rPr>
      <w:rFonts w:ascii="黑体" w:eastAsia="黑体"/>
    </w:rPr>
  </w:style>
  <w:style w:type="paragraph" w:customStyle="1" w:styleId="14">
    <w:name w:val="表文"/>
    <w:basedOn w:val="1"/>
    <w:qFormat/>
    <w:uiPriority w:val="0"/>
    <w:pPr>
      <w:widowControl/>
      <w:tabs>
        <w:tab w:val="left" w:pos="7920"/>
      </w:tabs>
      <w:adjustRightInd w:val="0"/>
      <w:snapToGrid w:val="0"/>
      <w:spacing w:before="16" w:beforeLines="5" w:after="16" w:afterLines="5"/>
      <w:ind w:firstLine="0" w:firstLineChars="0"/>
      <w:jc w:val="center"/>
    </w:pPr>
    <w:rPr>
      <w:bCs/>
      <w:sz w:val="18"/>
      <w:szCs w:val="18"/>
    </w:rPr>
  </w:style>
  <w:style w:type="paragraph" w:customStyle="1" w:styleId="15">
    <w:name w:val="表注"/>
    <w:basedOn w:val="1"/>
    <w:qFormat/>
    <w:uiPriority w:val="0"/>
    <w:pPr>
      <w:spacing w:line="270" w:lineRule="exact"/>
      <w:ind w:firstLine="360"/>
    </w:pPr>
    <w:rPr>
      <w:bCs/>
      <w:sz w:val="18"/>
    </w:rPr>
  </w:style>
  <w:style w:type="paragraph" w:customStyle="1" w:styleId="16">
    <w:name w:val="小空行"/>
    <w:basedOn w:val="1"/>
    <w:qFormat/>
    <w:uiPriority w:val="2180"/>
    <w:pPr>
      <w:spacing w:line="120" w:lineRule="exact"/>
      <w:ind w:firstLine="420"/>
    </w:pPr>
  </w:style>
  <w:style w:type="paragraph" w:customStyle="1" w:styleId="17">
    <w:name w:val="黑"/>
    <w:basedOn w:val="1"/>
    <w:qFormat/>
    <w:uiPriority w:val="0"/>
    <w:pPr>
      <w:ind w:firstLine="420"/>
    </w:pPr>
    <w:rPr>
      <w:rFonts w:eastAsia="黑体"/>
    </w:rPr>
  </w:style>
  <w:style w:type="paragraph" w:customStyle="1" w:styleId="18">
    <w:name w:val="续表"/>
    <w:basedOn w:val="1"/>
    <w:qFormat/>
    <w:uiPriority w:val="0"/>
    <w:pPr>
      <w:pageBreakBefore/>
      <w:ind w:right="420" w:rightChars="200" w:firstLine="360"/>
      <w:jc w:val="righ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2021-05-21T17:12:00Z</dcterms:created>
  <dc:creator>user</dc:creator>
  <cp:lastModifiedBy>wjw</cp:lastModifiedBy>
  <cp:lastPrinted>2021-05-24T10:04:00Z</cp:lastPrinted>
  <dcterms:modified xsi:type="dcterms:W3CDTF">2021-05-27T12:20:37Z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