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红头"/>
      <w:r>
        <w:rPr>
          <w:rFonts w:hint="eastAsia" w:ascii="黑体" w:hAnsi="黑体" w:eastAsia="黑体" w:cs="黑体"/>
          <w:szCs w:val="32"/>
        </w:rPr>
        <w:t>附件</w:t>
      </w:r>
    </w:p>
    <w:p>
      <w:pPr>
        <w:widowControl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共轭亚油酸、共轭亚油酸甘油酯、</w:t>
      </w:r>
    </w:p>
    <w:p>
      <w:pPr>
        <w:widowControl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甘油二酯油</w:t>
      </w:r>
    </w:p>
    <w:p>
      <w:pPr>
        <w:spacing w:after="0" w:afterAutospacing="0"/>
        <w:ind w:firstLine="640" w:firstLineChars="200"/>
        <w:jc w:val="left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" w:firstLineChars="145"/>
        <w:textAlignment w:val="auto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一、共轭亚油酸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125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noWrap w:val="0"/>
            <w:vAlign w:val="top"/>
          </w:tcPr>
          <w:p>
            <w:pPr>
              <w:adjustRightInd w:val="0"/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中文名称</w:t>
            </w:r>
          </w:p>
        </w:tc>
        <w:tc>
          <w:tcPr>
            <w:tcW w:w="71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共轭亚油酸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noWrap w:val="0"/>
            <w:vAlign w:val="top"/>
          </w:tcPr>
          <w:p>
            <w:pPr>
              <w:adjustRightInd w:val="0"/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英文名称</w:t>
            </w:r>
          </w:p>
        </w:tc>
        <w:tc>
          <w:tcPr>
            <w:tcW w:w="71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Conjugated Linoleic Acid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noWrap w:val="0"/>
            <w:vAlign w:val="top"/>
          </w:tcPr>
          <w:p>
            <w:pPr>
              <w:adjustRightInd w:val="0"/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主要成分</w:t>
            </w:r>
          </w:p>
        </w:tc>
        <w:tc>
          <w:tcPr>
            <w:tcW w:w="71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共轭亚油酸C18:2（主要为9c,11t和10t,12c异构体）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497" w:type="dxa"/>
            <w:noWrap w:val="0"/>
            <w:vAlign w:val="top"/>
          </w:tcPr>
          <w:p>
            <w:pPr>
              <w:adjustRightInd w:val="0"/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基本信息</w:t>
            </w:r>
          </w:p>
        </w:tc>
        <w:tc>
          <w:tcPr>
            <w:tcW w:w="71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来源：红花籽油</w:t>
            </w:r>
          </w:p>
          <w:p>
            <w:pPr>
              <w:adjustRightInd w:val="0"/>
              <w:snapToGrid w:val="0"/>
              <w:jc w:val="left"/>
              <w:rPr>
                <w:sz w:val="28"/>
                <w:szCs w:val="32"/>
              </w:rPr>
            </w:pPr>
            <w:r>
              <w:rPr>
                <w:szCs w:val="32"/>
              </w:rPr>
              <w:t>主要成分的结构式：</w:t>
            </w:r>
            <w:r>
              <w:rPr>
                <w:szCs w:val="32"/>
              </w:rPr>
              <w:object>
                <v:shape id="_x0000_i1025" o:spt="75" type="#_x0000_t75" style="height:42pt;width:274.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6">
                  <o:LockedField>false</o:LockedField>
                </o:OLEObject>
              </w:object>
            </w:r>
            <w:r>
              <w:rPr>
                <w:color w:val="000000"/>
                <w:kern w:val="0"/>
                <w:sz w:val="28"/>
                <w:szCs w:val="32"/>
              </w:rPr>
              <w:t>9c,11t</w:t>
            </w:r>
          </w:p>
          <w:p>
            <w:pPr>
              <w:adjustRightInd w:val="0"/>
              <w:snapToGrid w:val="0"/>
              <w:jc w:val="left"/>
              <w:rPr>
                <w:szCs w:val="32"/>
              </w:rPr>
            </w:pPr>
            <w:r>
              <w:rPr>
                <w:szCs w:val="32"/>
              </w:rPr>
              <w:object>
                <v:shape id="_x0000_i1026" o:spt="75" type="#_x0000_t75" style="height:37.5pt;width:272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8">
                  <o:LockedField>false</o:LockedField>
                </o:OLEObject>
              </w:object>
            </w:r>
            <w:r>
              <w:rPr>
                <w:color w:val="000000"/>
                <w:kern w:val="0"/>
                <w:sz w:val="28"/>
                <w:szCs w:val="32"/>
              </w:rPr>
              <w:t>10t,12c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（c顺式结构，t反式结构）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分子式：C</w:t>
            </w:r>
            <w:r>
              <w:rPr>
                <w:szCs w:val="32"/>
                <w:vertAlign w:val="subscript"/>
              </w:rPr>
              <w:t>18</w:t>
            </w:r>
            <w:r>
              <w:rPr>
                <w:szCs w:val="32"/>
              </w:rPr>
              <w:t>H</w:t>
            </w:r>
            <w:r>
              <w:rPr>
                <w:szCs w:val="32"/>
                <w:vertAlign w:val="subscript"/>
              </w:rPr>
              <w:t>32</w:t>
            </w:r>
            <w:r>
              <w:rPr>
                <w:szCs w:val="32"/>
              </w:rPr>
              <w:t>O</w:t>
            </w:r>
            <w:r>
              <w:rPr>
                <w:szCs w:val="32"/>
                <w:vertAlign w:val="subscript"/>
              </w:rPr>
              <w:t>2</w:t>
            </w:r>
          </w:p>
          <w:p>
            <w:pPr>
              <w:adjustRightInd w:val="0"/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分子量：280.44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noWrap w:val="0"/>
            <w:vAlign w:val="top"/>
          </w:tcPr>
          <w:p>
            <w:pPr>
              <w:adjustRightInd w:val="0"/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生产工艺简述</w:t>
            </w:r>
          </w:p>
        </w:tc>
        <w:tc>
          <w:tcPr>
            <w:tcW w:w="71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以食品级的红花籽油为原料，通过共轭化反应将其中的亚油酸转化成共轭亚油酸。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食用量</w:t>
            </w:r>
          </w:p>
        </w:tc>
        <w:tc>
          <w:tcPr>
            <w:tcW w:w="71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＜</w:t>
            </w:r>
            <w:r>
              <w:rPr>
                <w:szCs w:val="32"/>
              </w:rPr>
              <w:t>6</w:t>
            </w:r>
            <w:r>
              <w:rPr>
                <w:rFonts w:hint="eastAsia" w:ascii="仿宋_GB2312"/>
                <w:szCs w:val="32"/>
              </w:rPr>
              <w:t>克/天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质量要求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性状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无色至淡黄色清澈、透明油状液体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共轭亚油酸含量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700-800 mg/g（w/w）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共轭亚油酸C18:2 9c,11t和10t,12c异构体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78%-84%</w:t>
            </w:r>
            <w:r>
              <w:rPr>
                <w:rFonts w:hint="eastAsia"/>
                <w:szCs w:val="32"/>
              </w:rPr>
              <w:t>（</w:t>
            </w:r>
            <w:r>
              <w:rPr>
                <w:szCs w:val="32"/>
              </w:rPr>
              <w:t>气相，面积百分比</w:t>
            </w:r>
            <w:r>
              <w:rPr>
                <w:rFonts w:hint="eastAsia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color w:val="auto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Cs w:val="32"/>
              </w:rPr>
              <w:t>油酸</w:t>
            </w:r>
            <w:r>
              <w:rPr>
                <w:b w:val="0"/>
                <w:bCs/>
                <w:color w:val="auto"/>
                <w:szCs w:val="32"/>
              </w:rPr>
              <w:t>C18:1 9c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10%-20%（气相，面积百分比）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棕榈酸C16:0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rFonts w:eastAsia="宋体"/>
                <w:szCs w:val="32"/>
              </w:rPr>
              <w:t>＜</w:t>
            </w:r>
            <w:r>
              <w:rPr>
                <w:szCs w:val="32"/>
              </w:rPr>
              <w:t>4%（气相，面积百分比）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硬脂酸C18:0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rFonts w:eastAsia="宋体"/>
                <w:szCs w:val="32"/>
              </w:rPr>
              <w:t>＜</w:t>
            </w:r>
            <w:r>
              <w:rPr>
                <w:szCs w:val="32"/>
              </w:rPr>
              <w:t>4%（气相，面积百分比）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color w:val="auto"/>
                <w:szCs w:val="32"/>
              </w:rPr>
            </w:pPr>
            <w:r>
              <w:rPr>
                <w:b w:val="0"/>
                <w:bCs/>
                <w:color w:val="auto"/>
                <w:szCs w:val="32"/>
              </w:rPr>
              <w:t>亚油酸C18:2</w:t>
            </w:r>
            <w:r>
              <w:rPr>
                <w:b w:val="0"/>
                <w:bCs/>
                <w:szCs w:val="32"/>
              </w:rPr>
              <w:t xml:space="preserve"> </w:t>
            </w:r>
            <w:r>
              <w:rPr>
                <w:b w:val="0"/>
                <w:bCs/>
                <w:color w:val="auto"/>
                <w:szCs w:val="32"/>
              </w:rPr>
              <w:t>9c,12c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rFonts w:eastAsia="宋体"/>
                <w:szCs w:val="32"/>
              </w:rPr>
              <w:t>＜</w:t>
            </w:r>
            <w:r>
              <w:rPr>
                <w:szCs w:val="32"/>
              </w:rPr>
              <w:t>3%（气相，面积百分比）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71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共轭亚油酸异构体的组成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共轭亚油酸C18:2 9c,11t异构体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37.5%-42.0%（气相，面积百分比）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共轭亚油酸C18:2  10t,12c异构体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37.5%-42.0%（气相，面积百分比）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color w:val="auto"/>
                <w:szCs w:val="32"/>
              </w:rPr>
            </w:pPr>
            <w:r>
              <w:rPr>
                <w:b w:val="0"/>
                <w:bCs/>
                <w:color w:val="auto"/>
                <w:szCs w:val="32"/>
              </w:rPr>
              <w:t>共轭亚油酸C18:2</w:t>
            </w:r>
            <w:r>
              <w:rPr>
                <w:bCs/>
                <w:szCs w:val="32"/>
              </w:rPr>
              <w:t xml:space="preserve"> </w:t>
            </w:r>
            <w:r>
              <w:rPr>
                <w:b w:val="0"/>
                <w:bCs/>
                <w:color w:val="auto"/>
                <w:szCs w:val="32"/>
              </w:rPr>
              <w:t>9c,11c和10c,12c异构体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0-3.0%（气相，面积百分比）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共轭亚油酸</w:t>
            </w:r>
            <w:r>
              <w:rPr>
                <w:bCs/>
                <w:szCs w:val="32"/>
              </w:rPr>
              <w:t xml:space="preserve">C18:2 </w:t>
            </w:r>
            <w:r>
              <w:rPr>
                <w:szCs w:val="32"/>
              </w:rPr>
              <w:t>9t,11t和10t,12t异构体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adjustRightInd w:val="0"/>
              <w:snapToGrid w:val="0"/>
              <w:rPr>
                <w:bCs/>
                <w:szCs w:val="32"/>
              </w:rPr>
            </w:pPr>
            <w:r>
              <w:rPr>
                <w:rFonts w:hint="eastAsia" w:eastAsia="宋体"/>
                <w:bCs/>
                <w:szCs w:val="32"/>
              </w:rPr>
              <w:t>＜</w:t>
            </w:r>
            <w:r>
              <w:rPr>
                <w:bCs/>
                <w:szCs w:val="32"/>
              </w:rPr>
              <w:t>1%（</w:t>
            </w:r>
            <w:r>
              <w:rPr>
                <w:b w:val="0"/>
                <w:bCs/>
                <w:color w:val="auto"/>
                <w:szCs w:val="32"/>
              </w:rPr>
              <w:t>气相</w:t>
            </w:r>
            <w:r>
              <w:rPr>
                <w:bCs/>
                <w:szCs w:val="32"/>
              </w:rPr>
              <w:t>，</w:t>
            </w:r>
            <w:r>
              <w:rPr>
                <w:rFonts w:hint="eastAsia"/>
                <w:bCs/>
                <w:szCs w:val="32"/>
              </w:rPr>
              <w:t>面积百分比</w:t>
            </w:r>
            <w:r>
              <w:rPr>
                <w:bCs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9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其他需要说明的情况</w:t>
            </w:r>
          </w:p>
        </w:tc>
        <w:tc>
          <w:tcPr>
            <w:tcW w:w="71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使用范围：1.直接食用。2.脂肪、食用油和乳化脂肪制品，但不包括婴幼儿食品。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145"/>
        <w:textAlignment w:val="auto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ascii="宋体" w:hAnsi="宋体" w:eastAsia="宋体"/>
          <w:b/>
          <w:sz w:val="44"/>
          <w:szCs w:val="44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Cs w:val="32"/>
        </w:rPr>
        <w:t>二、共轭亚油酸甘油酯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100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noWrap w:val="0"/>
            <w:vAlign w:val="top"/>
          </w:tcPr>
          <w:p>
            <w:pPr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中文名称</w:t>
            </w:r>
          </w:p>
        </w:tc>
        <w:tc>
          <w:tcPr>
            <w:tcW w:w="7074" w:type="dxa"/>
            <w:gridSpan w:val="2"/>
            <w:noWrap w:val="0"/>
            <w:vAlign w:val="center"/>
          </w:tcPr>
          <w:p>
            <w:pPr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共轭亚油酸甘油酯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noWrap w:val="0"/>
            <w:vAlign w:val="top"/>
          </w:tcPr>
          <w:p>
            <w:pPr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英文名称</w:t>
            </w:r>
          </w:p>
        </w:tc>
        <w:tc>
          <w:tcPr>
            <w:tcW w:w="7074" w:type="dxa"/>
            <w:gridSpan w:val="2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Conjugated Linoleic Acid Glycerides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noWrap w:val="0"/>
            <w:vAlign w:val="top"/>
          </w:tcPr>
          <w:p>
            <w:pPr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主要成分</w:t>
            </w:r>
          </w:p>
        </w:tc>
        <w:tc>
          <w:tcPr>
            <w:tcW w:w="7074" w:type="dxa"/>
            <w:gridSpan w:val="2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共轭亚油酸甘油三酯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1547" w:type="dxa"/>
            <w:noWrap w:val="0"/>
            <w:vAlign w:val="top"/>
          </w:tcPr>
          <w:p>
            <w:pPr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基本信息</w:t>
            </w:r>
          </w:p>
        </w:tc>
        <w:tc>
          <w:tcPr>
            <w:tcW w:w="7074" w:type="dxa"/>
            <w:gridSpan w:val="2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来源：红花籽油</w:t>
            </w:r>
          </w:p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主要成分的结构式：</w:t>
            </w:r>
          </w:p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drawing>
                <wp:inline distT="0" distB="0" distL="114300" distR="114300">
                  <wp:extent cx="990600" cy="904240"/>
                  <wp:effectExtent l="0" t="0" r="0" b="10160"/>
                  <wp:docPr id="1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（其中R是共轭亚油酸C18:2 9c,11t或10t,12c异构体，c顺式结构，t反式结构）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noWrap w:val="0"/>
            <w:vAlign w:val="top"/>
          </w:tcPr>
          <w:p>
            <w:pPr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生产工艺简述</w:t>
            </w:r>
          </w:p>
        </w:tc>
        <w:tc>
          <w:tcPr>
            <w:tcW w:w="7074" w:type="dxa"/>
            <w:gridSpan w:val="2"/>
            <w:noWrap w:val="0"/>
            <w:vAlign w:val="center"/>
          </w:tcPr>
          <w:p>
            <w:pPr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以食品级的红花籽油为原料，通过共轭化反应将其中的亚油酸转化成共轭亚油酸。然后以食品级脂肪酶为催化剂，将共轭亚油酸脂肪酸与甘油进行酯化，生成共轭亚油酸甘油酯。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食用量</w:t>
            </w:r>
          </w:p>
        </w:tc>
        <w:tc>
          <w:tcPr>
            <w:tcW w:w="7074" w:type="dxa"/>
            <w:gridSpan w:val="2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rFonts w:eastAsia="宋体"/>
                <w:szCs w:val="32"/>
              </w:rPr>
              <w:t>＜</w:t>
            </w:r>
            <w:r>
              <w:rPr>
                <w:szCs w:val="32"/>
              </w:rPr>
              <w:t>6克/天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restart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质量要求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性状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无色至淡黄色清澈、透明油状液体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共轭亚油酸甘油三酯含量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77%-83%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共轭亚油酸甘油二酯含量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17%-23%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共轭亚油酸单甘酯含量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rFonts w:eastAsia="宋体"/>
                <w:szCs w:val="32"/>
              </w:rPr>
              <w:t>＜</w:t>
            </w:r>
            <w:r>
              <w:rPr>
                <w:szCs w:val="32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707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脂肪酸组成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共轭亚油酸含量</w:t>
            </w:r>
          </w:p>
        </w:tc>
        <w:tc>
          <w:tcPr>
            <w:tcW w:w="3974" w:type="dxa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700-800 mg/g（w/w）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共轭亚油酸C18:2 9c,11t和10t,12c异构体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78%-84%（气相，面积百分比）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b/>
                <w:color w:val="auto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Cs w:val="32"/>
              </w:rPr>
              <w:t>油酸</w:t>
            </w:r>
            <w:r>
              <w:rPr>
                <w:b w:val="0"/>
                <w:bCs/>
                <w:color w:val="auto"/>
                <w:szCs w:val="32"/>
              </w:rPr>
              <w:t>C18:1</w:t>
            </w:r>
            <w:r>
              <w:rPr>
                <w:b w:val="0"/>
                <w:bCs/>
                <w:szCs w:val="32"/>
              </w:rPr>
              <w:t xml:space="preserve"> </w:t>
            </w:r>
            <w:r>
              <w:rPr>
                <w:b w:val="0"/>
                <w:bCs/>
                <w:color w:val="auto"/>
                <w:szCs w:val="32"/>
              </w:rPr>
              <w:t>9c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10%-20%（气相，面积百分比）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棕榈酸C16:0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rFonts w:eastAsia="宋体"/>
                <w:szCs w:val="32"/>
              </w:rPr>
              <w:t>＜</w:t>
            </w:r>
            <w:r>
              <w:rPr>
                <w:szCs w:val="32"/>
              </w:rPr>
              <w:t>4%（气相，面积百分比）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硬脂酸C18:0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rFonts w:eastAsia="宋体"/>
                <w:szCs w:val="32"/>
              </w:rPr>
              <w:t>＜</w:t>
            </w:r>
            <w:r>
              <w:rPr>
                <w:szCs w:val="32"/>
              </w:rPr>
              <w:t>4%（气相，面积百分比）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ind w:left="320" w:hanging="320" w:hangingChars="100"/>
              <w:jc w:val="left"/>
              <w:rPr>
                <w:b/>
                <w:color w:val="auto"/>
                <w:szCs w:val="32"/>
              </w:rPr>
            </w:pPr>
            <w:r>
              <w:rPr>
                <w:b w:val="0"/>
                <w:bCs/>
                <w:color w:val="auto"/>
                <w:szCs w:val="32"/>
              </w:rPr>
              <w:t>亚油酸C18:2</w:t>
            </w:r>
            <w:r>
              <w:rPr>
                <w:b w:val="0"/>
                <w:bCs/>
                <w:szCs w:val="32"/>
              </w:rPr>
              <w:t xml:space="preserve"> </w:t>
            </w:r>
            <w:r>
              <w:rPr>
                <w:b w:val="0"/>
                <w:bCs/>
                <w:color w:val="auto"/>
                <w:szCs w:val="32"/>
              </w:rPr>
              <w:t>9c,12c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rFonts w:eastAsia="宋体"/>
                <w:szCs w:val="32"/>
              </w:rPr>
              <w:t>＜</w:t>
            </w:r>
            <w:r>
              <w:rPr>
                <w:szCs w:val="32"/>
              </w:rPr>
              <w:t>3%（气相，面积百分比）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707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共轭亚油酸异构体的组成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共轭亚油酸C18:2 9c,11t异构体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37.5%-42.0%（气相，面积百分比）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共轭亚油酸C18:2 10t,12c异构体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37.5%-42.0%（气相，面积百分比）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b/>
                <w:color w:val="auto"/>
                <w:szCs w:val="32"/>
              </w:rPr>
            </w:pPr>
            <w:r>
              <w:rPr>
                <w:b w:val="0"/>
                <w:bCs/>
                <w:color w:val="auto"/>
                <w:szCs w:val="32"/>
              </w:rPr>
              <w:t>共轭亚油酸C18:2</w:t>
            </w:r>
            <w:r>
              <w:rPr>
                <w:bCs/>
                <w:szCs w:val="32"/>
              </w:rPr>
              <w:t xml:space="preserve"> </w:t>
            </w:r>
            <w:r>
              <w:rPr>
                <w:b w:val="0"/>
                <w:bCs/>
                <w:color w:val="auto"/>
                <w:szCs w:val="32"/>
              </w:rPr>
              <w:t>9c,11c和10c,12c异构体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0-3.0</w:t>
            </w:r>
            <w:r>
              <w:rPr>
                <w:rFonts w:hint="default"/>
                <w:szCs w:val="32"/>
              </w:rPr>
              <w:t>%</w:t>
            </w:r>
            <w:r>
              <w:rPr>
                <w:szCs w:val="32"/>
              </w:rPr>
              <w:t>（气相，面积百分比）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Merge w:val="continue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共轭亚油酸</w:t>
            </w:r>
            <w:r>
              <w:rPr>
                <w:bCs/>
                <w:szCs w:val="32"/>
              </w:rPr>
              <w:t xml:space="preserve">C18:2 </w:t>
            </w:r>
            <w:r>
              <w:rPr>
                <w:szCs w:val="32"/>
              </w:rPr>
              <w:t>9t,11t和10t,12t异构体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napToGrid w:val="0"/>
              <w:rPr>
                <w:b/>
                <w:color w:val="auto"/>
                <w:szCs w:val="32"/>
              </w:rPr>
            </w:pPr>
            <w:r>
              <w:rPr>
                <w:rFonts w:eastAsia="宋体"/>
                <w:szCs w:val="32"/>
              </w:rPr>
              <w:t>＜</w:t>
            </w:r>
            <w:r>
              <w:rPr>
                <w:szCs w:val="32"/>
              </w:rPr>
              <w:t>1%（</w:t>
            </w:r>
            <w:r>
              <w:rPr>
                <w:b w:val="0"/>
                <w:bCs w:val="0"/>
                <w:color w:val="auto"/>
                <w:szCs w:val="32"/>
              </w:rPr>
              <w:t>气相</w:t>
            </w:r>
            <w:r>
              <w:rPr>
                <w:szCs w:val="32"/>
              </w:rPr>
              <w:t>，</w:t>
            </w:r>
            <w:r>
              <w:rPr>
                <w:rFonts w:hint="eastAsia"/>
                <w:szCs w:val="32"/>
              </w:rPr>
              <w:t>面积百分比</w:t>
            </w:r>
            <w:r>
              <w:rPr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1547" w:type="dxa"/>
            <w:noWrap w:val="0"/>
            <w:vAlign w:val="top"/>
          </w:tcPr>
          <w:p>
            <w:pPr>
              <w:snapToGrid w:val="0"/>
              <w:rPr>
                <w:b/>
                <w:bCs/>
                <w:szCs w:val="32"/>
              </w:rPr>
            </w:pPr>
            <w:r>
              <w:rPr>
                <w:szCs w:val="32"/>
              </w:rPr>
              <w:t>其他需要说明的情况</w:t>
            </w:r>
          </w:p>
        </w:tc>
        <w:tc>
          <w:tcPr>
            <w:tcW w:w="7074" w:type="dxa"/>
            <w:gridSpan w:val="2"/>
            <w:noWrap w:val="0"/>
            <w:vAlign w:val="top"/>
          </w:tcPr>
          <w:p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使用范围：1.直接食用。2.乳及乳制品（纯乳除外）；脂肪、食用油和乳化脂肪制品；饮料类；冷冻饮品；可可制品、巧克力和巧克力制品以及糖果；杂粮粉及其制品；即食谷物、焙烤食品、咖啡，但不包括婴幼儿食品。</w:t>
            </w:r>
          </w:p>
        </w:tc>
      </w:tr>
    </w:tbl>
    <w:p/>
    <w:p>
      <w:pPr>
        <w:ind w:firstLine="640" w:firstLineChars="200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ascii="黑体" w:hAnsi="黑体" w:eastAsia="黑体" w:cs="黑体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Cs w:val="32"/>
        </w:rPr>
        <w:t>三、甘油二酯油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387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中文名称</w:t>
            </w:r>
          </w:p>
        </w:tc>
        <w:tc>
          <w:tcPr>
            <w:tcW w:w="6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甘油二酯油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英文名称</w:t>
            </w:r>
          </w:p>
        </w:tc>
        <w:tc>
          <w:tcPr>
            <w:tcW w:w="6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Diacylglycerol Oil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主要成分</w:t>
            </w:r>
          </w:p>
        </w:tc>
        <w:tc>
          <w:tcPr>
            <w:tcW w:w="6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甘油二酯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基本信息</w:t>
            </w:r>
          </w:p>
        </w:tc>
        <w:tc>
          <w:tcPr>
            <w:tcW w:w="62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来源：大豆油、菜籽油、花生油、玉米油</w:t>
            </w:r>
          </w:p>
          <w:p>
            <w:pPr>
              <w:rPr>
                <w:szCs w:val="32"/>
              </w:rPr>
            </w:pPr>
            <w:r>
              <w:rPr>
                <w:szCs w:val="32"/>
              </w:rPr>
              <w:t>主要成分结构式：</w:t>
            </w:r>
          </w:p>
          <w:p>
            <w:pPr>
              <w:rPr>
                <w:szCs w:val="32"/>
              </w:rPr>
            </w:pPr>
            <w:r>
              <w:rPr>
                <w:szCs w:val="32"/>
              </w:rPr>
              <w:drawing>
                <wp:inline distT="0" distB="0" distL="114300" distR="114300">
                  <wp:extent cx="2400300" cy="971550"/>
                  <wp:effectExtent l="0" t="0" r="0" b="0"/>
                  <wp:docPr id="2" name="图片 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true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szCs w:val="32"/>
              </w:rPr>
              <w:t xml:space="preserve">1,2-甘油二酯    1,3-甘油二酯                                  </w:t>
            </w:r>
          </w:p>
          <w:p>
            <w:pPr>
              <w:rPr>
                <w:szCs w:val="32"/>
              </w:rPr>
            </w:pPr>
            <w:r>
              <w:rPr>
                <w:szCs w:val="32"/>
              </w:rPr>
              <w:t>（其中COR、COR’为饱和或不饱和脂肪酰基）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生产工艺简述</w:t>
            </w:r>
          </w:p>
        </w:tc>
        <w:tc>
          <w:tcPr>
            <w:tcW w:w="6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szCs w:val="32"/>
              </w:rPr>
            </w:pPr>
            <w:r>
              <w:rPr>
                <w:szCs w:val="32"/>
              </w:rPr>
              <w:t>以大豆油、菜籽油等为原料，以脂肪酶制剂、水、甘油等为主要辅料，通过脂肪酶催化，经蒸馏分离、脱色、脱臭等工艺而制成。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食用量</w:t>
            </w:r>
          </w:p>
        </w:tc>
        <w:tc>
          <w:tcPr>
            <w:tcW w:w="6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rFonts w:ascii="宋体" w:hAnsi="宋体" w:eastAsia="宋体"/>
                <w:szCs w:val="32"/>
              </w:rPr>
              <w:t>≤</w:t>
            </w:r>
            <w:r>
              <w:rPr>
                <w:szCs w:val="32"/>
              </w:rPr>
              <w:t>30克/天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9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质量要求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性状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透明状液体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甘油二酯含量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rFonts w:ascii="宋体" w:hAnsi="宋体" w:eastAsia="宋体"/>
                <w:szCs w:val="32"/>
              </w:rPr>
              <w:t>≥</w:t>
            </w:r>
            <w:r>
              <w:rPr>
                <w:szCs w:val="32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甘油三酯含量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rFonts w:ascii="宋体" w:hAnsi="宋体" w:eastAsia="宋体"/>
                <w:szCs w:val="32"/>
              </w:rPr>
              <w:t>≤</w:t>
            </w:r>
            <w:r>
              <w:rPr>
                <w:szCs w:val="32"/>
              </w:rPr>
              <w:t>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b w:val="0"/>
                <w:bCs/>
                <w:color w:val="auto"/>
                <w:szCs w:val="32"/>
              </w:rPr>
              <w:t>单</w:t>
            </w:r>
            <w:r>
              <w:rPr>
                <w:rFonts w:hint="eastAsia"/>
                <w:b w:val="0"/>
                <w:bCs/>
                <w:color w:val="auto"/>
                <w:szCs w:val="32"/>
              </w:rPr>
              <w:t>甘</w:t>
            </w:r>
            <w:r>
              <w:rPr>
                <w:b w:val="0"/>
                <w:bCs/>
                <w:color w:val="auto"/>
                <w:szCs w:val="32"/>
              </w:rPr>
              <w:t>酯</w:t>
            </w:r>
            <w:r>
              <w:rPr>
                <w:szCs w:val="32"/>
              </w:rPr>
              <w:t>含量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rFonts w:ascii="宋体" w:hAnsi="宋体" w:eastAsia="宋体"/>
                <w:szCs w:val="32"/>
              </w:rPr>
              <w:t>≤</w:t>
            </w:r>
            <w:r>
              <w:rPr>
                <w:szCs w:val="32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游离脂肪酸含量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rFonts w:ascii="宋体" w:hAnsi="宋体" w:eastAsia="宋体"/>
                <w:szCs w:val="32"/>
              </w:rPr>
              <w:t>≤</w:t>
            </w:r>
            <w:r>
              <w:rPr>
                <w:szCs w:val="32"/>
              </w:rPr>
              <w:t>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其他需要说明的情况</w:t>
            </w:r>
          </w:p>
        </w:tc>
        <w:tc>
          <w:tcPr>
            <w:tcW w:w="6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使用范围不包括婴幼儿食品。</w:t>
            </w:r>
          </w:p>
        </w:tc>
      </w:tr>
      <w:bookmarkEnd w:id="0"/>
    </w:tbl>
    <w:p>
      <w:pPr>
        <w:snapToGrid w:val="0"/>
        <w:spacing w:line="360" w:lineRule="auto"/>
        <w:ind w:right="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Liberation 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eastAsia="宋体"/>
        <w:sz w:val="18"/>
        <w:szCs w:val="18"/>
      </w:rPr>
    </w:pPr>
    <w:r>
      <w:rPr>
        <w:rFonts w:eastAsia="宋体"/>
        <w:sz w:val="18"/>
        <w:szCs w:val="18"/>
      </w:rPr>
      <w:fldChar w:fldCharType="begin"/>
    </w:r>
    <w:r>
      <w:rPr>
        <w:rFonts w:eastAsia="宋体"/>
        <w:sz w:val="18"/>
        <w:szCs w:val="18"/>
      </w:rPr>
      <w:instrText xml:space="preserve">PAGE   \* MERGEFORMAT</w:instrText>
    </w:r>
    <w:r>
      <w:rPr>
        <w:rFonts w:eastAsia="宋体"/>
        <w:sz w:val="18"/>
        <w:szCs w:val="18"/>
      </w:rPr>
      <w:fldChar w:fldCharType="separate"/>
    </w:r>
    <w:r>
      <w:rPr>
        <w:rFonts w:eastAsia="宋体"/>
        <w:sz w:val="18"/>
        <w:szCs w:val="18"/>
        <w:lang w:val="zh-CN"/>
      </w:rPr>
      <w:t>2</w:t>
    </w:r>
    <w:r>
      <w:rPr>
        <w:rFonts w:eastAsia="宋体"/>
        <w:sz w:val="18"/>
        <w:szCs w:val="18"/>
      </w:rPr>
      <w:fldChar w:fldCharType="end"/>
    </w:r>
  </w:p>
  <w:p>
    <w:pPr>
      <w:tabs>
        <w:tab w:val="center" w:pos="4153"/>
        <w:tab w:val="right" w:pos="8306"/>
      </w:tabs>
      <w:snapToGrid w:val="0"/>
      <w:jc w:val="center"/>
      <w:rPr>
        <w:rFonts w:eastAsia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eastAsia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E2"/>
    <w:rsid w:val="00071D18"/>
    <w:rsid w:val="00105471"/>
    <w:rsid w:val="001430ED"/>
    <w:rsid w:val="0014509C"/>
    <w:rsid w:val="001565C6"/>
    <w:rsid w:val="001E0616"/>
    <w:rsid w:val="001E461C"/>
    <w:rsid w:val="002824E2"/>
    <w:rsid w:val="002E6C8F"/>
    <w:rsid w:val="00331784"/>
    <w:rsid w:val="00383757"/>
    <w:rsid w:val="003950B5"/>
    <w:rsid w:val="003C6ADF"/>
    <w:rsid w:val="003E2068"/>
    <w:rsid w:val="00401852"/>
    <w:rsid w:val="004402B6"/>
    <w:rsid w:val="004835B4"/>
    <w:rsid w:val="004B3ADB"/>
    <w:rsid w:val="004D1934"/>
    <w:rsid w:val="004D55F0"/>
    <w:rsid w:val="005D5184"/>
    <w:rsid w:val="005F6EFF"/>
    <w:rsid w:val="00634D60"/>
    <w:rsid w:val="0069329E"/>
    <w:rsid w:val="006D6940"/>
    <w:rsid w:val="00702104"/>
    <w:rsid w:val="0073702C"/>
    <w:rsid w:val="00773650"/>
    <w:rsid w:val="007A0F70"/>
    <w:rsid w:val="007D1923"/>
    <w:rsid w:val="008811B0"/>
    <w:rsid w:val="0089494D"/>
    <w:rsid w:val="008B256B"/>
    <w:rsid w:val="008C0654"/>
    <w:rsid w:val="008C24AC"/>
    <w:rsid w:val="008E3AF6"/>
    <w:rsid w:val="009021EC"/>
    <w:rsid w:val="0090297F"/>
    <w:rsid w:val="00912619"/>
    <w:rsid w:val="00936F88"/>
    <w:rsid w:val="009B29A5"/>
    <w:rsid w:val="009E66F9"/>
    <w:rsid w:val="00A2744D"/>
    <w:rsid w:val="00A31601"/>
    <w:rsid w:val="00A35A08"/>
    <w:rsid w:val="00A860C0"/>
    <w:rsid w:val="00AA3D61"/>
    <w:rsid w:val="00AD5620"/>
    <w:rsid w:val="00AE55E3"/>
    <w:rsid w:val="00B03829"/>
    <w:rsid w:val="00BC7F8B"/>
    <w:rsid w:val="00CB5B3A"/>
    <w:rsid w:val="00CE34DE"/>
    <w:rsid w:val="00CF080F"/>
    <w:rsid w:val="00D0517C"/>
    <w:rsid w:val="00D33733"/>
    <w:rsid w:val="00D4656C"/>
    <w:rsid w:val="00D64101"/>
    <w:rsid w:val="00E344D0"/>
    <w:rsid w:val="00EF5A83"/>
    <w:rsid w:val="00F056D4"/>
    <w:rsid w:val="00F16EA5"/>
    <w:rsid w:val="00F71189"/>
    <w:rsid w:val="00F91AD5"/>
    <w:rsid w:val="00F93664"/>
    <w:rsid w:val="00FC5251"/>
    <w:rsid w:val="00FD1DBD"/>
    <w:rsid w:val="00FE3671"/>
    <w:rsid w:val="16D26F4B"/>
    <w:rsid w:val="1BFC277B"/>
    <w:rsid w:val="1BFF76FB"/>
    <w:rsid w:val="24817FFE"/>
    <w:rsid w:val="33AB5737"/>
    <w:rsid w:val="36378EFF"/>
    <w:rsid w:val="3639C66A"/>
    <w:rsid w:val="37EF2D0B"/>
    <w:rsid w:val="3AE74C10"/>
    <w:rsid w:val="3EFB707A"/>
    <w:rsid w:val="3F315ECF"/>
    <w:rsid w:val="3FDFF4A3"/>
    <w:rsid w:val="3FEA7126"/>
    <w:rsid w:val="4C7F766B"/>
    <w:rsid w:val="4FFF67FA"/>
    <w:rsid w:val="5452EE55"/>
    <w:rsid w:val="57BD0E2F"/>
    <w:rsid w:val="57D37123"/>
    <w:rsid w:val="59774108"/>
    <w:rsid w:val="5B7F6C95"/>
    <w:rsid w:val="5B9E7E21"/>
    <w:rsid w:val="5BF3FAB9"/>
    <w:rsid w:val="5BFFF080"/>
    <w:rsid w:val="5DEF468A"/>
    <w:rsid w:val="5F4FF9AF"/>
    <w:rsid w:val="5FDF20F7"/>
    <w:rsid w:val="643D23C7"/>
    <w:rsid w:val="67DA211B"/>
    <w:rsid w:val="67E556D8"/>
    <w:rsid w:val="67EFB6D3"/>
    <w:rsid w:val="67FF2592"/>
    <w:rsid w:val="6D7DC6E1"/>
    <w:rsid w:val="6F9FD3B0"/>
    <w:rsid w:val="6FC5B1D2"/>
    <w:rsid w:val="6FFDB14C"/>
    <w:rsid w:val="6FFF2C40"/>
    <w:rsid w:val="71686D61"/>
    <w:rsid w:val="71F3624A"/>
    <w:rsid w:val="73F7BCD4"/>
    <w:rsid w:val="74A7B524"/>
    <w:rsid w:val="75EC376F"/>
    <w:rsid w:val="76FAB0AD"/>
    <w:rsid w:val="76FF98FE"/>
    <w:rsid w:val="77223F9B"/>
    <w:rsid w:val="777E300E"/>
    <w:rsid w:val="77A61AA9"/>
    <w:rsid w:val="77FF384F"/>
    <w:rsid w:val="79379E2B"/>
    <w:rsid w:val="799F20DE"/>
    <w:rsid w:val="7A1B2FF5"/>
    <w:rsid w:val="7AFD147D"/>
    <w:rsid w:val="7BD54015"/>
    <w:rsid w:val="7BDBD68F"/>
    <w:rsid w:val="7BE6627E"/>
    <w:rsid w:val="7BFF9442"/>
    <w:rsid w:val="7E95FDA9"/>
    <w:rsid w:val="7EA772B6"/>
    <w:rsid w:val="7EBFAB63"/>
    <w:rsid w:val="7FBC9350"/>
    <w:rsid w:val="7FBDAC04"/>
    <w:rsid w:val="7FC34E55"/>
    <w:rsid w:val="7FCB76F4"/>
    <w:rsid w:val="7FD96BE0"/>
    <w:rsid w:val="7FDF436F"/>
    <w:rsid w:val="7FFF1AB2"/>
    <w:rsid w:val="875F9D16"/>
    <w:rsid w:val="8DCF521C"/>
    <w:rsid w:val="A59F276C"/>
    <w:rsid w:val="AEBBCAF7"/>
    <w:rsid w:val="B77E2176"/>
    <w:rsid w:val="B7B55EB0"/>
    <w:rsid w:val="B98B933C"/>
    <w:rsid w:val="BA7B23C6"/>
    <w:rsid w:val="BAF91174"/>
    <w:rsid w:val="BCBF1187"/>
    <w:rsid w:val="BDFEC933"/>
    <w:rsid w:val="BEF7133D"/>
    <w:rsid w:val="BFC66A52"/>
    <w:rsid w:val="BFEEA856"/>
    <w:rsid w:val="BFF57CBF"/>
    <w:rsid w:val="C6E3F604"/>
    <w:rsid w:val="CEE8EB0C"/>
    <w:rsid w:val="CEFDA30D"/>
    <w:rsid w:val="CFFFFDC1"/>
    <w:rsid w:val="D7FEA272"/>
    <w:rsid w:val="D8FBEF9A"/>
    <w:rsid w:val="DDD3A168"/>
    <w:rsid w:val="DDD7E303"/>
    <w:rsid w:val="DFFB50EA"/>
    <w:rsid w:val="E7F5F3F1"/>
    <w:rsid w:val="EEBF0D52"/>
    <w:rsid w:val="EF4D4305"/>
    <w:rsid w:val="EF720329"/>
    <w:rsid w:val="EF7968CC"/>
    <w:rsid w:val="EFCF1909"/>
    <w:rsid w:val="EFEF81E4"/>
    <w:rsid w:val="EFF62B17"/>
    <w:rsid w:val="EFFA4411"/>
    <w:rsid w:val="EFFF263E"/>
    <w:rsid w:val="F3B7DDE1"/>
    <w:rsid w:val="F5BDBB66"/>
    <w:rsid w:val="F5CD6A46"/>
    <w:rsid w:val="F75DAAB9"/>
    <w:rsid w:val="F7FF2DB5"/>
    <w:rsid w:val="F7FF30FD"/>
    <w:rsid w:val="F8B6E1D8"/>
    <w:rsid w:val="FA320DF0"/>
    <w:rsid w:val="FAAF64DC"/>
    <w:rsid w:val="FB4F1B77"/>
    <w:rsid w:val="FBBE9B82"/>
    <w:rsid w:val="FCDE0EB9"/>
    <w:rsid w:val="FCF30FF1"/>
    <w:rsid w:val="FCFDFD4B"/>
    <w:rsid w:val="FCFED6D2"/>
    <w:rsid w:val="FDBE237D"/>
    <w:rsid w:val="FDD549C8"/>
    <w:rsid w:val="FDEC3DD4"/>
    <w:rsid w:val="FDFDEF08"/>
    <w:rsid w:val="FF1A2A8F"/>
    <w:rsid w:val="FF9B6621"/>
    <w:rsid w:val="FF9F8B46"/>
    <w:rsid w:val="FFD1ABD7"/>
    <w:rsid w:val="FFEE78A7"/>
    <w:rsid w:val="FFF59532"/>
    <w:rsid w:val="FFFA55C0"/>
    <w:rsid w:val="FFFF8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楷体_GB2312" w:cs="Times New Roman"/>
      <w:b/>
      <w:bCs/>
      <w:kern w:val="28"/>
      <w:szCs w:val="32"/>
    </w:rPr>
  </w:style>
  <w:style w:type="character" w:customStyle="1" w:styleId="9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0">
    <w:name w:val="批注框文本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副标题 Char"/>
    <w:link w:val="6"/>
    <w:qFormat/>
    <w:uiPriority w:val="0"/>
    <w:rPr>
      <w:rFonts w:ascii="Cambria" w:hAnsi="Cambria" w:eastAsia="楷体_GB2312" w:cs="Times New Roman"/>
      <w:b/>
      <w:bCs/>
      <w:kern w:val="28"/>
      <w:sz w:val="32"/>
      <w:szCs w:val="32"/>
    </w:rPr>
  </w:style>
  <w:style w:type="paragraph" w:customStyle="1" w:styleId="14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oleObject" Target="embeddings/oleObject2.bin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10</Pages>
  <Words>1635</Words>
  <Characters>2224</Characters>
  <Lines>222</Lines>
  <Paragraphs>192</Paragraphs>
  <TotalTime>22</TotalTime>
  <ScaleCrop>false</ScaleCrop>
  <LinksUpToDate>false</LinksUpToDate>
  <CharactersWithSpaces>3667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2013-07-20T22:25:00Z</dcterms:created>
  <dc:creator>vv</dc:creator>
  <cp:lastModifiedBy>gonggq</cp:lastModifiedBy>
  <cp:lastPrinted>2021-07-26T11:24:00Z</cp:lastPrinted>
  <dcterms:modified xsi:type="dcterms:W3CDTF">2021-08-11T09:37:17Z</dcterms:modified>
  <dc:title>国家卫生健康委员会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